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val="0"/>
        <w:snapToGrid w:val="0"/>
        <w:spacing w:line="570" w:lineRule="exact"/>
        <w:ind w:right="34"/>
        <w:jc w:val="center"/>
        <w:textAlignment w:val="auto"/>
        <w:rPr>
          <w:rFonts w:hint="eastAsia" w:ascii="方正小标宋简体" w:hAnsi="方正小标宋简体" w:eastAsia="方正小标宋简体" w:cs="方正小标宋简体"/>
          <w:b/>
          <w:bCs/>
          <w:sz w:val="40"/>
          <w:szCs w:val="40"/>
          <w:lang w:eastAsia="zh-CN"/>
        </w:rPr>
      </w:pPr>
      <w:r>
        <w:rPr>
          <w:rFonts w:hint="eastAsia" w:ascii="方正小标宋简体" w:hAnsi="方正小标宋简体" w:eastAsia="方正小标宋简体" w:cs="方正小标宋简体"/>
          <w:sz w:val="40"/>
          <w:szCs w:val="40"/>
          <w:lang w:val="en-US" w:eastAsia="zh-CN"/>
        </w:rPr>
        <w:t>党政办</w:t>
      </w:r>
      <w:bookmarkStart w:id="2" w:name="_GoBack"/>
      <w:bookmarkEnd w:id="2"/>
      <w:r>
        <w:rPr>
          <w:rFonts w:hint="eastAsia" w:ascii="方正小标宋简体" w:hAnsi="方正小标宋简体" w:eastAsia="方正小标宋简体" w:cs="方正小标宋简体"/>
          <w:sz w:val="40"/>
          <w:szCs w:val="40"/>
          <w:lang w:eastAsia="zh-CN"/>
        </w:rPr>
        <w:t>20</w:t>
      </w:r>
      <w:r>
        <w:rPr>
          <w:rFonts w:hint="eastAsia" w:ascii="方正小标宋简体" w:hAnsi="方正小标宋简体" w:eastAsia="方正小标宋简体" w:cs="方正小标宋简体"/>
          <w:sz w:val="40"/>
          <w:szCs w:val="40"/>
          <w:lang w:val="en-US" w:eastAsia="zh-CN"/>
        </w:rPr>
        <w:t>23</w:t>
      </w:r>
      <w:r>
        <w:rPr>
          <w:rFonts w:hint="eastAsia" w:ascii="方正小标宋简体" w:hAnsi="方正小标宋简体" w:eastAsia="方正小标宋简体" w:cs="方正小标宋简体"/>
          <w:sz w:val="40"/>
          <w:szCs w:val="40"/>
          <w:lang w:eastAsia="zh-CN"/>
        </w:rPr>
        <w:t>年度部门决算分析报告</w:t>
      </w:r>
    </w:p>
    <w:p>
      <w:pPr>
        <w:pStyle w:val="4"/>
        <w:numPr>
          <w:ilvl w:val="0"/>
          <w:numId w:val="0"/>
        </w:numPr>
        <w:adjustRightInd w:val="0"/>
        <w:snapToGrid w:val="0"/>
        <w:spacing w:before="0" w:line="480" w:lineRule="exact"/>
        <w:ind w:right="33" w:rightChars="0"/>
        <w:rPr>
          <w:rFonts w:hint="eastAsia" w:ascii="黑体" w:hAnsi="黑体" w:eastAsia="黑体" w:cs="黑体"/>
          <w:sz w:val="32"/>
          <w:szCs w:val="32"/>
          <w:lang w:eastAsia="zh-CN"/>
        </w:rPr>
      </w:pPr>
    </w:p>
    <w:p>
      <w:pPr>
        <w:pStyle w:val="4"/>
        <w:numPr>
          <w:ilvl w:val="0"/>
          <w:numId w:val="0"/>
        </w:numPr>
        <w:adjustRightInd w:val="0"/>
        <w:snapToGrid w:val="0"/>
        <w:spacing w:before="0" w:line="480" w:lineRule="exact"/>
        <w:ind w:right="33" w:righ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一、单位情况</w:t>
      </w:r>
    </w:p>
    <w:p>
      <w:pPr>
        <w:snapToGrid w:val="0"/>
        <w:spacing w:line="520" w:lineRule="exact"/>
        <w:ind w:firstLine="643" w:firstLineChars="200"/>
        <w:rPr>
          <w:rFonts w:hint="eastAsia" w:ascii="楷体_GB2312" w:hAnsi="仿宋" w:eastAsia="楷体_GB2312"/>
          <w:b/>
          <w:sz w:val="32"/>
          <w:szCs w:val="32"/>
          <w:lang w:eastAsia="zh-CN"/>
        </w:rPr>
      </w:pPr>
      <w:r>
        <w:rPr>
          <w:rFonts w:hint="eastAsia" w:ascii="楷体_GB2312" w:hAnsi="仿宋" w:eastAsia="楷体_GB2312"/>
          <w:b/>
          <w:sz w:val="32"/>
          <w:szCs w:val="32"/>
          <w:lang w:eastAsia="zh-CN"/>
        </w:rPr>
        <w:t>（一）基本情况</w:t>
      </w:r>
    </w:p>
    <w:p>
      <w:pPr>
        <w:keepNext w:val="0"/>
        <w:keepLines w:val="0"/>
        <w:pageBreakBefore w:val="0"/>
        <w:kinsoku/>
        <w:wordWrap/>
        <w:overflowPunct/>
        <w:topLinePunct w:val="0"/>
        <w:autoSpaceDE/>
        <w:autoSpaceDN/>
        <w:bidi w:val="0"/>
        <w:adjustRightInd/>
        <w:snapToGrid/>
        <w:spacing w:line="570" w:lineRule="exact"/>
        <w:ind w:left="0" w:firstLine="643" w:firstLineChars="200"/>
        <w:textAlignment w:val="auto"/>
        <w:rPr>
          <w:rFonts w:hint="eastAsia" w:ascii="仿宋_GB2312" w:hAnsi="仿宋" w:eastAsia="仿宋_GB2312"/>
          <w:b/>
          <w:sz w:val="32"/>
          <w:szCs w:val="32"/>
          <w:highlight w:val="none"/>
          <w:lang w:val="en-US" w:eastAsia="zh-CN"/>
        </w:rPr>
      </w:pPr>
      <w:r>
        <w:rPr>
          <w:rFonts w:hint="eastAsia" w:ascii="仿宋_GB2312" w:hAnsi="仿宋" w:eastAsia="仿宋_GB2312"/>
          <w:b/>
          <w:sz w:val="32"/>
          <w:szCs w:val="32"/>
          <w:highlight w:val="none"/>
          <w:lang w:val="en-US" w:eastAsia="zh-CN"/>
        </w:rPr>
        <w:t>1、主要职能。</w:t>
      </w:r>
    </w:p>
    <w:p>
      <w:pPr>
        <w:keepNext w:val="0"/>
        <w:keepLines w:val="0"/>
        <w:pageBreakBefore w:val="0"/>
        <w:kinsoku/>
        <w:wordWrap/>
        <w:overflowPunct/>
        <w:topLinePunct w:val="0"/>
        <w:autoSpaceDE/>
        <w:autoSpaceDN/>
        <w:bidi w:val="0"/>
        <w:adjustRightInd/>
        <w:snapToGrid/>
        <w:spacing w:line="570" w:lineRule="exact"/>
        <w:ind w:left="0" w:firstLine="632" w:firstLineChars="200"/>
        <w:textAlignment w:val="auto"/>
        <w:rPr>
          <w:rFonts w:ascii="仿宋" w:hAnsi="仿宋" w:eastAsia="仿宋" w:cstheme="minorBidi"/>
          <w:spacing w:val="-2"/>
          <w:kern w:val="0"/>
          <w:sz w:val="32"/>
          <w:szCs w:val="32"/>
          <w:lang w:val="en-US" w:eastAsia="zh-CN" w:bidi="ar-SA"/>
        </w:rPr>
      </w:pPr>
      <w:r>
        <w:rPr>
          <w:rFonts w:hint="eastAsia" w:ascii="仿宋" w:hAnsi="仿宋" w:eastAsia="仿宋" w:cstheme="minorBidi"/>
          <w:spacing w:val="-2"/>
          <w:kern w:val="0"/>
          <w:sz w:val="32"/>
          <w:szCs w:val="32"/>
          <w:lang w:val="en-US" w:eastAsia="zh-CN" w:bidi="ar-SA"/>
        </w:rPr>
        <w:t>（一）负责开发区党工委、管委会重点工作、重要活动、重大事项的组织协调工作；负责统筹协调、指导推进全区全面深化改革工作；负责上级党委、政府交办事项及重大事项和重点工作的督导检查工作；负责机关事务管理工作，指导全区的政务接待工作，承担党工委、管委会层面的公务接待活动；负责党工委、管委会公文运转工作，党工委委员会议、党政联席会议等以党工委、管委会名义召开的会议的组织、服务以及相关会议纪要、记录的撰写工作；负责信息、调研、电子政务、党务（政务）公开工作；负责党工委、管委会政务值班工作，档案管理工作，12345便民服务热线承接办理工作；负责外事工作。</w:t>
      </w:r>
    </w:p>
    <w:p>
      <w:pPr>
        <w:keepNext w:val="0"/>
        <w:keepLines w:val="0"/>
        <w:pageBreakBefore w:val="0"/>
        <w:kinsoku/>
        <w:wordWrap/>
        <w:overflowPunct/>
        <w:topLinePunct w:val="0"/>
        <w:autoSpaceDE/>
        <w:autoSpaceDN/>
        <w:bidi w:val="0"/>
        <w:adjustRightInd/>
        <w:snapToGrid/>
        <w:spacing w:line="570" w:lineRule="exact"/>
        <w:ind w:left="0" w:firstLine="632" w:firstLineChars="200"/>
        <w:textAlignment w:val="auto"/>
        <w:rPr>
          <w:rFonts w:ascii="仿宋" w:hAnsi="仿宋" w:eastAsia="仿宋" w:cstheme="minorBidi"/>
          <w:spacing w:val="-2"/>
          <w:kern w:val="0"/>
          <w:sz w:val="32"/>
          <w:szCs w:val="32"/>
          <w:lang w:val="en-US" w:eastAsia="zh-CN" w:bidi="ar-SA"/>
        </w:rPr>
      </w:pPr>
      <w:r>
        <w:rPr>
          <w:rFonts w:hint="eastAsia" w:ascii="仿宋" w:hAnsi="仿宋" w:eastAsia="仿宋" w:cstheme="minorBidi"/>
          <w:spacing w:val="-2"/>
          <w:kern w:val="0"/>
          <w:sz w:val="32"/>
          <w:szCs w:val="32"/>
          <w:lang w:val="en-US" w:eastAsia="zh-CN" w:bidi="ar-SA"/>
        </w:rPr>
        <w:t>（二）负责机关党委（机关纪委）全面工作，加强党的思想、组织和作风建设，发挥党组织的战斗堡垒作用和党员的先锋模范作用；负责党工委履行全面从严治党主体责任的组织推进落实工作；负责巡视巡察整改组织协调推进工作，机关纪律检查、纠正“四风”和作风纪律整顿督导检查工作。</w:t>
      </w:r>
    </w:p>
    <w:p>
      <w:pPr>
        <w:keepNext w:val="0"/>
        <w:keepLines w:val="0"/>
        <w:pageBreakBefore w:val="0"/>
        <w:kinsoku/>
        <w:wordWrap/>
        <w:overflowPunct/>
        <w:topLinePunct w:val="0"/>
        <w:autoSpaceDE/>
        <w:autoSpaceDN/>
        <w:bidi w:val="0"/>
        <w:adjustRightInd/>
        <w:snapToGrid/>
        <w:spacing w:line="570" w:lineRule="exact"/>
        <w:ind w:left="0" w:firstLine="632" w:firstLineChars="200"/>
        <w:textAlignment w:val="auto"/>
        <w:rPr>
          <w:rFonts w:ascii="仿宋" w:hAnsi="仿宋" w:eastAsia="仿宋" w:cstheme="minorBidi"/>
          <w:spacing w:val="-2"/>
          <w:kern w:val="0"/>
          <w:sz w:val="32"/>
          <w:szCs w:val="32"/>
          <w:lang w:val="en-US" w:eastAsia="zh-CN" w:bidi="ar-SA"/>
        </w:rPr>
      </w:pPr>
      <w:r>
        <w:rPr>
          <w:rFonts w:hint="eastAsia" w:ascii="仿宋" w:hAnsi="仿宋" w:eastAsia="仿宋" w:cstheme="minorBidi"/>
          <w:spacing w:val="-2"/>
          <w:kern w:val="0"/>
          <w:sz w:val="32"/>
          <w:szCs w:val="32"/>
          <w:lang w:val="en-US" w:eastAsia="zh-CN" w:bidi="ar-SA"/>
        </w:rPr>
        <w:t>（三）承办上级与党工委、管委会交办的其他事项。</w:t>
      </w:r>
    </w:p>
    <w:p>
      <w:pPr>
        <w:ind w:firstLine="640"/>
        <w:rPr>
          <w:rFonts w:hint="eastAsia" w:ascii="仿宋_GB2312" w:hAnsi="仿宋" w:eastAsia="仿宋_GB2312"/>
          <w:b/>
          <w:sz w:val="32"/>
          <w:szCs w:val="32"/>
          <w:lang w:val="en-US" w:eastAsia="zh-CN"/>
        </w:rPr>
      </w:pPr>
    </w:p>
    <w:p>
      <w:pPr>
        <w:adjustRightInd w:val="0"/>
        <w:snapToGrid w:val="0"/>
        <w:spacing w:line="480" w:lineRule="exact"/>
        <w:ind w:firstLine="643" w:firstLineChars="200"/>
        <w:outlineLvl w:val="0"/>
        <w:rPr>
          <w:rFonts w:hint="eastAsia" w:ascii="仿宋_GB2312" w:hAnsi="仿宋" w:eastAsia="仿宋_GB2312"/>
          <w:b/>
          <w:sz w:val="32"/>
          <w:szCs w:val="32"/>
          <w:lang w:val="en-US" w:eastAsia="zh-CN"/>
        </w:rPr>
      </w:pPr>
      <w:r>
        <w:rPr>
          <w:rFonts w:hint="eastAsia" w:ascii="仿宋_GB2312" w:hAnsi="仿宋" w:eastAsia="仿宋_GB2312"/>
          <w:b/>
          <w:sz w:val="32"/>
          <w:szCs w:val="32"/>
          <w:lang w:val="en-US" w:eastAsia="zh-CN"/>
        </w:rPr>
        <w:t>2、机构情况。</w:t>
      </w:r>
    </w:p>
    <w:p>
      <w:pPr>
        <w:pStyle w:val="4"/>
        <w:adjustRightInd w:val="0"/>
        <w:snapToGrid w:val="0"/>
        <w:spacing w:before="0" w:line="480" w:lineRule="exact"/>
        <w:rPr>
          <w:rFonts w:ascii="仿宋" w:hAnsi="仿宋" w:eastAsia="仿宋"/>
          <w:sz w:val="32"/>
          <w:szCs w:val="32"/>
          <w:lang w:eastAsia="zh-CN"/>
        </w:rPr>
      </w:pPr>
      <w:r>
        <w:rPr>
          <w:rFonts w:ascii="仿宋" w:hAnsi="仿宋" w:eastAsia="仿宋"/>
          <w:spacing w:val="-2"/>
          <w:sz w:val="32"/>
          <w:szCs w:val="32"/>
          <w:lang w:eastAsia="zh-CN"/>
        </w:rPr>
        <w:t>本</w:t>
      </w:r>
      <w:r>
        <w:rPr>
          <w:rFonts w:hint="eastAsia" w:ascii="仿宋" w:hAnsi="仿宋" w:eastAsia="仿宋"/>
          <w:spacing w:val="-2"/>
          <w:sz w:val="32"/>
          <w:szCs w:val="32"/>
          <w:lang w:eastAsia="zh-CN"/>
        </w:rPr>
        <w:t>单位</w:t>
      </w:r>
      <w:r>
        <w:rPr>
          <w:rFonts w:ascii="仿宋" w:hAnsi="仿宋" w:eastAsia="仿宋"/>
          <w:spacing w:val="-2"/>
          <w:sz w:val="32"/>
          <w:szCs w:val="32"/>
          <w:lang w:eastAsia="zh-CN"/>
        </w:rPr>
        <w:t>独立核算机构情况</w:t>
      </w:r>
      <w:r>
        <w:rPr>
          <w:rFonts w:hint="eastAsia" w:ascii="仿宋" w:hAnsi="仿宋" w:eastAsia="仿宋"/>
          <w:spacing w:val="-2"/>
          <w:sz w:val="32"/>
          <w:szCs w:val="32"/>
          <w:lang w:eastAsia="zh-CN"/>
        </w:rPr>
        <w:t>：20</w:t>
      </w:r>
      <w:r>
        <w:rPr>
          <w:rFonts w:hint="eastAsia" w:ascii="仿宋" w:hAnsi="仿宋" w:eastAsia="仿宋"/>
          <w:spacing w:val="-2"/>
          <w:sz w:val="32"/>
          <w:szCs w:val="32"/>
          <w:lang w:val="en-US" w:eastAsia="zh-CN"/>
        </w:rPr>
        <w:t>23</w:t>
      </w:r>
      <w:r>
        <w:rPr>
          <w:rFonts w:hint="eastAsia" w:ascii="仿宋" w:hAnsi="仿宋" w:eastAsia="仿宋"/>
          <w:spacing w:val="-2"/>
          <w:sz w:val="32"/>
          <w:szCs w:val="32"/>
          <w:lang w:eastAsia="zh-CN"/>
        </w:rPr>
        <w:t>年度独立核算机构数</w:t>
      </w:r>
      <w:r>
        <w:rPr>
          <w:rFonts w:hint="eastAsia" w:ascii="仿宋" w:hAnsi="仿宋" w:eastAsia="仿宋"/>
          <w:spacing w:val="-2"/>
          <w:sz w:val="32"/>
          <w:szCs w:val="32"/>
          <w:lang w:val="en-US" w:eastAsia="zh-CN"/>
        </w:rPr>
        <w:t>1</w:t>
      </w:r>
      <w:r>
        <w:rPr>
          <w:rFonts w:hint="eastAsia" w:ascii="仿宋" w:hAnsi="仿宋" w:eastAsia="仿宋"/>
          <w:spacing w:val="-2"/>
          <w:sz w:val="32"/>
          <w:szCs w:val="32"/>
          <w:lang w:eastAsia="zh-CN"/>
        </w:rPr>
        <w:t>个。</w:t>
      </w:r>
    </w:p>
    <w:p>
      <w:pPr>
        <w:adjustRightInd w:val="0"/>
        <w:snapToGrid w:val="0"/>
        <w:spacing w:line="480" w:lineRule="exact"/>
        <w:ind w:firstLine="643" w:firstLineChars="200"/>
        <w:outlineLvl w:val="0"/>
        <w:rPr>
          <w:rFonts w:hint="eastAsia" w:ascii="仿宋_GB2312" w:hAnsi="仿宋" w:eastAsia="仿宋_GB2312"/>
          <w:b/>
          <w:sz w:val="32"/>
          <w:szCs w:val="32"/>
          <w:lang w:val="en-US" w:eastAsia="zh-CN"/>
        </w:rPr>
      </w:pPr>
      <w:r>
        <w:rPr>
          <w:rFonts w:hint="eastAsia" w:ascii="仿宋_GB2312" w:hAnsi="仿宋" w:eastAsia="仿宋_GB2312"/>
          <w:b/>
          <w:sz w:val="32"/>
          <w:szCs w:val="32"/>
          <w:lang w:val="en-US" w:eastAsia="zh-CN"/>
        </w:rPr>
        <w:t>3、人员情况。</w:t>
      </w:r>
    </w:p>
    <w:tbl>
      <w:tblPr>
        <w:tblStyle w:val="9"/>
        <w:tblpPr w:leftFromText="180" w:rightFromText="180" w:vertAnchor="text" w:horzAnchor="page" w:tblpX="1720" w:tblpY="563"/>
        <w:tblOverlap w:val="never"/>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946"/>
        <w:gridCol w:w="946"/>
        <w:gridCol w:w="946"/>
        <w:gridCol w:w="946"/>
        <w:gridCol w:w="946"/>
        <w:gridCol w:w="946"/>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Align w:val="center"/>
          </w:tcPr>
          <w:p>
            <w:pPr>
              <w:jc w:val="center"/>
              <w:rPr>
                <w:rFonts w:hint="eastAsia"/>
                <w:vertAlign w:val="baseline"/>
                <w:lang w:eastAsia="zh-CN"/>
              </w:rPr>
            </w:pPr>
            <w:r>
              <w:rPr>
                <w:rFonts w:hint="eastAsia"/>
                <w:vertAlign w:val="baseline"/>
                <w:lang w:eastAsia="zh-CN"/>
              </w:rPr>
              <w:t>序号</w:t>
            </w:r>
          </w:p>
        </w:tc>
        <w:tc>
          <w:tcPr>
            <w:tcW w:w="946" w:type="dxa"/>
            <w:vAlign w:val="center"/>
          </w:tcPr>
          <w:p>
            <w:pPr>
              <w:jc w:val="center"/>
              <w:rPr>
                <w:rFonts w:hint="eastAsia"/>
                <w:vertAlign w:val="baseline"/>
                <w:lang w:eastAsia="zh-CN"/>
              </w:rPr>
            </w:pPr>
            <w:r>
              <w:rPr>
                <w:rFonts w:hint="eastAsia"/>
                <w:vertAlign w:val="baseline"/>
                <w:lang w:eastAsia="zh-CN"/>
              </w:rPr>
              <w:t>性质</w:t>
            </w:r>
          </w:p>
        </w:tc>
        <w:tc>
          <w:tcPr>
            <w:tcW w:w="946" w:type="dxa"/>
            <w:vAlign w:val="center"/>
          </w:tcPr>
          <w:p>
            <w:pPr>
              <w:jc w:val="center"/>
              <w:rPr>
                <w:rFonts w:hint="default"/>
                <w:vertAlign w:val="baseline"/>
                <w:lang w:val="en-US" w:eastAsia="zh-CN"/>
              </w:rPr>
            </w:pPr>
            <w:r>
              <w:rPr>
                <w:rFonts w:hint="eastAsia"/>
                <w:vertAlign w:val="baseline"/>
                <w:lang w:val="en-US" w:eastAsia="zh-CN"/>
              </w:rPr>
              <w:t>2022年底</w:t>
            </w:r>
            <w:r>
              <w:rPr>
                <w:rFonts w:hint="eastAsia"/>
                <w:vertAlign w:val="baseline"/>
                <w:lang w:eastAsia="zh-CN"/>
              </w:rPr>
              <w:t>数量（人）</w:t>
            </w:r>
          </w:p>
        </w:tc>
        <w:tc>
          <w:tcPr>
            <w:tcW w:w="946" w:type="dxa"/>
            <w:vAlign w:val="center"/>
          </w:tcPr>
          <w:p>
            <w:pPr>
              <w:jc w:val="center"/>
              <w:rPr>
                <w:rFonts w:hint="eastAsia"/>
                <w:vertAlign w:val="baseline"/>
                <w:lang w:eastAsia="zh-CN"/>
              </w:rPr>
            </w:pPr>
            <w:r>
              <w:rPr>
                <w:rFonts w:hint="eastAsia"/>
                <w:vertAlign w:val="baseline"/>
                <w:lang w:val="en-US" w:eastAsia="zh-CN"/>
              </w:rPr>
              <w:t>2023年底</w:t>
            </w:r>
            <w:r>
              <w:rPr>
                <w:rFonts w:hint="eastAsia"/>
                <w:vertAlign w:val="baseline"/>
                <w:lang w:eastAsia="zh-CN"/>
              </w:rPr>
              <w:t>数量（人）</w:t>
            </w:r>
          </w:p>
        </w:tc>
        <w:tc>
          <w:tcPr>
            <w:tcW w:w="946" w:type="dxa"/>
            <w:vAlign w:val="center"/>
          </w:tcPr>
          <w:p>
            <w:pPr>
              <w:jc w:val="center"/>
              <w:rPr>
                <w:rFonts w:hint="eastAsia"/>
                <w:vertAlign w:val="baseline"/>
                <w:lang w:eastAsia="zh-CN"/>
              </w:rPr>
            </w:pPr>
            <w:r>
              <w:rPr>
                <w:rFonts w:hint="eastAsia"/>
                <w:vertAlign w:val="baseline"/>
                <w:lang w:eastAsia="zh-CN"/>
              </w:rPr>
              <w:t>调出（人）</w:t>
            </w:r>
          </w:p>
        </w:tc>
        <w:tc>
          <w:tcPr>
            <w:tcW w:w="946" w:type="dxa"/>
            <w:vAlign w:val="center"/>
          </w:tcPr>
          <w:p>
            <w:pPr>
              <w:jc w:val="center"/>
              <w:rPr>
                <w:rFonts w:hint="eastAsia"/>
                <w:vertAlign w:val="baseline"/>
                <w:lang w:eastAsia="zh-CN"/>
              </w:rPr>
            </w:pPr>
            <w:r>
              <w:rPr>
                <w:rFonts w:hint="eastAsia"/>
                <w:vertAlign w:val="baseline"/>
                <w:lang w:eastAsia="zh-CN"/>
              </w:rPr>
              <w:t>调入（人）</w:t>
            </w:r>
          </w:p>
        </w:tc>
        <w:tc>
          <w:tcPr>
            <w:tcW w:w="946" w:type="dxa"/>
            <w:vAlign w:val="center"/>
          </w:tcPr>
          <w:p>
            <w:pPr>
              <w:jc w:val="center"/>
              <w:rPr>
                <w:rFonts w:hint="eastAsia"/>
                <w:vertAlign w:val="baseline"/>
                <w:lang w:eastAsia="zh-CN"/>
              </w:rPr>
            </w:pPr>
            <w:r>
              <w:rPr>
                <w:rFonts w:hint="eastAsia"/>
                <w:vertAlign w:val="baseline"/>
                <w:lang w:eastAsia="zh-CN"/>
              </w:rPr>
              <w:t>新增（人）</w:t>
            </w:r>
          </w:p>
        </w:tc>
        <w:tc>
          <w:tcPr>
            <w:tcW w:w="947" w:type="dxa"/>
            <w:vAlign w:val="center"/>
          </w:tcPr>
          <w:p>
            <w:pPr>
              <w:jc w:val="center"/>
              <w:rPr>
                <w:rFonts w:hint="eastAsia"/>
                <w:vertAlign w:val="baseline"/>
                <w:lang w:eastAsia="zh-CN"/>
              </w:rPr>
            </w:pPr>
            <w:r>
              <w:rPr>
                <w:rFonts w:hint="eastAsia"/>
                <w:vertAlign w:val="baseline"/>
                <w:lang w:eastAsia="zh-CN"/>
              </w:rPr>
              <w:t>退休（人）</w:t>
            </w:r>
          </w:p>
        </w:tc>
        <w:tc>
          <w:tcPr>
            <w:tcW w:w="947" w:type="dxa"/>
            <w:vAlign w:val="center"/>
          </w:tcPr>
          <w:p>
            <w:pPr>
              <w:jc w:val="center"/>
              <w:rPr>
                <w:rFonts w:hint="eastAsia"/>
                <w:vertAlign w:val="baseline"/>
                <w:lang w:eastAsia="zh-CN"/>
              </w:rPr>
            </w:pPr>
            <w:r>
              <w:rPr>
                <w:rFonts w:hint="eastAsia"/>
                <w:vertAlign w:val="baseline"/>
                <w:lang w:eastAsia="zh-CN"/>
              </w:rPr>
              <w:t>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76" w:type="dxa"/>
            <w:vAlign w:val="center"/>
          </w:tcPr>
          <w:p>
            <w:pPr>
              <w:jc w:val="center"/>
              <w:rPr>
                <w:rFonts w:hint="default"/>
                <w:vertAlign w:val="baseline"/>
                <w:lang w:val="en-US" w:eastAsia="zh-CN"/>
              </w:rPr>
            </w:pPr>
            <w:r>
              <w:rPr>
                <w:rFonts w:hint="eastAsia"/>
                <w:vertAlign w:val="baseline"/>
                <w:lang w:val="en-US" w:eastAsia="zh-CN"/>
              </w:rPr>
              <w:t>1</w:t>
            </w:r>
          </w:p>
        </w:tc>
        <w:tc>
          <w:tcPr>
            <w:tcW w:w="946" w:type="dxa"/>
            <w:vAlign w:val="center"/>
          </w:tcPr>
          <w:p>
            <w:pPr>
              <w:jc w:val="center"/>
              <w:rPr>
                <w:rFonts w:hint="eastAsia"/>
                <w:vertAlign w:val="baseline"/>
                <w:lang w:eastAsia="zh-CN"/>
              </w:rPr>
            </w:pPr>
            <w:r>
              <w:rPr>
                <w:rFonts w:hint="eastAsia"/>
                <w:vertAlign w:val="baseline"/>
                <w:lang w:eastAsia="zh-CN"/>
              </w:rPr>
              <w:t>行政编</w:t>
            </w:r>
          </w:p>
        </w:tc>
        <w:tc>
          <w:tcPr>
            <w:tcW w:w="946" w:type="dxa"/>
            <w:vAlign w:val="center"/>
          </w:tcPr>
          <w:p>
            <w:pPr>
              <w:jc w:val="center"/>
              <w:rPr>
                <w:rFonts w:hint="default"/>
                <w:vertAlign w:val="baseline"/>
                <w:lang w:val="en-US" w:eastAsia="zh-CN"/>
              </w:rPr>
            </w:pPr>
            <w:r>
              <w:rPr>
                <w:rFonts w:hint="eastAsia"/>
                <w:vertAlign w:val="baseline"/>
                <w:lang w:val="en-US" w:eastAsia="zh-CN"/>
              </w:rPr>
              <w:t>7</w:t>
            </w:r>
          </w:p>
        </w:tc>
        <w:tc>
          <w:tcPr>
            <w:tcW w:w="946" w:type="dxa"/>
            <w:vAlign w:val="center"/>
          </w:tcPr>
          <w:p>
            <w:pPr>
              <w:jc w:val="center"/>
              <w:rPr>
                <w:rFonts w:hint="default"/>
                <w:vertAlign w:val="baseline"/>
                <w:lang w:val="en-US" w:eastAsia="zh-CN"/>
              </w:rPr>
            </w:pPr>
            <w:r>
              <w:rPr>
                <w:rFonts w:hint="eastAsia"/>
                <w:vertAlign w:val="baseline"/>
                <w:lang w:val="en-US" w:eastAsia="zh-CN"/>
              </w:rPr>
              <w:t>8</w:t>
            </w:r>
          </w:p>
        </w:tc>
        <w:tc>
          <w:tcPr>
            <w:tcW w:w="946" w:type="dxa"/>
            <w:vAlign w:val="center"/>
          </w:tcPr>
          <w:p>
            <w:pPr>
              <w:jc w:val="center"/>
              <w:rPr>
                <w:rFonts w:hint="default"/>
                <w:vertAlign w:val="baseline"/>
                <w:lang w:val="en-US" w:eastAsia="zh-CN"/>
              </w:rPr>
            </w:pPr>
            <w:r>
              <w:rPr>
                <w:rFonts w:hint="eastAsia"/>
                <w:vertAlign w:val="baseline"/>
                <w:lang w:val="en-US" w:eastAsia="zh-CN"/>
              </w:rPr>
              <w:t>0</w:t>
            </w:r>
          </w:p>
        </w:tc>
        <w:tc>
          <w:tcPr>
            <w:tcW w:w="946" w:type="dxa"/>
            <w:vAlign w:val="center"/>
          </w:tcPr>
          <w:p>
            <w:pPr>
              <w:jc w:val="center"/>
              <w:rPr>
                <w:rFonts w:hint="default"/>
                <w:vertAlign w:val="baseline"/>
                <w:lang w:val="en-US" w:eastAsia="zh-CN"/>
              </w:rPr>
            </w:pPr>
            <w:r>
              <w:rPr>
                <w:rFonts w:hint="eastAsia"/>
                <w:vertAlign w:val="baseline"/>
                <w:lang w:val="en-US" w:eastAsia="zh-CN"/>
              </w:rPr>
              <w:t>1</w:t>
            </w:r>
          </w:p>
        </w:tc>
        <w:tc>
          <w:tcPr>
            <w:tcW w:w="946" w:type="dxa"/>
            <w:vAlign w:val="center"/>
          </w:tcPr>
          <w:p>
            <w:pPr>
              <w:jc w:val="center"/>
              <w:rPr>
                <w:rFonts w:hint="default"/>
                <w:vertAlign w:val="baseline"/>
                <w:lang w:val="en-US" w:eastAsia="zh-CN"/>
              </w:rPr>
            </w:pPr>
            <w:r>
              <w:rPr>
                <w:rFonts w:hint="eastAsia"/>
                <w:vertAlign w:val="baseline"/>
                <w:lang w:val="en-US" w:eastAsia="zh-CN"/>
              </w:rPr>
              <w:t>0</w:t>
            </w:r>
          </w:p>
        </w:tc>
        <w:tc>
          <w:tcPr>
            <w:tcW w:w="947" w:type="dxa"/>
            <w:vAlign w:val="center"/>
          </w:tcPr>
          <w:p>
            <w:pPr>
              <w:jc w:val="center"/>
              <w:rPr>
                <w:rFonts w:hint="default"/>
                <w:vertAlign w:val="baseline"/>
                <w:lang w:val="en-US" w:eastAsia="zh-CN"/>
              </w:rPr>
            </w:pPr>
            <w:r>
              <w:rPr>
                <w:rFonts w:hint="eastAsia"/>
                <w:vertAlign w:val="baseline"/>
                <w:lang w:val="en-US" w:eastAsia="zh-CN"/>
              </w:rPr>
              <w:t>0</w:t>
            </w:r>
          </w:p>
        </w:tc>
        <w:tc>
          <w:tcPr>
            <w:tcW w:w="947"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76" w:type="dxa"/>
            <w:vAlign w:val="center"/>
          </w:tcPr>
          <w:p>
            <w:pPr>
              <w:jc w:val="center"/>
              <w:rPr>
                <w:rFonts w:hint="default"/>
                <w:vertAlign w:val="baseline"/>
                <w:lang w:val="en-US" w:eastAsia="zh-CN"/>
              </w:rPr>
            </w:pPr>
            <w:r>
              <w:rPr>
                <w:rFonts w:hint="eastAsia"/>
                <w:vertAlign w:val="baseline"/>
                <w:lang w:val="en-US" w:eastAsia="zh-CN"/>
              </w:rPr>
              <w:t>2</w:t>
            </w:r>
          </w:p>
        </w:tc>
        <w:tc>
          <w:tcPr>
            <w:tcW w:w="946" w:type="dxa"/>
            <w:vAlign w:val="center"/>
          </w:tcPr>
          <w:p>
            <w:pPr>
              <w:jc w:val="center"/>
              <w:rPr>
                <w:rFonts w:hint="default"/>
                <w:vertAlign w:val="baseline"/>
                <w:lang w:val="en-US" w:eastAsia="zh-CN"/>
              </w:rPr>
            </w:pPr>
            <w:r>
              <w:rPr>
                <w:rFonts w:hint="eastAsia"/>
                <w:vertAlign w:val="baseline"/>
                <w:lang w:val="en-US" w:eastAsia="zh-CN"/>
              </w:rPr>
              <w:t>事业编</w:t>
            </w:r>
          </w:p>
        </w:tc>
        <w:tc>
          <w:tcPr>
            <w:tcW w:w="946" w:type="dxa"/>
            <w:vAlign w:val="center"/>
          </w:tcPr>
          <w:p>
            <w:pPr>
              <w:jc w:val="center"/>
              <w:rPr>
                <w:rFonts w:hint="default"/>
                <w:vertAlign w:val="baseline"/>
                <w:lang w:val="en-US" w:eastAsia="zh-CN"/>
              </w:rPr>
            </w:pPr>
            <w:r>
              <w:rPr>
                <w:rFonts w:hint="eastAsia"/>
                <w:vertAlign w:val="baseline"/>
                <w:lang w:val="en-US" w:eastAsia="zh-CN"/>
              </w:rPr>
              <w:t>10</w:t>
            </w:r>
          </w:p>
        </w:tc>
        <w:tc>
          <w:tcPr>
            <w:tcW w:w="946" w:type="dxa"/>
            <w:vAlign w:val="center"/>
          </w:tcPr>
          <w:p>
            <w:pPr>
              <w:jc w:val="center"/>
              <w:rPr>
                <w:rFonts w:hint="default"/>
                <w:vertAlign w:val="baseline"/>
                <w:lang w:val="en-US" w:eastAsia="zh-CN"/>
              </w:rPr>
            </w:pPr>
            <w:r>
              <w:rPr>
                <w:rFonts w:hint="eastAsia"/>
                <w:vertAlign w:val="baseline"/>
                <w:lang w:val="en-US" w:eastAsia="zh-CN"/>
              </w:rPr>
              <w:t>9</w:t>
            </w:r>
          </w:p>
        </w:tc>
        <w:tc>
          <w:tcPr>
            <w:tcW w:w="946" w:type="dxa"/>
            <w:vAlign w:val="center"/>
          </w:tcPr>
          <w:p>
            <w:pPr>
              <w:jc w:val="center"/>
              <w:rPr>
                <w:rFonts w:hint="default"/>
                <w:vertAlign w:val="baseline"/>
                <w:lang w:val="en-US" w:eastAsia="zh-CN"/>
              </w:rPr>
            </w:pPr>
            <w:r>
              <w:rPr>
                <w:rFonts w:hint="eastAsia"/>
                <w:vertAlign w:val="baseline"/>
                <w:lang w:val="en-US" w:eastAsia="zh-CN"/>
              </w:rPr>
              <w:t>1</w:t>
            </w:r>
          </w:p>
        </w:tc>
        <w:tc>
          <w:tcPr>
            <w:tcW w:w="946" w:type="dxa"/>
            <w:vAlign w:val="center"/>
          </w:tcPr>
          <w:p>
            <w:pPr>
              <w:jc w:val="center"/>
              <w:rPr>
                <w:rFonts w:hint="eastAsia"/>
                <w:vertAlign w:val="baseline"/>
                <w:lang w:eastAsia="zh-CN"/>
              </w:rPr>
            </w:pPr>
          </w:p>
        </w:tc>
        <w:tc>
          <w:tcPr>
            <w:tcW w:w="946" w:type="dxa"/>
            <w:vAlign w:val="center"/>
          </w:tcPr>
          <w:p>
            <w:pPr>
              <w:jc w:val="center"/>
              <w:rPr>
                <w:rFonts w:hint="eastAsia"/>
                <w:vertAlign w:val="baseline"/>
                <w:lang w:val="en-US" w:eastAsia="zh-CN"/>
              </w:rPr>
            </w:pPr>
          </w:p>
        </w:tc>
        <w:tc>
          <w:tcPr>
            <w:tcW w:w="947" w:type="dxa"/>
            <w:vAlign w:val="center"/>
          </w:tcPr>
          <w:p>
            <w:pPr>
              <w:jc w:val="center"/>
              <w:rPr>
                <w:rFonts w:hint="eastAsia"/>
                <w:vertAlign w:val="baseline"/>
                <w:lang w:val="en-US" w:eastAsia="zh-CN"/>
              </w:rPr>
            </w:pPr>
          </w:p>
        </w:tc>
        <w:tc>
          <w:tcPr>
            <w:tcW w:w="947"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76" w:type="dxa"/>
            <w:vAlign w:val="center"/>
          </w:tcPr>
          <w:p>
            <w:pPr>
              <w:jc w:val="center"/>
              <w:rPr>
                <w:rFonts w:hint="default"/>
                <w:vertAlign w:val="baseline"/>
                <w:lang w:val="en-US" w:eastAsia="zh-CN"/>
              </w:rPr>
            </w:pPr>
            <w:r>
              <w:rPr>
                <w:rFonts w:hint="eastAsia"/>
                <w:vertAlign w:val="baseline"/>
                <w:lang w:val="en-US" w:eastAsia="zh-CN"/>
              </w:rPr>
              <w:t>3</w:t>
            </w:r>
          </w:p>
        </w:tc>
        <w:tc>
          <w:tcPr>
            <w:tcW w:w="946" w:type="dxa"/>
            <w:vAlign w:val="center"/>
          </w:tcPr>
          <w:p>
            <w:pPr>
              <w:jc w:val="center"/>
              <w:rPr>
                <w:rFonts w:hint="default"/>
                <w:vertAlign w:val="baseline"/>
                <w:lang w:val="en-US" w:eastAsia="zh-CN"/>
              </w:rPr>
            </w:pPr>
            <w:r>
              <w:rPr>
                <w:rFonts w:hint="eastAsia"/>
                <w:vertAlign w:val="baseline"/>
                <w:lang w:val="en-US" w:eastAsia="zh-CN"/>
              </w:rPr>
              <w:t>长期聘用</w:t>
            </w:r>
          </w:p>
        </w:tc>
        <w:tc>
          <w:tcPr>
            <w:tcW w:w="946" w:type="dxa"/>
            <w:vAlign w:val="center"/>
          </w:tcPr>
          <w:p>
            <w:pPr>
              <w:jc w:val="center"/>
              <w:rPr>
                <w:rFonts w:hint="default"/>
                <w:vertAlign w:val="baseline"/>
                <w:lang w:val="en-US" w:eastAsia="zh-CN"/>
              </w:rPr>
            </w:pPr>
            <w:r>
              <w:rPr>
                <w:rFonts w:hint="eastAsia"/>
                <w:vertAlign w:val="baseline"/>
                <w:lang w:val="en-US" w:eastAsia="zh-CN"/>
              </w:rPr>
              <w:t>18</w:t>
            </w:r>
          </w:p>
        </w:tc>
        <w:tc>
          <w:tcPr>
            <w:tcW w:w="946" w:type="dxa"/>
            <w:vAlign w:val="center"/>
          </w:tcPr>
          <w:p>
            <w:pPr>
              <w:jc w:val="center"/>
              <w:rPr>
                <w:rFonts w:hint="default"/>
                <w:vertAlign w:val="baseline"/>
                <w:lang w:val="en-US" w:eastAsia="zh-CN"/>
              </w:rPr>
            </w:pPr>
            <w:r>
              <w:rPr>
                <w:rFonts w:hint="eastAsia"/>
                <w:vertAlign w:val="baseline"/>
                <w:lang w:val="en-US" w:eastAsia="zh-CN"/>
              </w:rPr>
              <w:t>15</w:t>
            </w:r>
          </w:p>
        </w:tc>
        <w:tc>
          <w:tcPr>
            <w:tcW w:w="946" w:type="dxa"/>
            <w:vAlign w:val="center"/>
          </w:tcPr>
          <w:p>
            <w:pPr>
              <w:jc w:val="center"/>
              <w:rPr>
                <w:rFonts w:hint="default"/>
                <w:vertAlign w:val="baseline"/>
                <w:lang w:val="en-US" w:eastAsia="zh-CN"/>
              </w:rPr>
            </w:pPr>
            <w:r>
              <w:rPr>
                <w:rFonts w:hint="eastAsia"/>
                <w:vertAlign w:val="baseline"/>
                <w:lang w:val="en-US" w:eastAsia="zh-CN"/>
              </w:rPr>
              <w:t>3</w:t>
            </w:r>
          </w:p>
        </w:tc>
        <w:tc>
          <w:tcPr>
            <w:tcW w:w="946" w:type="dxa"/>
            <w:vAlign w:val="center"/>
          </w:tcPr>
          <w:p>
            <w:pPr>
              <w:jc w:val="center"/>
              <w:rPr>
                <w:rFonts w:hint="eastAsia"/>
                <w:vertAlign w:val="baseline"/>
                <w:lang w:eastAsia="zh-CN"/>
              </w:rPr>
            </w:pPr>
          </w:p>
        </w:tc>
        <w:tc>
          <w:tcPr>
            <w:tcW w:w="946" w:type="dxa"/>
            <w:vAlign w:val="center"/>
          </w:tcPr>
          <w:p>
            <w:pPr>
              <w:jc w:val="center"/>
              <w:rPr>
                <w:rFonts w:hint="eastAsia"/>
                <w:vertAlign w:val="baseline"/>
                <w:lang w:val="en-US" w:eastAsia="zh-CN"/>
              </w:rPr>
            </w:pPr>
          </w:p>
        </w:tc>
        <w:tc>
          <w:tcPr>
            <w:tcW w:w="947" w:type="dxa"/>
            <w:vAlign w:val="center"/>
          </w:tcPr>
          <w:p>
            <w:pPr>
              <w:jc w:val="center"/>
              <w:rPr>
                <w:rFonts w:hint="eastAsia"/>
                <w:vertAlign w:val="baseline"/>
                <w:lang w:val="en-US" w:eastAsia="zh-CN"/>
              </w:rPr>
            </w:pPr>
          </w:p>
        </w:tc>
        <w:tc>
          <w:tcPr>
            <w:tcW w:w="947"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76" w:type="dxa"/>
            <w:vAlign w:val="center"/>
          </w:tcPr>
          <w:p>
            <w:pPr>
              <w:jc w:val="center"/>
              <w:rPr>
                <w:rFonts w:hint="default"/>
                <w:vertAlign w:val="baseline"/>
                <w:lang w:val="en-US" w:eastAsia="zh-CN"/>
              </w:rPr>
            </w:pPr>
            <w:r>
              <w:rPr>
                <w:rFonts w:hint="eastAsia"/>
                <w:vertAlign w:val="baseline"/>
                <w:lang w:val="en-US" w:eastAsia="zh-CN"/>
              </w:rPr>
              <w:t>4</w:t>
            </w:r>
          </w:p>
        </w:tc>
        <w:tc>
          <w:tcPr>
            <w:tcW w:w="946" w:type="dxa"/>
            <w:vAlign w:val="center"/>
          </w:tcPr>
          <w:p>
            <w:pPr>
              <w:jc w:val="center"/>
              <w:rPr>
                <w:rFonts w:hint="default"/>
                <w:vertAlign w:val="baseline"/>
                <w:lang w:val="en-US" w:eastAsia="zh-CN"/>
              </w:rPr>
            </w:pPr>
            <w:r>
              <w:rPr>
                <w:rFonts w:hint="eastAsia"/>
                <w:vertAlign w:val="baseline"/>
                <w:lang w:val="en-US" w:eastAsia="zh-CN"/>
              </w:rPr>
              <w:t>劳务派遣</w:t>
            </w:r>
          </w:p>
        </w:tc>
        <w:tc>
          <w:tcPr>
            <w:tcW w:w="946" w:type="dxa"/>
            <w:vAlign w:val="center"/>
          </w:tcPr>
          <w:p>
            <w:pPr>
              <w:jc w:val="center"/>
              <w:rPr>
                <w:rFonts w:hint="default"/>
                <w:vertAlign w:val="baseline"/>
                <w:lang w:val="en-US" w:eastAsia="zh-CN"/>
              </w:rPr>
            </w:pPr>
            <w:r>
              <w:rPr>
                <w:rFonts w:hint="eastAsia"/>
                <w:vertAlign w:val="baseline"/>
                <w:lang w:val="en-US" w:eastAsia="zh-CN"/>
              </w:rPr>
              <w:t>86</w:t>
            </w:r>
          </w:p>
        </w:tc>
        <w:tc>
          <w:tcPr>
            <w:tcW w:w="946" w:type="dxa"/>
            <w:vAlign w:val="center"/>
          </w:tcPr>
          <w:p>
            <w:pPr>
              <w:jc w:val="center"/>
              <w:rPr>
                <w:rFonts w:hint="default"/>
                <w:vertAlign w:val="baseline"/>
                <w:lang w:val="en-US" w:eastAsia="zh-CN"/>
              </w:rPr>
            </w:pPr>
            <w:r>
              <w:rPr>
                <w:rFonts w:hint="eastAsia"/>
                <w:vertAlign w:val="baseline"/>
                <w:lang w:val="en-US" w:eastAsia="zh-CN"/>
              </w:rPr>
              <w:t>91</w:t>
            </w:r>
          </w:p>
        </w:tc>
        <w:tc>
          <w:tcPr>
            <w:tcW w:w="946" w:type="dxa"/>
            <w:vAlign w:val="center"/>
          </w:tcPr>
          <w:p>
            <w:pPr>
              <w:jc w:val="center"/>
              <w:rPr>
                <w:rFonts w:hint="eastAsia"/>
                <w:vertAlign w:val="baseline"/>
                <w:lang w:val="en-US" w:eastAsia="zh-CN"/>
              </w:rPr>
            </w:pPr>
          </w:p>
        </w:tc>
        <w:tc>
          <w:tcPr>
            <w:tcW w:w="946" w:type="dxa"/>
            <w:vAlign w:val="center"/>
          </w:tcPr>
          <w:p>
            <w:pPr>
              <w:jc w:val="center"/>
              <w:rPr>
                <w:rFonts w:hint="eastAsia"/>
                <w:vertAlign w:val="baseline"/>
                <w:lang w:eastAsia="zh-CN"/>
              </w:rPr>
            </w:pPr>
          </w:p>
        </w:tc>
        <w:tc>
          <w:tcPr>
            <w:tcW w:w="946" w:type="dxa"/>
            <w:vAlign w:val="center"/>
          </w:tcPr>
          <w:p>
            <w:pPr>
              <w:jc w:val="center"/>
              <w:rPr>
                <w:rFonts w:hint="default"/>
                <w:vertAlign w:val="baseline"/>
                <w:lang w:val="en-US" w:eastAsia="zh-CN"/>
              </w:rPr>
            </w:pPr>
            <w:r>
              <w:rPr>
                <w:rFonts w:hint="eastAsia"/>
                <w:vertAlign w:val="baseline"/>
                <w:lang w:val="en-US" w:eastAsia="zh-CN"/>
              </w:rPr>
              <w:t>5</w:t>
            </w:r>
          </w:p>
        </w:tc>
        <w:tc>
          <w:tcPr>
            <w:tcW w:w="947" w:type="dxa"/>
            <w:vAlign w:val="center"/>
          </w:tcPr>
          <w:p>
            <w:pPr>
              <w:jc w:val="center"/>
              <w:rPr>
                <w:rFonts w:hint="eastAsia"/>
                <w:vertAlign w:val="baseline"/>
                <w:lang w:val="en-US" w:eastAsia="zh-CN"/>
              </w:rPr>
            </w:pPr>
          </w:p>
        </w:tc>
        <w:tc>
          <w:tcPr>
            <w:tcW w:w="947" w:type="dxa"/>
            <w:vAlign w:val="center"/>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76" w:type="dxa"/>
            <w:vAlign w:val="center"/>
          </w:tcPr>
          <w:p>
            <w:pPr>
              <w:jc w:val="center"/>
              <w:rPr>
                <w:rFonts w:hint="default"/>
                <w:vertAlign w:val="baseline"/>
                <w:lang w:val="en-US" w:eastAsia="zh-CN"/>
              </w:rPr>
            </w:pPr>
            <w:r>
              <w:rPr>
                <w:rFonts w:hint="eastAsia"/>
                <w:vertAlign w:val="baseline"/>
                <w:lang w:val="en-US" w:eastAsia="zh-CN"/>
              </w:rPr>
              <w:t>合计</w:t>
            </w:r>
          </w:p>
        </w:tc>
        <w:tc>
          <w:tcPr>
            <w:tcW w:w="946" w:type="dxa"/>
            <w:vAlign w:val="center"/>
          </w:tcPr>
          <w:p>
            <w:pPr>
              <w:jc w:val="center"/>
              <w:rPr>
                <w:rFonts w:hint="eastAsia"/>
                <w:vertAlign w:val="baseline"/>
                <w:lang w:val="en-US" w:eastAsia="zh-CN"/>
              </w:rPr>
            </w:pPr>
          </w:p>
        </w:tc>
        <w:tc>
          <w:tcPr>
            <w:tcW w:w="946" w:type="dxa"/>
            <w:vAlign w:val="center"/>
          </w:tcPr>
          <w:p>
            <w:pPr>
              <w:jc w:val="center"/>
              <w:rPr>
                <w:rFonts w:hint="default"/>
                <w:vertAlign w:val="baseline"/>
                <w:lang w:val="en-US" w:eastAsia="zh-CN"/>
              </w:rPr>
            </w:pPr>
            <w:r>
              <w:rPr>
                <w:rFonts w:hint="eastAsia"/>
                <w:vertAlign w:val="baseline"/>
                <w:lang w:val="en-US" w:eastAsia="zh-CN"/>
              </w:rPr>
              <w:t>121</w:t>
            </w:r>
          </w:p>
        </w:tc>
        <w:tc>
          <w:tcPr>
            <w:tcW w:w="946" w:type="dxa"/>
            <w:vAlign w:val="center"/>
          </w:tcPr>
          <w:p>
            <w:pPr>
              <w:jc w:val="center"/>
              <w:rPr>
                <w:rFonts w:hint="default"/>
                <w:vertAlign w:val="baseline"/>
                <w:lang w:val="en-US" w:eastAsia="zh-CN"/>
              </w:rPr>
            </w:pPr>
            <w:r>
              <w:rPr>
                <w:rFonts w:hint="eastAsia"/>
                <w:vertAlign w:val="baseline"/>
                <w:lang w:val="en-US" w:eastAsia="zh-CN"/>
              </w:rPr>
              <w:t>123</w:t>
            </w:r>
          </w:p>
        </w:tc>
        <w:tc>
          <w:tcPr>
            <w:tcW w:w="946" w:type="dxa"/>
            <w:vAlign w:val="center"/>
          </w:tcPr>
          <w:p>
            <w:pPr>
              <w:jc w:val="center"/>
              <w:rPr>
                <w:rFonts w:hint="eastAsia"/>
                <w:vertAlign w:val="baseline"/>
                <w:lang w:val="en-US" w:eastAsia="zh-CN"/>
              </w:rPr>
            </w:pPr>
          </w:p>
        </w:tc>
        <w:tc>
          <w:tcPr>
            <w:tcW w:w="946" w:type="dxa"/>
            <w:vAlign w:val="center"/>
          </w:tcPr>
          <w:p>
            <w:pPr>
              <w:jc w:val="center"/>
              <w:rPr>
                <w:rFonts w:hint="eastAsia"/>
                <w:vertAlign w:val="baseline"/>
                <w:lang w:eastAsia="zh-CN"/>
              </w:rPr>
            </w:pPr>
          </w:p>
        </w:tc>
        <w:tc>
          <w:tcPr>
            <w:tcW w:w="946" w:type="dxa"/>
            <w:vAlign w:val="center"/>
          </w:tcPr>
          <w:p>
            <w:pPr>
              <w:jc w:val="center"/>
              <w:rPr>
                <w:rFonts w:hint="eastAsia"/>
                <w:vertAlign w:val="baseline"/>
                <w:lang w:val="en-US" w:eastAsia="zh-CN"/>
              </w:rPr>
            </w:pPr>
          </w:p>
        </w:tc>
        <w:tc>
          <w:tcPr>
            <w:tcW w:w="947" w:type="dxa"/>
            <w:vAlign w:val="center"/>
          </w:tcPr>
          <w:p>
            <w:pPr>
              <w:jc w:val="center"/>
              <w:rPr>
                <w:rFonts w:hint="eastAsia"/>
                <w:vertAlign w:val="baseline"/>
                <w:lang w:val="en-US" w:eastAsia="zh-CN"/>
              </w:rPr>
            </w:pPr>
          </w:p>
        </w:tc>
        <w:tc>
          <w:tcPr>
            <w:tcW w:w="947" w:type="dxa"/>
            <w:vAlign w:val="center"/>
          </w:tcPr>
          <w:p>
            <w:pPr>
              <w:jc w:val="center"/>
              <w:rPr>
                <w:rFonts w:hint="eastAsia"/>
                <w:vertAlign w:val="baseline"/>
                <w:lang w:eastAsia="zh-CN"/>
              </w:rPr>
            </w:pPr>
          </w:p>
        </w:tc>
      </w:tr>
    </w:tbl>
    <w:p>
      <w:pPr>
        <w:pStyle w:val="4"/>
        <w:keepNext w:val="0"/>
        <w:keepLines w:val="0"/>
        <w:pageBreakBefore w:val="0"/>
        <w:widowControl w:val="0"/>
        <w:kinsoku/>
        <w:wordWrap/>
        <w:overflowPunct/>
        <w:topLinePunct w:val="0"/>
        <w:autoSpaceDE/>
        <w:autoSpaceDN/>
        <w:bidi w:val="0"/>
        <w:adjustRightInd w:val="0"/>
        <w:snapToGrid w:val="0"/>
        <w:spacing w:before="0" w:line="480" w:lineRule="exact"/>
        <w:ind w:left="0" w:leftChars="0" w:right="0" w:firstLine="0" w:firstLineChars="0"/>
        <w:jc w:val="center"/>
        <w:textAlignment w:val="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党政办2023年度人员情况变动表</w:t>
      </w:r>
    </w:p>
    <w:p>
      <w:pPr>
        <w:pStyle w:val="4"/>
        <w:keepNext w:val="0"/>
        <w:keepLines w:val="0"/>
        <w:pageBreakBefore w:val="0"/>
        <w:widowControl w:val="0"/>
        <w:kinsoku/>
        <w:wordWrap/>
        <w:overflowPunct/>
        <w:topLinePunct w:val="0"/>
        <w:autoSpaceDE/>
        <w:autoSpaceDN/>
        <w:bidi w:val="0"/>
        <w:adjustRightInd w:val="0"/>
        <w:snapToGrid w:val="0"/>
        <w:spacing w:before="0" w:line="480" w:lineRule="exact"/>
        <w:ind w:left="0" w:right="0" w:firstLine="640" w:firstLineChars="200"/>
        <w:jc w:val="left"/>
        <w:textAlignment w:val="auto"/>
        <w:rPr>
          <w:rFonts w:hint="eastAsia" w:ascii="楷体_GB2312" w:hAnsi="仿宋" w:eastAsia="楷体_GB2312"/>
          <w:b/>
          <w:sz w:val="32"/>
          <w:szCs w:val="32"/>
          <w:lang w:eastAsia="zh-CN"/>
        </w:rPr>
      </w:pPr>
      <w:r>
        <w:rPr>
          <w:rFonts w:hint="eastAsia"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lang w:eastAsia="zh-CN"/>
        </w:rPr>
        <w:t>年度，</w:t>
      </w:r>
      <w:r>
        <w:rPr>
          <w:rFonts w:hint="eastAsia" w:ascii="仿宋" w:hAnsi="仿宋" w:eastAsia="仿宋"/>
          <w:sz w:val="32"/>
          <w:szCs w:val="32"/>
          <w:lang w:val="en-US" w:eastAsia="zh-CN"/>
        </w:rPr>
        <w:t>党政办</w:t>
      </w:r>
      <w:r>
        <w:rPr>
          <w:rFonts w:hint="eastAsia" w:ascii="仿宋" w:hAnsi="仿宋" w:eastAsia="仿宋"/>
          <w:sz w:val="32"/>
          <w:szCs w:val="32"/>
          <w:lang w:eastAsia="zh-CN"/>
        </w:rPr>
        <w:t>实有人数</w:t>
      </w:r>
      <w:r>
        <w:rPr>
          <w:rFonts w:hint="eastAsia" w:ascii="仿宋" w:hAnsi="仿宋" w:eastAsia="仿宋"/>
          <w:sz w:val="32"/>
          <w:szCs w:val="32"/>
          <w:lang w:val="en-US" w:eastAsia="zh-CN"/>
        </w:rPr>
        <w:t>123人。</w:t>
      </w:r>
      <w:r>
        <w:rPr>
          <w:rFonts w:hint="eastAsia" w:ascii="仿宋" w:hAnsi="仿宋" w:eastAsia="仿宋"/>
          <w:sz w:val="32"/>
          <w:szCs w:val="32"/>
          <w:lang w:eastAsia="zh-CN"/>
        </w:rPr>
        <w:t>比</w:t>
      </w:r>
      <w:r>
        <w:rPr>
          <w:rFonts w:hint="eastAsia" w:ascii="仿宋" w:hAnsi="仿宋" w:eastAsia="仿宋"/>
          <w:sz w:val="32"/>
          <w:szCs w:val="32"/>
          <w:lang w:val="en-US" w:eastAsia="zh-CN"/>
        </w:rPr>
        <w:t>2022年度增加2人。</w:t>
      </w:r>
      <w:r>
        <w:rPr>
          <w:rFonts w:hint="eastAsia" w:ascii="仿宋" w:hAnsi="仿宋" w:eastAsia="仿宋"/>
          <w:sz w:val="32"/>
          <w:szCs w:val="32"/>
          <w:lang w:eastAsia="zh-CN"/>
        </w:rPr>
        <w:t>主要是人员工作调动发生变化，新增劳务派遣人员</w:t>
      </w:r>
      <w:r>
        <w:rPr>
          <w:rFonts w:hint="eastAsia" w:ascii="仿宋" w:hAnsi="仿宋" w:eastAsia="仿宋"/>
          <w:sz w:val="32"/>
          <w:szCs w:val="32"/>
          <w:lang w:val="en-US" w:eastAsia="zh-CN"/>
        </w:rPr>
        <w:t>5名</w:t>
      </w:r>
      <w:r>
        <w:rPr>
          <w:rFonts w:hint="eastAsia" w:ascii="仿宋" w:hAnsi="仿宋" w:eastAsia="仿宋"/>
          <w:sz w:val="32"/>
          <w:szCs w:val="32"/>
          <w:lang w:eastAsia="zh-CN"/>
        </w:rPr>
        <w:t>。</w:t>
      </w:r>
    </w:p>
    <w:p>
      <w:pPr>
        <w:numPr>
          <w:ilvl w:val="0"/>
          <w:numId w:val="1"/>
        </w:numPr>
        <w:snapToGrid w:val="0"/>
        <w:spacing w:line="520" w:lineRule="exact"/>
        <w:ind w:left="17" w:leftChars="0" w:firstLine="643" w:firstLineChars="0"/>
        <w:rPr>
          <w:rFonts w:hint="eastAsia" w:ascii="楷体_GB2312" w:hAnsi="仿宋" w:eastAsia="楷体_GB2312"/>
          <w:b/>
          <w:sz w:val="32"/>
          <w:szCs w:val="32"/>
          <w:highlight w:val="none"/>
          <w:lang w:eastAsia="zh-CN"/>
        </w:rPr>
      </w:pPr>
      <w:r>
        <w:rPr>
          <w:rFonts w:hint="eastAsia" w:ascii="楷体_GB2312" w:hAnsi="仿宋" w:eastAsia="楷体_GB2312"/>
          <w:b/>
          <w:sz w:val="32"/>
          <w:szCs w:val="32"/>
          <w:highlight w:val="none"/>
          <w:lang w:eastAsia="zh-CN"/>
        </w:rPr>
        <w:t>当年取得的主要事业成效</w:t>
      </w:r>
    </w:p>
    <w:p>
      <w:pPr>
        <w:spacing w:line="570" w:lineRule="exact"/>
        <w:ind w:firstLine="640" w:firstLineChars="200"/>
        <w:rPr>
          <w:rFonts w:hint="eastAsia" w:ascii="仿宋" w:hAnsi="仿宋" w:eastAsia="仿宋" w:cstheme="minorBidi"/>
          <w:kern w:val="0"/>
          <w:sz w:val="32"/>
          <w:szCs w:val="32"/>
          <w:lang w:val="en-US" w:eastAsia="zh-CN" w:bidi="ar-SA"/>
        </w:rPr>
      </w:pPr>
      <w:r>
        <w:rPr>
          <w:rFonts w:hint="eastAsia" w:ascii="仿宋" w:hAnsi="仿宋" w:eastAsia="仿宋" w:cstheme="minorBidi"/>
          <w:kern w:val="0"/>
          <w:sz w:val="32"/>
          <w:szCs w:val="32"/>
          <w:lang w:val="en-US" w:eastAsia="zh-CN" w:bidi="ar-SA"/>
        </w:rPr>
        <w:t>2023年，党政综合办公室在党工委、管委会的正确领导下，认真履行工作职责，不断深化服务意识，有效改进管理方法，严格按照《唐山海港经济开发区党政综合办公室内部量化考核办法》，全面落实“人头对人头”工作要求，全力实现“四高”“八办”“六不让”工作目标。</w:t>
      </w:r>
    </w:p>
    <w:p>
      <w:pPr>
        <w:spacing w:line="570" w:lineRule="exact"/>
        <w:ind w:firstLine="640" w:firstLineChars="200"/>
        <w:rPr>
          <w:rFonts w:hint="eastAsia" w:ascii="仿宋" w:hAnsi="仿宋" w:eastAsia="仿宋" w:cstheme="minorBidi"/>
          <w:kern w:val="0"/>
          <w:sz w:val="32"/>
          <w:szCs w:val="32"/>
          <w:lang w:val="en-US" w:eastAsia="zh-CN" w:bidi="ar-SA"/>
        </w:rPr>
      </w:pPr>
      <w:r>
        <w:rPr>
          <w:rFonts w:hint="eastAsia" w:ascii="仿宋" w:hAnsi="仿宋" w:eastAsia="仿宋" w:cstheme="minorBidi"/>
          <w:kern w:val="0"/>
          <w:sz w:val="32"/>
          <w:szCs w:val="32"/>
          <w:lang w:val="en-US" w:eastAsia="zh-CN" w:bidi="ar-SA"/>
        </w:rPr>
        <w:t>一、突出政治建设，用绝对忠诚永葆政治本色。坚持把政治标准放在首位，坚定政治立场、把稳政治方向，努力当好党工委、管委会的“前哨后院”。一是加强理论学习。学习贯彻习近平新时代中国特色社会主义思想，牢牢把握“学思想、强党性、重实践、建新功”总要求，将理论学习、调查研究、推动发展和检视整改贯通起来，积极开展16次集中学习研讨活动，充分利用学习强国APP、河北干部网络学习平台、新华网等学习形式开展主题教育专题学习，开拓学习思路。二是加强从严治党。严格落实全面从严治党主体责任，将责任层层分解到各科室，形成齐抓共管的浓厚氛围。坚持把制度建设作为加强组织建设的重要举措，狠抓民主评议党员、组织生活、谈心谈话等制度落实，专项检查区财政局、区商务局等23个党支部组织生活会开展情况，推动全面从严治党走深走实。三是加强廉政建设。持续开展纠正“四风”和作风纪律专项整治工作，引导全体党员干部时刻铭记纪律红线和干事底线，做到严于律己、克己奉公、一尘不染，开展日常监督检查50余次、会风会纪检查47次，发现违反工作纪律问题5个，全部整改完成，全区党员干部作风持续向好。</w:t>
      </w:r>
    </w:p>
    <w:p>
      <w:pPr>
        <w:spacing w:line="570" w:lineRule="exact"/>
        <w:ind w:firstLine="640" w:firstLineChars="200"/>
        <w:rPr>
          <w:rFonts w:hint="eastAsia" w:ascii="仿宋" w:hAnsi="仿宋" w:eastAsia="仿宋" w:cstheme="minorBidi"/>
          <w:kern w:val="0"/>
          <w:sz w:val="32"/>
          <w:szCs w:val="32"/>
          <w:lang w:val="en-US" w:eastAsia="zh-CN" w:bidi="ar-SA"/>
        </w:rPr>
      </w:pPr>
      <w:r>
        <w:rPr>
          <w:rFonts w:hint="eastAsia" w:ascii="仿宋" w:hAnsi="仿宋" w:eastAsia="仿宋" w:cstheme="minorBidi"/>
          <w:kern w:val="0"/>
          <w:sz w:val="32"/>
          <w:szCs w:val="32"/>
          <w:lang w:val="en-US" w:eastAsia="zh-CN" w:bidi="ar-SA"/>
        </w:rPr>
        <w:t>二、精进业务水平，用过硬本领当好参谋助手。紧紧围绕党工委、管委会决策部署，努力提高标准和质量，切实做好综合辅政工作。一是以文辅政精益求精。牢固树立精品意识，高质量起草了刘景健同志在2023年全区重点工作动员部署会议上的讲话、2023年度海港经济开发区工作总结及2024年工作谋划等重要文稿、讲话提纲等200余篇，上报各类信息670条，党委信息全市考核评比中开发区组排名第一、获评“唐山市2023年度党委信息工作优胜单位”（最高奖项），政务信息全市考核评比中全市排名第3（开发区组第一）、获评“唐山市2023年度政务信息工作优胜单位”（最高奖项）。深入开展调查研究，服务党工委、管委会主要领导调研38人次，梳理汇总各级领导干部调研报告80篇，发现并解决问题160个，形成了一批制度成果和决策成果。二是以督辅政务实高效。圆满完成市委市政府“人头对人头”重点任务专项督导检查12次，制定重点工作事项表，对277项重点任务周调度压茬推进，下发交办事项、会议议定事项督办单93张，目前184项已办结，93项持续推进，形成《督查事项专报》19期，力促项目建设等重点工作再上新台阶。三是以智辅政再添新力。11月上旬智慧城市运营中心投入试运行，整合了18家单位的17个平台、6000路视频、151万项数据资源，接入了2912345书记热线、“爱海港随手拍”“智慧报警”等服务，全面梳理企业群众反映、网格员上报、AI识别等各种平台渠道反映的问题诉求，初步构建了“一网统管”事件处置体系，实现了一屏“观海港”。</w:t>
      </w:r>
    </w:p>
    <w:p>
      <w:pPr>
        <w:spacing w:line="570" w:lineRule="exact"/>
        <w:ind w:firstLine="640" w:firstLineChars="200"/>
        <w:rPr>
          <w:rFonts w:hint="eastAsia" w:ascii="仿宋" w:hAnsi="仿宋" w:eastAsia="仿宋" w:cstheme="minorBidi"/>
          <w:kern w:val="0"/>
          <w:sz w:val="32"/>
          <w:szCs w:val="32"/>
          <w:lang w:val="en-US" w:eastAsia="zh-CN" w:bidi="ar-SA"/>
        </w:rPr>
      </w:pPr>
      <w:r>
        <w:rPr>
          <w:rFonts w:hint="eastAsia" w:ascii="仿宋" w:hAnsi="仿宋" w:eastAsia="仿宋" w:cstheme="minorBidi"/>
          <w:kern w:val="0"/>
          <w:sz w:val="32"/>
          <w:szCs w:val="32"/>
          <w:lang w:val="en-US" w:eastAsia="zh-CN" w:bidi="ar-SA"/>
        </w:rPr>
        <w:t>三、发挥中枢作用，用服务协调强化工作纽带。牢固树立“一盘棋”思想和大局观念，充分发挥承上启下、协调左右的作用，推动全区整体工作有序开展。一是办文办会求精求细。严把行文、运转、审批关，坚持“即收即办、即送即审、全程跟踪”原则，及时有序处理公文6327件；按照“会前准备充分，会中服务规范，会议秩序井然，会后落实有力”的要求，组织党工委、党政联席、重点工作调度会等各类会议230余次，会议质量持续向好。二是为民服务高效便捷。受理群众反馈问题13009件，综合办结率98.5%，群众呼声得到有效回应，“急难愁盼”得到切实解决，获长城新媒体集团等感谢类热线件13件，累计排名全市第3。三是深化改革全面落实。根据中央、省、市工作安排，聚焦重点领域和关键环节，积极协调各单位圆满完成市达改革工作95项，按时上报全面深化改革年度工作总结等各类材料200余篇，2023年度省委改革考核任务推进情况在全市获优秀档次，《聚焦优质均衡 打通农村学生进城的绿色通道》获评2023年度唐山市“优秀改革创新经验”。</w:t>
      </w:r>
    </w:p>
    <w:p>
      <w:pPr>
        <w:numPr>
          <w:ilvl w:val="0"/>
          <w:numId w:val="0"/>
        </w:numPr>
        <w:snapToGrid w:val="0"/>
        <w:spacing w:line="520" w:lineRule="exact"/>
        <w:ind w:left="660" w:leftChars="0"/>
        <w:rPr>
          <w:rFonts w:hint="eastAsia" w:ascii="仿宋" w:hAnsi="仿宋" w:eastAsia="仿宋" w:cstheme="minorBidi"/>
          <w:kern w:val="0"/>
          <w:sz w:val="32"/>
          <w:szCs w:val="32"/>
          <w:lang w:val="en-US" w:eastAsia="zh-CN" w:bidi="ar-SA"/>
        </w:rPr>
      </w:pPr>
      <w:r>
        <w:rPr>
          <w:rFonts w:hint="eastAsia" w:ascii="仿宋" w:hAnsi="仿宋" w:eastAsia="仿宋" w:cstheme="minorBidi"/>
          <w:kern w:val="0"/>
          <w:sz w:val="32"/>
          <w:szCs w:val="32"/>
          <w:lang w:val="en-US" w:eastAsia="zh-CN" w:bidi="ar-SA"/>
        </w:rPr>
        <w:t>四、提升工作质效，用责任担当做好综合保障。积极拓宽工作领域，持续提升工作水平，保障了政务工作的高效有序运转。一是事务服务提质增效。加强食堂、门卫、保洁、宿管、公务用车等管理工作，提高后勤保障能力，做好办公用房整合搬迁工作，完成各部门报修319次、巡视检修226次，保障机关正常高效运行，改造北楼楼道及建设大厦照明、机关院内洗车设施，节约能耗效果明显。二是公务接待节约规范。认真落实中央“八项规定”精神，严格接待纪律，统筹安排公务接待，确保接待服务质量的同时，有效避免资源浪费，高标准完成政务接待135次，商务接待180次，圆满完成全市重点项目观摩等一系列接待任务。</w:t>
      </w:r>
    </w:p>
    <w:p>
      <w:pPr>
        <w:pStyle w:val="4"/>
        <w:adjustRightInd w:val="0"/>
        <w:snapToGrid w:val="0"/>
        <w:spacing w:before="0" w:line="480" w:lineRule="exact"/>
        <w:ind w:left="0" w:leftChars="0" w:right="33" w:firstLine="640" w:firstLineChars="200"/>
        <w:rPr>
          <w:rFonts w:ascii="黑体" w:hAnsi="黑体" w:eastAsia="黑体" w:cs="黑体"/>
          <w:sz w:val="32"/>
          <w:szCs w:val="32"/>
          <w:lang w:eastAsia="zh-CN"/>
        </w:rPr>
      </w:pPr>
      <w:r>
        <w:rPr>
          <w:rFonts w:ascii="黑体" w:hAnsi="黑体" w:eastAsia="黑体" w:cs="黑体"/>
          <w:sz w:val="32"/>
          <w:szCs w:val="32"/>
          <w:lang w:eastAsia="zh-CN"/>
        </w:rPr>
        <w:t>二、收</w:t>
      </w:r>
      <w:r>
        <w:rPr>
          <w:rFonts w:hint="eastAsia" w:ascii="黑体" w:hAnsi="黑体" w:eastAsia="黑体" w:cs="黑体"/>
          <w:sz w:val="32"/>
          <w:szCs w:val="32"/>
          <w:lang w:eastAsia="zh-CN"/>
        </w:rPr>
        <w:t>入支出预算执行情况分析</w:t>
      </w:r>
    </w:p>
    <w:p>
      <w:pPr>
        <w:snapToGrid w:val="0"/>
        <w:spacing w:line="520" w:lineRule="exact"/>
        <w:ind w:firstLine="643" w:firstLineChars="200"/>
        <w:rPr>
          <w:rFonts w:hint="eastAsia" w:ascii="楷体_GB2312" w:hAnsi="仿宋" w:eastAsia="楷体_GB2312"/>
          <w:b/>
          <w:sz w:val="32"/>
          <w:szCs w:val="32"/>
          <w:lang w:eastAsia="zh-CN"/>
        </w:rPr>
      </w:pPr>
      <w:r>
        <w:rPr>
          <w:rFonts w:hint="eastAsia" w:ascii="楷体_GB2312" w:hAnsi="仿宋" w:eastAsia="楷体_GB2312"/>
          <w:b/>
          <w:sz w:val="32"/>
          <w:szCs w:val="32"/>
          <w:lang w:eastAsia="zh-CN"/>
        </w:rPr>
        <w:t>（一）收入支出预算安排情况</w:t>
      </w:r>
    </w:p>
    <w:p>
      <w:pPr>
        <w:pStyle w:val="4"/>
        <w:adjustRightInd w:val="0"/>
        <w:snapToGrid w:val="0"/>
        <w:spacing w:before="0" w:line="480" w:lineRule="exact"/>
        <w:ind w:left="0" w:leftChars="0" w:right="33" w:firstLine="480" w:firstLineChars="200"/>
        <w:rPr>
          <w:rFonts w:hint="eastAsia" w:ascii="仿宋" w:hAnsi="仿宋" w:eastAsia="仿宋"/>
          <w:sz w:val="32"/>
          <w:szCs w:val="32"/>
          <w:lang w:val="en-US" w:eastAsia="zh-CN"/>
        </w:rPr>
      </w:pPr>
      <w:r>
        <w:drawing>
          <wp:anchor distT="0" distB="0" distL="114300" distR="114300" simplePos="0" relativeHeight="251660288" behindDoc="0" locked="0" layoutInCell="1" allowOverlap="1">
            <wp:simplePos x="0" y="0"/>
            <wp:positionH relativeFrom="column">
              <wp:posOffset>568960</wp:posOffset>
            </wp:positionH>
            <wp:positionV relativeFrom="paragraph">
              <wp:posOffset>869950</wp:posOffset>
            </wp:positionV>
            <wp:extent cx="4563110" cy="2327910"/>
            <wp:effectExtent l="5080" t="4445" r="22860" b="10795"/>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lang w:eastAsia="zh-CN"/>
        </w:rPr>
        <w:t>年度单位预算收入总计</w:t>
      </w:r>
      <w:r>
        <w:rPr>
          <w:rFonts w:hint="eastAsia" w:ascii="仿宋" w:hAnsi="仿宋" w:eastAsia="仿宋"/>
          <w:sz w:val="32"/>
          <w:szCs w:val="32"/>
          <w:lang w:val="en-US" w:eastAsia="zh-CN"/>
        </w:rPr>
        <w:t>2911.13</w:t>
      </w:r>
      <w:r>
        <w:rPr>
          <w:rFonts w:hint="eastAsia" w:ascii="仿宋" w:hAnsi="仿宋" w:eastAsia="仿宋"/>
          <w:sz w:val="32"/>
          <w:szCs w:val="32"/>
          <w:lang w:eastAsia="zh-CN"/>
        </w:rPr>
        <w:t>万元，比上年</w:t>
      </w:r>
      <w:r>
        <w:rPr>
          <w:rFonts w:hint="eastAsia" w:ascii="仿宋" w:hAnsi="仿宋" w:eastAsia="仿宋"/>
          <w:sz w:val="32"/>
          <w:szCs w:val="32"/>
          <w:lang w:val="en-US" w:eastAsia="zh-CN"/>
        </w:rPr>
        <w:t>减少165.74</w:t>
      </w:r>
      <w:r>
        <w:rPr>
          <w:rFonts w:hint="eastAsia" w:ascii="仿宋" w:hAnsi="仿宋" w:eastAsia="仿宋"/>
          <w:sz w:val="32"/>
          <w:szCs w:val="32"/>
          <w:lang w:eastAsia="zh-CN"/>
        </w:rPr>
        <w:t>万元，同比</w:t>
      </w:r>
      <w:r>
        <w:rPr>
          <w:rFonts w:hint="eastAsia" w:ascii="仿宋" w:hAnsi="仿宋" w:eastAsia="仿宋"/>
          <w:sz w:val="32"/>
          <w:szCs w:val="32"/>
          <w:lang w:val="en-US" w:eastAsia="zh-CN"/>
        </w:rPr>
        <w:t>降低5.39%</w:t>
      </w:r>
      <w:r>
        <w:rPr>
          <w:rFonts w:hint="eastAsia" w:ascii="仿宋" w:hAnsi="仿宋" w:eastAsia="仿宋"/>
          <w:sz w:val="32"/>
          <w:szCs w:val="32"/>
          <w:lang w:eastAsia="zh-CN"/>
        </w:rPr>
        <w:t>，主要是</w:t>
      </w:r>
      <w:r>
        <w:rPr>
          <w:rFonts w:hint="eastAsia" w:ascii="仿宋" w:hAnsi="仿宋" w:eastAsia="仿宋"/>
          <w:sz w:val="32"/>
          <w:szCs w:val="32"/>
          <w:lang w:val="en-US" w:eastAsia="zh-CN"/>
        </w:rPr>
        <w:t>办公楼房租及取暖费未拨付。</w:t>
      </w:r>
    </w:p>
    <w:p>
      <w:pPr>
        <w:pStyle w:val="4"/>
        <w:adjustRightInd w:val="0"/>
        <w:snapToGrid w:val="0"/>
        <w:spacing w:before="0" w:line="480" w:lineRule="exact"/>
        <w:ind w:left="0" w:leftChars="0" w:right="33" w:firstLine="640" w:firstLineChars="200"/>
        <w:rPr>
          <w:rFonts w:hint="default" w:ascii="仿宋" w:hAnsi="仿宋" w:eastAsia="仿宋"/>
          <w:sz w:val="32"/>
          <w:szCs w:val="32"/>
          <w:lang w:val="en-US" w:eastAsia="zh-CN"/>
        </w:rPr>
      </w:pPr>
    </w:p>
    <w:p>
      <w:pPr>
        <w:pStyle w:val="4"/>
        <w:adjustRightInd w:val="0"/>
        <w:snapToGrid w:val="0"/>
        <w:spacing w:before="0" w:line="480" w:lineRule="exact"/>
        <w:ind w:left="101" w:leftChars="46" w:right="33"/>
        <w:rPr>
          <w:rFonts w:hint="eastAsia" w:ascii="楷体_GB2312" w:hAnsi="仿宋" w:eastAsia="楷体_GB2312"/>
          <w:b/>
          <w:sz w:val="32"/>
          <w:szCs w:val="32"/>
          <w:lang w:eastAsia="zh-CN"/>
        </w:rPr>
      </w:pPr>
    </w:p>
    <w:p>
      <w:pPr>
        <w:pStyle w:val="4"/>
        <w:adjustRightInd w:val="0"/>
        <w:snapToGrid w:val="0"/>
        <w:spacing w:before="0" w:line="480" w:lineRule="exact"/>
        <w:ind w:left="101" w:leftChars="46" w:right="33"/>
        <w:rPr>
          <w:rFonts w:hint="eastAsia" w:ascii="仿宋" w:hAnsi="仿宋" w:eastAsia="仿宋"/>
          <w:sz w:val="32"/>
          <w:szCs w:val="32"/>
          <w:lang w:eastAsia="zh-CN"/>
        </w:rPr>
      </w:pPr>
    </w:p>
    <w:p>
      <w:pPr>
        <w:pStyle w:val="4"/>
        <w:adjustRightInd w:val="0"/>
        <w:snapToGrid w:val="0"/>
        <w:spacing w:before="0" w:line="480" w:lineRule="exact"/>
        <w:ind w:left="101" w:leftChars="46" w:right="33"/>
        <w:rPr>
          <w:rFonts w:hint="eastAsia" w:ascii="仿宋" w:hAnsi="仿宋" w:eastAsia="仿宋"/>
          <w:sz w:val="32"/>
          <w:szCs w:val="32"/>
          <w:lang w:eastAsia="zh-CN"/>
        </w:rPr>
      </w:pPr>
    </w:p>
    <w:p>
      <w:pPr>
        <w:pStyle w:val="4"/>
        <w:adjustRightInd w:val="0"/>
        <w:snapToGrid w:val="0"/>
        <w:spacing w:before="0" w:line="480" w:lineRule="exact"/>
        <w:ind w:left="101" w:leftChars="46" w:right="33"/>
        <w:rPr>
          <w:rFonts w:hint="eastAsia" w:ascii="仿宋" w:hAnsi="仿宋" w:eastAsia="仿宋"/>
          <w:sz w:val="32"/>
          <w:szCs w:val="32"/>
          <w:lang w:eastAsia="zh-CN"/>
        </w:rPr>
      </w:pPr>
    </w:p>
    <w:p>
      <w:pPr>
        <w:pStyle w:val="4"/>
        <w:adjustRightInd w:val="0"/>
        <w:snapToGrid w:val="0"/>
        <w:spacing w:before="0" w:line="480" w:lineRule="exact"/>
        <w:ind w:left="0" w:leftChars="0" w:right="33" w:firstLine="0" w:firstLineChars="0"/>
        <w:rPr>
          <w:rFonts w:hint="eastAsia" w:ascii="仿宋" w:hAnsi="仿宋" w:eastAsia="仿宋"/>
          <w:sz w:val="32"/>
          <w:szCs w:val="32"/>
          <w:lang w:eastAsia="zh-CN"/>
        </w:rPr>
      </w:pPr>
    </w:p>
    <w:p>
      <w:pPr>
        <w:pStyle w:val="4"/>
        <w:adjustRightInd w:val="0"/>
        <w:snapToGrid w:val="0"/>
        <w:spacing w:before="0" w:line="480" w:lineRule="exact"/>
        <w:ind w:left="0" w:leftChars="0" w:right="33"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lang w:eastAsia="zh-CN"/>
        </w:rPr>
        <w:t>年度单位预算支出总计</w:t>
      </w:r>
      <w:r>
        <w:rPr>
          <w:rFonts w:hint="eastAsia" w:ascii="仿宋" w:hAnsi="仿宋" w:eastAsia="仿宋"/>
          <w:sz w:val="32"/>
          <w:szCs w:val="32"/>
          <w:lang w:val="en-US" w:eastAsia="zh-CN"/>
        </w:rPr>
        <w:t>2911.13</w:t>
      </w:r>
      <w:r>
        <w:rPr>
          <w:rFonts w:hint="eastAsia" w:ascii="仿宋" w:hAnsi="仿宋" w:eastAsia="仿宋"/>
          <w:sz w:val="32"/>
          <w:szCs w:val="32"/>
          <w:lang w:eastAsia="zh-CN"/>
        </w:rPr>
        <w:t>万元，，比上年</w:t>
      </w:r>
      <w:r>
        <w:rPr>
          <w:rFonts w:hint="eastAsia" w:ascii="仿宋" w:hAnsi="仿宋" w:eastAsia="仿宋"/>
          <w:sz w:val="32"/>
          <w:szCs w:val="32"/>
          <w:lang w:val="en-US" w:eastAsia="zh-CN"/>
        </w:rPr>
        <w:t>减少165.74</w:t>
      </w:r>
      <w:r>
        <w:rPr>
          <w:rFonts w:hint="eastAsia" w:ascii="仿宋" w:hAnsi="仿宋" w:eastAsia="仿宋"/>
          <w:sz w:val="32"/>
          <w:szCs w:val="32"/>
          <w:lang w:eastAsia="zh-CN"/>
        </w:rPr>
        <w:t>万元，同比</w:t>
      </w:r>
      <w:r>
        <w:rPr>
          <w:rFonts w:hint="eastAsia" w:ascii="仿宋" w:hAnsi="仿宋" w:eastAsia="仿宋"/>
          <w:sz w:val="32"/>
          <w:szCs w:val="32"/>
          <w:lang w:val="en-US" w:eastAsia="zh-CN"/>
        </w:rPr>
        <w:t>降低5.39%</w:t>
      </w:r>
      <w:r>
        <w:rPr>
          <w:rFonts w:hint="eastAsia" w:ascii="仿宋" w:hAnsi="仿宋" w:eastAsia="仿宋"/>
          <w:sz w:val="32"/>
          <w:szCs w:val="32"/>
          <w:lang w:eastAsia="zh-CN"/>
        </w:rPr>
        <w:t>，主要是</w:t>
      </w:r>
      <w:r>
        <w:rPr>
          <w:rFonts w:hint="eastAsia" w:ascii="仿宋" w:hAnsi="仿宋" w:eastAsia="仿宋"/>
          <w:sz w:val="32"/>
          <w:szCs w:val="32"/>
          <w:lang w:val="en-US" w:eastAsia="zh-CN"/>
        </w:rPr>
        <w:t>办公楼房租及取暖费未拨付。</w:t>
      </w:r>
    </w:p>
    <w:p>
      <w:pPr>
        <w:pStyle w:val="4"/>
        <w:adjustRightInd w:val="0"/>
        <w:snapToGrid w:val="0"/>
        <w:spacing w:before="0" w:line="480" w:lineRule="exact"/>
        <w:ind w:left="0" w:leftChars="0" w:right="33" w:firstLine="0" w:firstLineChars="0"/>
        <w:rPr>
          <w:rFonts w:hint="eastAsia" w:ascii="仿宋" w:hAnsi="仿宋" w:eastAsia="仿宋"/>
          <w:sz w:val="32"/>
          <w:szCs w:val="32"/>
          <w:lang w:val="en-US" w:eastAsia="zh-CN"/>
        </w:rPr>
      </w:pPr>
      <w:r>
        <w:drawing>
          <wp:anchor distT="0" distB="0" distL="114300" distR="114300" simplePos="0" relativeHeight="251661312" behindDoc="0" locked="0" layoutInCell="1" allowOverlap="1">
            <wp:simplePos x="0" y="0"/>
            <wp:positionH relativeFrom="column">
              <wp:posOffset>469265</wp:posOffset>
            </wp:positionH>
            <wp:positionV relativeFrom="paragraph">
              <wp:posOffset>50800</wp:posOffset>
            </wp:positionV>
            <wp:extent cx="4563110" cy="2690495"/>
            <wp:effectExtent l="4445" t="4445" r="23495" b="10160"/>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napToGrid w:val="0"/>
        <w:spacing w:line="520" w:lineRule="exact"/>
        <w:rPr>
          <w:rFonts w:hint="eastAsia" w:ascii="楷体_GB2312" w:hAnsi="仿宋" w:eastAsia="楷体_GB2312"/>
          <w:b/>
          <w:sz w:val="32"/>
          <w:szCs w:val="32"/>
          <w:lang w:eastAsia="zh-CN"/>
        </w:rPr>
      </w:pPr>
    </w:p>
    <w:p>
      <w:pPr>
        <w:pStyle w:val="4"/>
        <w:rPr>
          <w:rFonts w:hint="eastAsia" w:ascii="楷体_GB2312" w:hAnsi="仿宋" w:eastAsia="楷体_GB2312"/>
          <w:b/>
          <w:sz w:val="32"/>
          <w:szCs w:val="32"/>
          <w:lang w:eastAsia="zh-CN"/>
        </w:rPr>
      </w:pPr>
    </w:p>
    <w:p>
      <w:pPr>
        <w:pStyle w:val="4"/>
        <w:rPr>
          <w:rFonts w:hint="eastAsia" w:ascii="楷体_GB2312" w:hAnsi="仿宋" w:eastAsia="楷体_GB2312"/>
          <w:b/>
          <w:sz w:val="32"/>
          <w:szCs w:val="32"/>
          <w:lang w:eastAsia="zh-CN"/>
        </w:rPr>
      </w:pPr>
    </w:p>
    <w:p>
      <w:pPr>
        <w:pStyle w:val="4"/>
        <w:rPr>
          <w:rFonts w:hint="eastAsia" w:ascii="楷体_GB2312" w:hAnsi="仿宋" w:eastAsia="楷体_GB2312"/>
          <w:b/>
          <w:sz w:val="32"/>
          <w:szCs w:val="32"/>
          <w:lang w:eastAsia="zh-CN"/>
        </w:rPr>
      </w:pPr>
    </w:p>
    <w:p>
      <w:pPr>
        <w:pStyle w:val="4"/>
        <w:rPr>
          <w:rFonts w:hint="eastAsia" w:ascii="楷体_GB2312" w:hAnsi="仿宋" w:eastAsia="楷体_GB2312"/>
          <w:b/>
          <w:sz w:val="32"/>
          <w:szCs w:val="32"/>
          <w:lang w:eastAsia="zh-CN"/>
        </w:rPr>
      </w:pPr>
    </w:p>
    <w:p>
      <w:pPr>
        <w:pStyle w:val="4"/>
        <w:rPr>
          <w:rFonts w:hint="eastAsia" w:ascii="楷体_GB2312" w:hAnsi="仿宋" w:eastAsia="楷体_GB2312"/>
          <w:b/>
          <w:sz w:val="32"/>
          <w:szCs w:val="32"/>
          <w:lang w:eastAsia="zh-CN"/>
        </w:rPr>
      </w:pPr>
    </w:p>
    <w:p>
      <w:pPr>
        <w:snapToGrid w:val="0"/>
        <w:spacing w:line="520" w:lineRule="exact"/>
        <w:rPr>
          <w:rFonts w:hint="eastAsia" w:ascii="楷体_GB2312" w:hAnsi="仿宋" w:eastAsia="楷体_GB2312"/>
          <w:b/>
          <w:sz w:val="32"/>
          <w:szCs w:val="32"/>
          <w:lang w:eastAsia="zh-CN"/>
        </w:rPr>
      </w:pPr>
    </w:p>
    <w:p>
      <w:pPr>
        <w:snapToGrid w:val="0"/>
        <w:spacing w:line="520" w:lineRule="exact"/>
        <w:ind w:firstLine="643" w:firstLineChars="200"/>
        <w:rPr>
          <w:rFonts w:hint="eastAsia" w:ascii="楷体_GB2312" w:hAnsi="仿宋" w:eastAsia="楷体_GB2312"/>
          <w:b/>
          <w:sz w:val="32"/>
          <w:szCs w:val="32"/>
          <w:lang w:eastAsia="zh-CN"/>
        </w:rPr>
      </w:pPr>
      <w:r>
        <w:rPr>
          <w:rFonts w:hint="eastAsia" w:ascii="楷体_GB2312" w:hAnsi="仿宋" w:eastAsia="楷体_GB2312"/>
          <w:b/>
          <w:sz w:val="32"/>
          <w:szCs w:val="32"/>
          <w:lang w:eastAsia="zh-CN"/>
        </w:rPr>
        <w:t>（二）收入支出预算执行情况</w:t>
      </w:r>
    </w:p>
    <w:p>
      <w:pPr>
        <w:pStyle w:val="4"/>
        <w:adjustRightInd w:val="0"/>
        <w:snapToGrid w:val="0"/>
        <w:spacing w:before="0" w:line="480" w:lineRule="exact"/>
        <w:ind w:left="0" w:leftChars="0" w:right="33"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2023年度单位收入总计2911.13万元，</w:t>
      </w:r>
      <w:r>
        <w:rPr>
          <w:rFonts w:hint="eastAsia" w:ascii="仿宋" w:hAnsi="仿宋" w:eastAsia="仿宋"/>
          <w:sz w:val="32"/>
          <w:szCs w:val="32"/>
          <w:lang w:eastAsia="zh-CN"/>
        </w:rPr>
        <w:t>比上年</w:t>
      </w:r>
      <w:r>
        <w:rPr>
          <w:rFonts w:hint="eastAsia" w:ascii="仿宋" w:hAnsi="仿宋" w:eastAsia="仿宋"/>
          <w:sz w:val="32"/>
          <w:szCs w:val="32"/>
          <w:lang w:val="en-US" w:eastAsia="zh-CN"/>
        </w:rPr>
        <w:t>减少165.74</w:t>
      </w:r>
      <w:r>
        <w:rPr>
          <w:rFonts w:hint="eastAsia" w:ascii="仿宋" w:hAnsi="仿宋" w:eastAsia="仿宋"/>
          <w:sz w:val="32"/>
          <w:szCs w:val="32"/>
          <w:lang w:eastAsia="zh-CN"/>
        </w:rPr>
        <w:t>万元，同比</w:t>
      </w:r>
      <w:r>
        <w:rPr>
          <w:rFonts w:hint="eastAsia" w:ascii="仿宋" w:hAnsi="仿宋" w:eastAsia="仿宋"/>
          <w:sz w:val="32"/>
          <w:szCs w:val="32"/>
          <w:lang w:val="en-US" w:eastAsia="zh-CN"/>
        </w:rPr>
        <w:t>降低5.39%，</w:t>
      </w:r>
      <w:r>
        <w:rPr>
          <w:rFonts w:hint="eastAsia"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lang w:eastAsia="zh-CN"/>
        </w:rPr>
        <w:t>年度单位支出总计</w:t>
      </w:r>
      <w:r>
        <w:rPr>
          <w:rFonts w:hint="eastAsia" w:ascii="仿宋" w:hAnsi="仿宋" w:eastAsia="仿宋"/>
          <w:sz w:val="32"/>
          <w:szCs w:val="32"/>
          <w:lang w:val="en-US" w:eastAsia="zh-CN"/>
        </w:rPr>
        <w:t>2911.13</w:t>
      </w:r>
      <w:r>
        <w:rPr>
          <w:rFonts w:hint="eastAsia" w:ascii="仿宋" w:hAnsi="仿宋" w:eastAsia="仿宋"/>
          <w:sz w:val="32"/>
          <w:szCs w:val="32"/>
          <w:lang w:eastAsia="zh-CN"/>
        </w:rPr>
        <w:t>万元，比上年</w:t>
      </w:r>
      <w:r>
        <w:rPr>
          <w:rFonts w:hint="eastAsia" w:ascii="仿宋" w:hAnsi="仿宋" w:eastAsia="仿宋"/>
          <w:sz w:val="32"/>
          <w:szCs w:val="32"/>
          <w:lang w:val="en-US" w:eastAsia="zh-CN"/>
        </w:rPr>
        <w:t>减少165.74</w:t>
      </w:r>
      <w:r>
        <w:rPr>
          <w:rFonts w:hint="eastAsia" w:ascii="仿宋" w:hAnsi="仿宋" w:eastAsia="仿宋"/>
          <w:sz w:val="32"/>
          <w:szCs w:val="32"/>
          <w:lang w:eastAsia="zh-CN"/>
        </w:rPr>
        <w:t>万元，同比</w:t>
      </w:r>
      <w:r>
        <w:rPr>
          <w:rFonts w:hint="eastAsia" w:ascii="仿宋" w:hAnsi="仿宋" w:eastAsia="仿宋"/>
          <w:sz w:val="32"/>
          <w:szCs w:val="32"/>
          <w:lang w:val="en-US" w:eastAsia="zh-CN"/>
        </w:rPr>
        <w:t>降低5.39%,</w:t>
      </w:r>
      <w:r>
        <w:rPr>
          <w:rFonts w:hint="eastAsia" w:ascii="仿宋" w:hAnsi="仿宋" w:eastAsia="仿宋"/>
          <w:sz w:val="32"/>
          <w:szCs w:val="32"/>
          <w:lang w:eastAsia="zh-CN"/>
        </w:rPr>
        <w:t>主要是</w:t>
      </w:r>
      <w:r>
        <w:rPr>
          <w:rFonts w:hint="eastAsia" w:ascii="仿宋" w:hAnsi="仿宋" w:eastAsia="仿宋"/>
          <w:sz w:val="32"/>
          <w:szCs w:val="32"/>
          <w:lang w:val="en-US" w:eastAsia="zh-CN"/>
        </w:rPr>
        <w:t>办公楼房租及取暖费未拨付。。同级部门其他收入24.5万元，其他支出16.13元，</w:t>
      </w:r>
      <w:r>
        <w:rPr>
          <w:rFonts w:hint="eastAsia" w:ascii="仿宋" w:hAnsi="仿宋" w:eastAsia="仿宋"/>
          <w:sz w:val="32"/>
          <w:szCs w:val="32"/>
          <w:lang w:eastAsia="zh-CN"/>
        </w:rPr>
        <w:t>年初结余支出</w:t>
      </w:r>
      <w:r>
        <w:rPr>
          <w:rFonts w:hint="eastAsia" w:ascii="仿宋" w:hAnsi="仿宋" w:eastAsia="仿宋"/>
          <w:sz w:val="32"/>
          <w:szCs w:val="32"/>
          <w:lang w:val="en-US" w:eastAsia="zh-CN"/>
        </w:rPr>
        <w:t>27.26万元.</w:t>
      </w:r>
    </w:p>
    <w:p>
      <w:pPr>
        <w:pStyle w:val="4"/>
        <w:adjustRightInd w:val="0"/>
        <w:snapToGrid w:val="0"/>
        <w:spacing w:before="0" w:line="480" w:lineRule="exact"/>
        <w:ind w:left="101" w:leftChars="46" w:right="33"/>
        <w:rPr>
          <w:rFonts w:hint="default" w:ascii="仿宋" w:hAnsi="仿宋" w:eastAsia="仿宋"/>
          <w:sz w:val="32"/>
          <w:szCs w:val="32"/>
          <w:lang w:val="en-US" w:eastAsia="zh-CN"/>
        </w:rPr>
      </w:pPr>
      <w:r>
        <w:drawing>
          <wp:anchor distT="0" distB="0" distL="114300" distR="114300" simplePos="0" relativeHeight="251662336" behindDoc="0" locked="0" layoutInCell="1" allowOverlap="1">
            <wp:simplePos x="0" y="0"/>
            <wp:positionH relativeFrom="column">
              <wp:posOffset>309245</wp:posOffset>
            </wp:positionH>
            <wp:positionV relativeFrom="paragraph">
              <wp:posOffset>46355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4"/>
        <w:adjustRightInd w:val="0"/>
        <w:snapToGrid w:val="0"/>
        <w:spacing w:before="0" w:line="480" w:lineRule="exact"/>
        <w:ind w:left="0" w:leftChars="0" w:right="33" w:firstLine="0" w:firstLineChars="0"/>
        <w:rPr>
          <w:rFonts w:hint="eastAsia" w:ascii="仿宋" w:hAnsi="仿宋" w:eastAsia="仿宋"/>
          <w:sz w:val="32"/>
          <w:szCs w:val="32"/>
          <w:lang w:eastAsia="zh-CN"/>
        </w:rPr>
      </w:pPr>
    </w:p>
    <w:p>
      <w:pPr>
        <w:pStyle w:val="4"/>
        <w:adjustRightInd w:val="0"/>
        <w:snapToGrid w:val="0"/>
        <w:spacing w:before="0" w:line="480" w:lineRule="exact"/>
        <w:ind w:left="101" w:leftChars="46" w:right="33"/>
        <w:rPr>
          <w:rFonts w:hint="eastAsia" w:ascii="仿宋" w:hAnsi="仿宋" w:eastAsia="仿宋"/>
          <w:sz w:val="32"/>
          <w:szCs w:val="32"/>
          <w:lang w:eastAsia="zh-CN"/>
        </w:rPr>
      </w:pPr>
    </w:p>
    <w:p>
      <w:pPr>
        <w:pStyle w:val="4"/>
        <w:adjustRightInd w:val="0"/>
        <w:snapToGrid w:val="0"/>
        <w:spacing w:before="0" w:line="480" w:lineRule="exact"/>
        <w:ind w:left="101" w:leftChars="46" w:right="33"/>
        <w:rPr>
          <w:rFonts w:hint="eastAsia" w:ascii="仿宋" w:hAnsi="仿宋" w:eastAsia="仿宋"/>
          <w:sz w:val="32"/>
          <w:szCs w:val="32"/>
          <w:lang w:eastAsia="zh-CN"/>
        </w:rPr>
      </w:pPr>
    </w:p>
    <w:p>
      <w:pPr>
        <w:adjustRightInd w:val="0"/>
        <w:snapToGrid w:val="0"/>
        <w:spacing w:line="480" w:lineRule="exact"/>
        <w:outlineLvl w:val="0"/>
        <w:rPr>
          <w:rFonts w:hint="eastAsia" w:ascii="仿宋_GB2312" w:hAnsi="仿宋" w:eastAsia="仿宋_GB2312"/>
          <w:b/>
          <w:sz w:val="32"/>
          <w:szCs w:val="32"/>
        </w:rPr>
      </w:pPr>
    </w:p>
    <w:p>
      <w:pPr>
        <w:adjustRightInd w:val="0"/>
        <w:snapToGrid w:val="0"/>
        <w:spacing w:line="480" w:lineRule="exact"/>
        <w:ind w:firstLine="643" w:firstLineChars="200"/>
        <w:outlineLvl w:val="0"/>
        <w:rPr>
          <w:rFonts w:hint="eastAsia" w:ascii="仿宋_GB2312" w:hAnsi="仿宋" w:eastAsia="仿宋_GB2312"/>
          <w:b/>
          <w:sz w:val="32"/>
          <w:szCs w:val="32"/>
        </w:rPr>
      </w:pPr>
    </w:p>
    <w:p>
      <w:pPr>
        <w:adjustRightInd w:val="0"/>
        <w:snapToGrid w:val="0"/>
        <w:spacing w:line="480" w:lineRule="exact"/>
        <w:ind w:firstLine="643" w:firstLineChars="200"/>
        <w:outlineLvl w:val="0"/>
        <w:rPr>
          <w:rFonts w:hint="eastAsia" w:ascii="仿宋_GB2312" w:hAnsi="仿宋" w:eastAsia="仿宋_GB2312"/>
          <w:b/>
          <w:sz w:val="32"/>
          <w:szCs w:val="32"/>
        </w:rPr>
      </w:pPr>
    </w:p>
    <w:p>
      <w:pPr>
        <w:adjustRightInd w:val="0"/>
        <w:snapToGrid w:val="0"/>
        <w:spacing w:line="480" w:lineRule="exact"/>
        <w:ind w:firstLine="643" w:firstLineChars="200"/>
        <w:outlineLvl w:val="0"/>
        <w:rPr>
          <w:rFonts w:hint="eastAsia" w:ascii="仿宋_GB2312" w:hAnsi="仿宋" w:eastAsia="仿宋_GB2312"/>
          <w:b/>
          <w:sz w:val="32"/>
          <w:szCs w:val="32"/>
        </w:rPr>
      </w:pPr>
    </w:p>
    <w:p>
      <w:pPr>
        <w:adjustRightInd w:val="0"/>
        <w:snapToGrid w:val="0"/>
        <w:spacing w:line="480" w:lineRule="exact"/>
        <w:ind w:firstLine="643" w:firstLineChars="200"/>
        <w:outlineLvl w:val="0"/>
        <w:rPr>
          <w:rFonts w:hint="eastAsia" w:ascii="仿宋_GB2312" w:hAnsi="仿宋" w:eastAsia="仿宋_GB2312"/>
          <w:b/>
          <w:sz w:val="32"/>
          <w:szCs w:val="32"/>
        </w:rPr>
      </w:pPr>
    </w:p>
    <w:p>
      <w:pPr>
        <w:adjustRightInd w:val="0"/>
        <w:snapToGrid w:val="0"/>
        <w:spacing w:line="480" w:lineRule="exact"/>
        <w:ind w:firstLine="643" w:firstLineChars="200"/>
        <w:outlineLvl w:val="0"/>
        <w:rPr>
          <w:rFonts w:hint="eastAsia" w:ascii="仿宋_GB2312" w:hAnsi="仿宋" w:eastAsia="仿宋_GB2312"/>
          <w:b/>
          <w:sz w:val="32"/>
          <w:szCs w:val="32"/>
        </w:rPr>
      </w:pPr>
    </w:p>
    <w:p>
      <w:pPr>
        <w:adjustRightInd w:val="0"/>
        <w:snapToGrid w:val="0"/>
        <w:spacing w:line="480" w:lineRule="exact"/>
        <w:ind w:firstLine="643" w:firstLineChars="200"/>
        <w:outlineLvl w:val="0"/>
        <w:rPr>
          <w:rFonts w:hint="eastAsia" w:ascii="仿宋_GB2312" w:hAnsi="仿宋" w:eastAsia="仿宋_GB2312"/>
          <w:b/>
          <w:sz w:val="32"/>
          <w:szCs w:val="32"/>
        </w:rPr>
      </w:pPr>
      <w:r>
        <w:rPr>
          <w:rFonts w:hint="eastAsia" w:ascii="仿宋_GB2312" w:hAnsi="仿宋" w:eastAsia="仿宋_GB2312"/>
          <w:b/>
          <w:sz w:val="32"/>
          <w:szCs w:val="32"/>
          <w:lang w:val="en-US" w:eastAsia="zh-CN"/>
        </w:rPr>
        <w:t>1</w:t>
      </w:r>
      <w:r>
        <w:rPr>
          <w:rFonts w:hint="eastAsia" w:ascii="仿宋_GB2312" w:hAnsi="仿宋" w:eastAsia="仿宋_GB2312"/>
          <w:b/>
          <w:sz w:val="32"/>
          <w:szCs w:val="32"/>
        </w:rPr>
        <w:t>．收入支出与预算对比分析。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（1）预、决算差异情况，可分收入支出功能科目、分单位、分收入支出具体项目逐项对比（可列表）。</w:t>
      </w:r>
    </w:p>
    <w:tbl>
      <w:tblPr>
        <w:tblStyle w:val="9"/>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1"/>
        <w:gridCol w:w="1687"/>
        <w:gridCol w:w="1687"/>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1" w:type="dxa"/>
          </w:tcPr>
          <w:p>
            <w:pPr>
              <w:pStyle w:val="11"/>
              <w:jc w:val="center"/>
              <w:rPr>
                <w:rFonts w:hint="eastAsia" w:ascii="仿宋_GB2312" w:hAnsi="仿宋" w:eastAsia="仿宋_GB2312"/>
                <w:sz w:val="32"/>
                <w:szCs w:val="32"/>
                <w:vertAlign w:val="baseline"/>
                <w:lang w:eastAsia="zh-CN"/>
              </w:rPr>
            </w:pPr>
            <w:r>
              <w:rPr>
                <w:rFonts w:hint="eastAsia" w:ascii="仿宋_GB2312" w:hAnsi="仿宋" w:eastAsia="仿宋_GB2312"/>
                <w:sz w:val="32"/>
                <w:szCs w:val="32"/>
                <w:vertAlign w:val="baseline"/>
                <w:lang w:eastAsia="zh-CN"/>
              </w:rPr>
              <w:t>功能科目</w:t>
            </w:r>
          </w:p>
        </w:tc>
        <w:tc>
          <w:tcPr>
            <w:tcW w:w="1687" w:type="dxa"/>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全年预算数（万元）</w:t>
            </w:r>
          </w:p>
        </w:tc>
        <w:tc>
          <w:tcPr>
            <w:tcW w:w="1687" w:type="dxa"/>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全年支出数（万元）</w:t>
            </w:r>
          </w:p>
        </w:tc>
        <w:tc>
          <w:tcPr>
            <w:tcW w:w="1673" w:type="dxa"/>
          </w:tcPr>
          <w:p>
            <w:pPr>
              <w:pStyle w:val="11"/>
              <w:jc w:val="both"/>
              <w:rPr>
                <w:rFonts w:hint="eastAsia" w:ascii="仿宋_GB2312" w:hAnsi="仿宋" w:eastAsia="仿宋_GB2312"/>
                <w:sz w:val="32"/>
                <w:szCs w:val="32"/>
                <w:vertAlign w:val="baseline"/>
                <w:lang w:eastAsia="zh-CN"/>
              </w:rPr>
            </w:pPr>
            <w:r>
              <w:rPr>
                <w:rFonts w:hint="eastAsia" w:ascii="仿宋_GB2312" w:hAnsi="仿宋" w:eastAsia="仿宋_GB2312"/>
                <w:sz w:val="32"/>
                <w:szCs w:val="32"/>
                <w:vertAlign w:val="baseline"/>
                <w:lang w:val="en-US" w:eastAsia="zh-CN"/>
              </w:rPr>
              <w:t>差异数</w:t>
            </w:r>
            <w:r>
              <w:rPr>
                <w:rFonts w:hint="eastAsia" w:ascii="仿宋_GB2312" w:hAnsi="仿宋" w:eastAsia="仿宋_GB2312"/>
                <w:sz w:val="32"/>
                <w:szCs w:val="32"/>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1" w:type="dxa"/>
          </w:tcPr>
          <w:p>
            <w:pPr>
              <w:pStyle w:val="11"/>
              <w:jc w:val="both"/>
              <w:rPr>
                <w:rFonts w:hint="default" w:ascii="仿宋_GB2312" w:hAnsi="仿宋" w:eastAsia="仿宋_GB2312"/>
                <w:sz w:val="32"/>
                <w:szCs w:val="32"/>
                <w:vertAlign w:val="baseline"/>
                <w:lang w:val="en-US" w:eastAsia="zh-CN"/>
              </w:rPr>
            </w:pPr>
            <w:bookmarkStart w:id="0" w:name="OLE_LINK1" w:colFirst="1" w:colLast="1"/>
            <w:r>
              <w:rPr>
                <w:rFonts w:hint="eastAsia" w:ascii="仿宋_GB2312" w:hAnsi="仿宋" w:eastAsia="仿宋_GB2312"/>
                <w:sz w:val="32"/>
                <w:szCs w:val="32"/>
                <w:vertAlign w:val="baseline"/>
                <w:lang w:val="en-US" w:eastAsia="zh-CN"/>
              </w:rPr>
              <w:t>2010301行政运行</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2289.40</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1560.12</w:t>
            </w:r>
          </w:p>
        </w:tc>
        <w:tc>
          <w:tcPr>
            <w:tcW w:w="1673" w:type="dxa"/>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729.28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1" w:type="dxa"/>
          </w:tcPr>
          <w:p>
            <w:pPr>
              <w:pStyle w:val="11"/>
              <w:keepNext w:val="0"/>
              <w:keepLines w:val="0"/>
              <w:pageBreakBefore w:val="0"/>
              <w:widowControl w:val="0"/>
              <w:tabs>
                <w:tab w:val="left" w:pos="637"/>
              </w:tabs>
              <w:kinsoku/>
              <w:wordWrap/>
              <w:overflowPunct/>
              <w:topLinePunct w:val="0"/>
              <w:autoSpaceDE/>
              <w:autoSpaceDN/>
              <w:bidi w:val="0"/>
              <w:adjustRightInd/>
              <w:snapToGrid/>
              <w:spacing w:line="570" w:lineRule="exact"/>
              <w:jc w:val="both"/>
              <w:textAlignment w:val="auto"/>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2010399其他政府办公厅（室）及相关机构事务支出</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994.27</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cs="Courier New"/>
                <w:kern w:val="0"/>
                <w:sz w:val="32"/>
                <w:szCs w:val="32"/>
                <w:vertAlign w:val="baseline"/>
                <w:lang w:val="en-US" w:eastAsia="zh-CN" w:bidi="ar-SA"/>
              </w:rPr>
              <w:t>603.46</w:t>
            </w:r>
          </w:p>
        </w:tc>
        <w:tc>
          <w:tcPr>
            <w:tcW w:w="1673" w:type="dxa"/>
            <w:vAlign w:val="top"/>
          </w:tcPr>
          <w:p>
            <w:pPr>
              <w:pStyle w:val="11"/>
              <w:jc w:val="both"/>
              <w:rPr>
                <w:rFonts w:hint="default" w:ascii="仿宋_GB2312" w:hAnsi="仿宋" w:eastAsia="仿宋_GB2312" w:cs="Courier New"/>
                <w:kern w:val="0"/>
                <w:sz w:val="32"/>
                <w:szCs w:val="32"/>
                <w:vertAlign w:val="baseline"/>
                <w:lang w:val="en-US" w:eastAsia="zh-CN" w:bidi="ar-SA"/>
              </w:rPr>
            </w:pPr>
            <w:r>
              <w:rPr>
                <w:rFonts w:hint="eastAsia" w:ascii="仿宋_GB2312" w:hAnsi="仿宋" w:eastAsia="仿宋_GB2312" w:cs="Courier New"/>
                <w:kern w:val="0"/>
                <w:sz w:val="32"/>
                <w:szCs w:val="32"/>
                <w:vertAlign w:val="baseline"/>
                <w:lang w:val="en-US" w:eastAsia="zh-CN" w:bidi="ar-SA"/>
              </w:rPr>
              <w:t>390.81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011" w:type="dxa"/>
          </w:tcPr>
          <w:p>
            <w:pPr>
              <w:pStyle w:val="11"/>
              <w:keepNext w:val="0"/>
              <w:keepLines w:val="0"/>
              <w:pageBreakBefore w:val="0"/>
              <w:widowControl w:val="0"/>
              <w:tabs>
                <w:tab w:val="left" w:pos="1196"/>
              </w:tabs>
              <w:kinsoku/>
              <w:wordWrap/>
              <w:overflowPunct/>
              <w:topLinePunct w:val="0"/>
              <w:autoSpaceDE/>
              <w:autoSpaceDN/>
              <w:bidi w:val="0"/>
              <w:adjustRightInd/>
              <w:snapToGrid/>
              <w:spacing w:line="570" w:lineRule="exact"/>
              <w:jc w:val="both"/>
              <w:textAlignment w:val="auto"/>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2010901行政运行</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600</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cs="Courier New"/>
                <w:kern w:val="0"/>
                <w:sz w:val="32"/>
                <w:szCs w:val="32"/>
                <w:vertAlign w:val="baseline"/>
                <w:lang w:val="en-US" w:eastAsia="zh-CN" w:bidi="ar-SA"/>
              </w:rPr>
              <w:t>600</w:t>
            </w:r>
          </w:p>
        </w:tc>
        <w:tc>
          <w:tcPr>
            <w:tcW w:w="1673" w:type="dxa"/>
            <w:vAlign w:val="top"/>
          </w:tcPr>
          <w:p>
            <w:pPr>
              <w:pStyle w:val="11"/>
              <w:jc w:val="both"/>
              <w:rPr>
                <w:rFonts w:hint="default" w:ascii="仿宋_GB2312" w:hAnsi="仿宋" w:eastAsia="仿宋_GB2312" w:cs="Courier New"/>
                <w:kern w:val="0"/>
                <w:sz w:val="32"/>
                <w:szCs w:val="32"/>
                <w:vertAlign w:val="baseline"/>
                <w:lang w:val="en-US" w:eastAsia="zh-CN" w:bidi="ar-SA"/>
              </w:rPr>
            </w:pPr>
            <w:r>
              <w:rPr>
                <w:rFonts w:hint="eastAsia" w:ascii="仿宋_GB2312" w:hAnsi="仿宋" w:eastAsia="仿宋_GB2312" w:cs="Courier New"/>
                <w:kern w:val="0"/>
                <w:sz w:val="32"/>
                <w:szCs w:val="32"/>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1" w:type="dxa"/>
          </w:tcPr>
          <w:p>
            <w:pPr>
              <w:pStyle w:val="11"/>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2080505机关事业单位基本养老保险缴费支出</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55</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cs="Courier New"/>
                <w:kern w:val="0"/>
                <w:sz w:val="32"/>
                <w:szCs w:val="32"/>
                <w:vertAlign w:val="baseline"/>
                <w:lang w:val="en-US" w:eastAsia="zh-CN" w:bidi="ar-SA"/>
              </w:rPr>
              <w:t>51.73</w:t>
            </w:r>
          </w:p>
        </w:tc>
        <w:tc>
          <w:tcPr>
            <w:tcW w:w="1673" w:type="dxa"/>
            <w:vAlign w:val="top"/>
          </w:tcPr>
          <w:p>
            <w:pPr>
              <w:pStyle w:val="11"/>
              <w:jc w:val="both"/>
              <w:rPr>
                <w:rFonts w:hint="default" w:ascii="仿宋_GB2312" w:hAnsi="仿宋" w:eastAsia="仿宋_GB2312" w:cs="Courier New"/>
                <w:kern w:val="0"/>
                <w:sz w:val="32"/>
                <w:szCs w:val="32"/>
                <w:vertAlign w:val="baseline"/>
                <w:lang w:val="en-US" w:eastAsia="zh-CN" w:bidi="ar-SA"/>
              </w:rPr>
            </w:pPr>
            <w:r>
              <w:rPr>
                <w:rFonts w:hint="eastAsia" w:ascii="仿宋_GB2312" w:hAnsi="仿宋" w:eastAsia="仿宋_GB2312" w:cs="Courier New"/>
                <w:kern w:val="0"/>
                <w:sz w:val="32"/>
                <w:szCs w:val="32"/>
                <w:vertAlign w:val="baseline"/>
                <w:lang w:val="en-US" w:eastAsia="zh-CN" w:bidi="ar-SA"/>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1" w:type="dxa"/>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2101101行政单位医疗</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50</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cs="Courier New"/>
                <w:kern w:val="0"/>
                <w:sz w:val="32"/>
                <w:szCs w:val="32"/>
                <w:vertAlign w:val="baseline"/>
                <w:lang w:val="en-US" w:eastAsia="zh-CN" w:bidi="ar-SA"/>
              </w:rPr>
              <w:t>41.78</w:t>
            </w:r>
          </w:p>
        </w:tc>
        <w:tc>
          <w:tcPr>
            <w:tcW w:w="1673" w:type="dxa"/>
            <w:vAlign w:val="top"/>
          </w:tcPr>
          <w:p>
            <w:pPr>
              <w:pStyle w:val="11"/>
              <w:jc w:val="both"/>
              <w:rPr>
                <w:rFonts w:hint="default" w:ascii="仿宋_GB2312" w:hAnsi="仿宋" w:eastAsia="仿宋_GB2312" w:cs="Courier New"/>
                <w:kern w:val="0"/>
                <w:sz w:val="32"/>
                <w:szCs w:val="32"/>
                <w:vertAlign w:val="baseline"/>
                <w:lang w:val="en-US" w:eastAsia="zh-CN" w:bidi="ar-SA"/>
              </w:rPr>
            </w:pPr>
            <w:r>
              <w:rPr>
                <w:rFonts w:hint="eastAsia" w:ascii="仿宋_GB2312" w:hAnsi="仿宋" w:eastAsia="仿宋_GB2312" w:cs="Courier New"/>
                <w:kern w:val="0"/>
                <w:sz w:val="32"/>
                <w:szCs w:val="32"/>
                <w:vertAlign w:val="baseline"/>
                <w:lang w:val="en-US" w:eastAsia="zh-CN" w:bidi="ar-SA"/>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1" w:type="dxa"/>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2130314防汛</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3.97</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cs="Courier New"/>
                <w:kern w:val="0"/>
                <w:sz w:val="32"/>
                <w:szCs w:val="32"/>
                <w:vertAlign w:val="baseline"/>
                <w:lang w:val="en-US" w:eastAsia="zh-CN" w:bidi="ar-SA"/>
              </w:rPr>
              <w:t>3.97</w:t>
            </w:r>
          </w:p>
        </w:tc>
        <w:tc>
          <w:tcPr>
            <w:tcW w:w="1673" w:type="dxa"/>
            <w:vAlign w:val="top"/>
          </w:tcPr>
          <w:p>
            <w:pPr>
              <w:pStyle w:val="11"/>
              <w:jc w:val="both"/>
              <w:rPr>
                <w:rFonts w:hint="default" w:ascii="仿宋_GB2312" w:hAnsi="仿宋" w:eastAsia="仿宋_GB2312" w:cs="Courier New"/>
                <w:kern w:val="0"/>
                <w:sz w:val="32"/>
                <w:szCs w:val="32"/>
                <w:vertAlign w:val="baseline"/>
                <w:lang w:val="en-US" w:eastAsia="zh-CN" w:bidi="ar-SA"/>
              </w:rPr>
            </w:pPr>
            <w:r>
              <w:rPr>
                <w:rFonts w:hint="eastAsia" w:ascii="仿宋_GB2312" w:hAnsi="仿宋" w:eastAsia="仿宋_GB2312" w:cs="Courier New"/>
                <w:kern w:val="0"/>
                <w:sz w:val="32"/>
                <w:szCs w:val="32"/>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1" w:type="dxa"/>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2210201住房公积金</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55</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cs="Courier New"/>
                <w:kern w:val="0"/>
                <w:sz w:val="32"/>
                <w:szCs w:val="32"/>
                <w:vertAlign w:val="baseline"/>
                <w:lang w:val="en-US" w:eastAsia="zh-CN" w:bidi="ar-SA"/>
              </w:rPr>
              <w:t>50.07</w:t>
            </w:r>
          </w:p>
        </w:tc>
        <w:tc>
          <w:tcPr>
            <w:tcW w:w="1673" w:type="dxa"/>
            <w:vAlign w:val="top"/>
          </w:tcPr>
          <w:p>
            <w:pPr>
              <w:pStyle w:val="11"/>
              <w:jc w:val="both"/>
              <w:rPr>
                <w:rFonts w:hint="default" w:ascii="仿宋_GB2312" w:hAnsi="仿宋" w:eastAsia="仿宋_GB2312" w:cs="Courier New"/>
                <w:kern w:val="0"/>
                <w:sz w:val="32"/>
                <w:szCs w:val="32"/>
                <w:vertAlign w:val="baseline"/>
                <w:lang w:val="en-US" w:eastAsia="zh-CN" w:bidi="ar-SA"/>
              </w:rPr>
            </w:pPr>
            <w:r>
              <w:rPr>
                <w:rFonts w:hint="eastAsia" w:ascii="仿宋_GB2312" w:hAnsi="仿宋" w:eastAsia="仿宋_GB2312" w:cs="Courier New"/>
                <w:kern w:val="0"/>
                <w:sz w:val="32"/>
                <w:szCs w:val="32"/>
                <w:vertAlign w:val="baseline"/>
                <w:lang w:val="en-US" w:eastAsia="zh-CN" w:bidi="ar-SA"/>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1" w:type="dxa"/>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合计</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sz w:val="32"/>
                <w:szCs w:val="32"/>
                <w:vertAlign w:val="baseline"/>
                <w:lang w:val="en-US" w:eastAsia="zh-CN"/>
              </w:rPr>
              <w:t>4047.64</w:t>
            </w:r>
          </w:p>
        </w:tc>
        <w:tc>
          <w:tcPr>
            <w:tcW w:w="1687" w:type="dxa"/>
            <w:vAlign w:val="top"/>
          </w:tcPr>
          <w:p>
            <w:pPr>
              <w:pStyle w:val="11"/>
              <w:jc w:val="both"/>
              <w:rPr>
                <w:rFonts w:hint="default" w:ascii="仿宋_GB2312" w:hAnsi="仿宋" w:eastAsia="仿宋_GB2312"/>
                <w:sz w:val="32"/>
                <w:szCs w:val="32"/>
                <w:vertAlign w:val="baseline"/>
                <w:lang w:val="en-US" w:eastAsia="zh-CN"/>
              </w:rPr>
            </w:pPr>
            <w:r>
              <w:rPr>
                <w:rFonts w:hint="eastAsia" w:ascii="仿宋_GB2312" w:hAnsi="仿宋" w:eastAsia="仿宋_GB2312" w:cs="Courier New"/>
                <w:kern w:val="0"/>
                <w:sz w:val="32"/>
                <w:szCs w:val="32"/>
                <w:vertAlign w:val="baseline"/>
                <w:lang w:val="en-US" w:eastAsia="zh-CN" w:bidi="ar-SA"/>
              </w:rPr>
              <w:t>2911.13</w:t>
            </w:r>
          </w:p>
        </w:tc>
        <w:tc>
          <w:tcPr>
            <w:tcW w:w="1673" w:type="dxa"/>
          </w:tcPr>
          <w:p>
            <w:pPr>
              <w:pStyle w:val="11"/>
              <w:jc w:val="both"/>
              <w:rPr>
                <w:rFonts w:hint="default" w:ascii="仿宋_GB2312" w:hAnsi="仿宋" w:eastAsia="仿宋_GB2312" w:cs="Courier New"/>
                <w:kern w:val="0"/>
                <w:sz w:val="32"/>
                <w:szCs w:val="32"/>
                <w:vertAlign w:val="baseline"/>
                <w:lang w:val="en-US" w:eastAsia="zh-CN" w:bidi="ar-SA"/>
              </w:rPr>
            </w:pPr>
            <w:r>
              <w:rPr>
                <w:rFonts w:hint="eastAsia" w:ascii="仿宋_GB2312" w:hAnsi="仿宋" w:eastAsia="仿宋_GB2312" w:cs="Courier New"/>
                <w:kern w:val="0"/>
                <w:sz w:val="32"/>
                <w:szCs w:val="32"/>
                <w:vertAlign w:val="baseline"/>
                <w:lang w:val="en-US" w:eastAsia="zh-CN" w:bidi="ar-SA"/>
              </w:rPr>
              <w:t>1136.51</w:t>
            </w:r>
          </w:p>
        </w:tc>
      </w:tr>
      <w:bookmarkEnd w:id="0"/>
    </w:tbl>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差异原因分析。差异较大的应分析到具体收入支出功能科目和具体单位。</w:t>
      </w:r>
    </w:p>
    <w:p>
      <w:pPr>
        <w:pStyle w:val="11"/>
        <w:ind w:firstLine="640" w:firstLineChars="200"/>
        <w:rPr>
          <w:rFonts w:hint="eastAsia"/>
        </w:rPr>
      </w:pPr>
      <w:r>
        <w:rPr>
          <w:rFonts w:hint="eastAsia" w:ascii="仿宋_GB2312" w:hAnsi="仿宋" w:eastAsia="仿宋_GB2312"/>
          <w:sz w:val="32"/>
          <w:szCs w:val="32"/>
          <w:lang w:val="en-US" w:eastAsia="zh-CN"/>
        </w:rPr>
        <w:t>2010301行政运行和2010399</w:t>
      </w:r>
      <w:r>
        <w:rPr>
          <w:rFonts w:hint="eastAsia" w:ascii="仿宋_GB2312" w:hAnsi="仿宋" w:eastAsia="仿宋_GB2312"/>
          <w:sz w:val="32"/>
          <w:szCs w:val="32"/>
          <w:vertAlign w:val="baseline"/>
          <w:lang w:val="en-US" w:eastAsia="zh-CN"/>
        </w:rPr>
        <w:t>其他政府办公厅（室）及相关机构事务支出</w:t>
      </w:r>
      <w:r>
        <w:rPr>
          <w:rFonts w:hint="eastAsia" w:ascii="仿宋_GB2312" w:hAnsi="仿宋" w:eastAsia="仿宋_GB2312"/>
          <w:sz w:val="32"/>
          <w:szCs w:val="32"/>
          <w:lang w:val="en-US" w:eastAsia="zh-CN"/>
        </w:rPr>
        <w:t>差异率大主要是因为</w:t>
      </w:r>
      <w:r>
        <w:rPr>
          <w:rFonts w:hint="eastAsia" w:ascii="仿宋" w:hAnsi="仿宋" w:eastAsia="仿宋"/>
          <w:sz w:val="32"/>
          <w:szCs w:val="32"/>
          <w:lang w:eastAsia="zh-CN"/>
        </w:rPr>
        <w:t>是</w:t>
      </w:r>
      <w:r>
        <w:rPr>
          <w:rFonts w:hint="eastAsia" w:ascii="仿宋" w:hAnsi="仿宋" w:eastAsia="仿宋"/>
          <w:sz w:val="32"/>
          <w:szCs w:val="32"/>
          <w:lang w:val="en-US" w:eastAsia="zh-CN"/>
        </w:rPr>
        <w:t>办公楼房租及取暖费未拨付。</w:t>
      </w:r>
      <w:r>
        <w:rPr>
          <w:rFonts w:hint="eastAsia" w:ascii="仿宋_GB2312" w:hAnsi="仿宋" w:eastAsia="仿宋_GB2312"/>
          <w:sz w:val="32"/>
          <w:szCs w:val="32"/>
          <w:lang w:eastAsia="zh-CN"/>
        </w:rPr>
        <w:t>。</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2．收入支出结构分析。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（1）各项收入占总收入的比重，各项支出占总支出的比重。</w:t>
      </w:r>
    </w:p>
    <w:p>
      <w:pPr>
        <w:snapToGrid w:val="0"/>
        <w:spacing w:line="520" w:lineRule="exact"/>
        <w:ind w:firstLine="440" w:firstLineChars="200"/>
        <w:rPr>
          <w:rFonts w:hint="eastAsia" w:ascii="仿宋_GB2312" w:hAnsi="仿宋" w:eastAsia="仿宋_GB2312"/>
          <w:sz w:val="32"/>
          <w:szCs w:val="32"/>
        </w:rPr>
      </w:pPr>
      <w:r>
        <w:drawing>
          <wp:anchor distT="0" distB="0" distL="114300" distR="114300" simplePos="0" relativeHeight="251663360" behindDoc="0" locked="0" layoutInCell="1" allowOverlap="1">
            <wp:simplePos x="0" y="0"/>
            <wp:positionH relativeFrom="column">
              <wp:posOffset>561340</wp:posOffset>
            </wp:positionH>
            <wp:positionV relativeFrom="paragraph">
              <wp:posOffset>247650</wp:posOffset>
            </wp:positionV>
            <wp:extent cx="4572000" cy="2743200"/>
            <wp:effectExtent l="4445" t="4445" r="14605" b="14605"/>
            <wp:wrapSquare wrapText="bothSides"/>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11"/>
        <w:jc w:val="center"/>
        <w:rPr>
          <w:rFonts w:hint="eastAsia" w:ascii="仿宋_GB2312" w:hAnsi="仿宋" w:eastAsia="仿宋_GB2312"/>
          <w:sz w:val="32"/>
          <w:szCs w:val="32"/>
        </w:rPr>
      </w:pPr>
    </w:p>
    <w:p>
      <w:pPr>
        <w:pStyle w:val="11"/>
        <w:rPr>
          <w:rFonts w:hint="eastAsia" w:ascii="仿宋_GB2312" w:hAnsi="仿宋" w:eastAsia="仿宋_GB2312"/>
          <w:sz w:val="32"/>
          <w:szCs w:val="32"/>
        </w:rPr>
      </w:pPr>
    </w:p>
    <w:p>
      <w:pPr>
        <w:pStyle w:val="11"/>
        <w:jc w:val="center"/>
        <w:rPr>
          <w:rFonts w:hint="eastAsia" w:ascii="仿宋_GB2312" w:hAnsi="仿宋" w:eastAsia="仿宋_GB2312"/>
          <w:sz w:val="32"/>
          <w:szCs w:val="32"/>
        </w:rPr>
      </w:pPr>
    </w:p>
    <w:p>
      <w:pPr>
        <w:pStyle w:val="11"/>
        <w:ind w:firstLine="640" w:firstLineChars="200"/>
        <w:jc w:val="both"/>
        <w:rPr>
          <w:rFonts w:hint="eastAsia" w:ascii="仿宋_GB2312" w:hAnsi="仿宋" w:eastAsia="仿宋_GB2312"/>
          <w:sz w:val="32"/>
          <w:szCs w:val="32"/>
          <w:lang w:eastAsia="zh-CN"/>
        </w:rPr>
      </w:pPr>
    </w:p>
    <w:p>
      <w:pPr>
        <w:pStyle w:val="11"/>
        <w:jc w:val="both"/>
        <w:rPr>
          <w:rFonts w:hint="eastAsia" w:ascii="仿宋_GB2312" w:hAnsi="仿宋" w:eastAsia="仿宋_GB2312"/>
          <w:sz w:val="32"/>
          <w:szCs w:val="32"/>
          <w:lang w:eastAsia="zh-CN"/>
        </w:rPr>
      </w:pPr>
    </w:p>
    <w:p>
      <w:pPr>
        <w:pStyle w:val="11"/>
        <w:ind w:firstLine="440" w:firstLineChars="200"/>
        <w:jc w:val="both"/>
        <w:rPr>
          <w:rFonts w:hint="eastAsia" w:ascii="仿宋_GB2312" w:hAnsi="仿宋" w:eastAsia="仿宋_GB2312"/>
          <w:sz w:val="32"/>
          <w:szCs w:val="32"/>
        </w:rPr>
      </w:pPr>
      <w:r>
        <w:drawing>
          <wp:anchor distT="0" distB="0" distL="114300" distR="114300" simplePos="0" relativeHeight="251664384" behindDoc="0" locked="0" layoutInCell="1" allowOverlap="1">
            <wp:simplePos x="0" y="0"/>
            <wp:positionH relativeFrom="column">
              <wp:posOffset>554990</wp:posOffset>
            </wp:positionH>
            <wp:positionV relativeFrom="paragraph">
              <wp:posOffset>-44450</wp:posOffset>
            </wp:positionV>
            <wp:extent cx="4572000" cy="2743200"/>
            <wp:effectExtent l="4445" t="4445" r="14605" b="14605"/>
            <wp:wrapSquare wrapText="bothSides"/>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收入支出与上年度对比情况及原因分析。</w:t>
      </w:r>
    </w:p>
    <w:p>
      <w:pPr>
        <w:pStyle w:val="4"/>
        <w:adjustRightInd w:val="0"/>
        <w:snapToGrid w:val="0"/>
        <w:spacing w:before="0" w:line="480" w:lineRule="exact"/>
        <w:ind w:left="0" w:leftChars="0" w:right="33"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2023年度单位收入总计2911.13万元，比</w:t>
      </w:r>
      <w:r>
        <w:rPr>
          <w:rFonts w:hint="eastAsia" w:ascii="仿宋" w:hAnsi="仿宋" w:eastAsia="仿宋"/>
          <w:sz w:val="32"/>
          <w:szCs w:val="32"/>
          <w:lang w:eastAsia="zh-CN"/>
        </w:rPr>
        <w:t>比上年</w:t>
      </w:r>
      <w:r>
        <w:rPr>
          <w:rFonts w:hint="eastAsia" w:ascii="仿宋" w:hAnsi="仿宋" w:eastAsia="仿宋"/>
          <w:sz w:val="32"/>
          <w:szCs w:val="32"/>
          <w:lang w:val="en-US" w:eastAsia="zh-CN"/>
        </w:rPr>
        <w:t>减少165.74</w:t>
      </w:r>
      <w:r>
        <w:rPr>
          <w:rFonts w:hint="eastAsia" w:ascii="仿宋" w:hAnsi="仿宋" w:eastAsia="仿宋"/>
          <w:sz w:val="32"/>
          <w:szCs w:val="32"/>
          <w:lang w:eastAsia="zh-CN"/>
        </w:rPr>
        <w:t>万元，同比</w:t>
      </w:r>
      <w:r>
        <w:rPr>
          <w:rFonts w:hint="eastAsia" w:ascii="仿宋" w:hAnsi="仿宋" w:eastAsia="仿宋"/>
          <w:sz w:val="32"/>
          <w:szCs w:val="32"/>
          <w:lang w:val="en-US" w:eastAsia="zh-CN"/>
        </w:rPr>
        <w:t>降低5.39%</w:t>
      </w:r>
      <w:r>
        <w:rPr>
          <w:rFonts w:hint="eastAsia" w:ascii="仿宋" w:hAnsi="仿宋" w:eastAsia="仿宋"/>
          <w:sz w:val="32"/>
          <w:szCs w:val="32"/>
          <w:lang w:eastAsia="zh-CN"/>
        </w:rPr>
        <w:t>，主要是</w:t>
      </w:r>
      <w:r>
        <w:rPr>
          <w:rFonts w:hint="eastAsia" w:ascii="仿宋" w:hAnsi="仿宋" w:eastAsia="仿宋"/>
          <w:sz w:val="32"/>
          <w:szCs w:val="32"/>
          <w:lang w:val="en-US" w:eastAsia="zh-CN"/>
        </w:rPr>
        <w:t>办公楼房租及取暖费未拨付。</w:t>
      </w:r>
    </w:p>
    <w:p>
      <w:pPr>
        <w:pStyle w:val="4"/>
        <w:adjustRightInd w:val="0"/>
        <w:snapToGrid w:val="0"/>
        <w:spacing w:before="0" w:line="480" w:lineRule="exact"/>
        <w:ind w:left="0" w:leftChars="0" w:right="33" w:firstLine="480" w:firstLineChars="200"/>
        <w:rPr>
          <w:rFonts w:hint="eastAsia" w:ascii="仿宋" w:hAnsi="仿宋" w:eastAsia="仿宋"/>
          <w:sz w:val="32"/>
          <w:szCs w:val="32"/>
          <w:lang w:val="en-US" w:eastAsia="zh-CN"/>
        </w:rPr>
      </w:pPr>
      <w:r>
        <w:drawing>
          <wp:anchor distT="0" distB="0" distL="114300" distR="114300" simplePos="0" relativeHeight="251665408" behindDoc="0" locked="0" layoutInCell="1" allowOverlap="1">
            <wp:simplePos x="0" y="0"/>
            <wp:positionH relativeFrom="column">
              <wp:posOffset>417195</wp:posOffset>
            </wp:positionH>
            <wp:positionV relativeFrom="paragraph">
              <wp:posOffset>770890</wp:posOffset>
            </wp:positionV>
            <wp:extent cx="4572000" cy="2743200"/>
            <wp:effectExtent l="4445" t="4445" r="14605" b="14605"/>
            <wp:wrapSquare wrapText="bothSides"/>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年度单位支出总计</w:t>
      </w:r>
      <w:r>
        <w:rPr>
          <w:rFonts w:hint="eastAsia" w:ascii="仿宋" w:hAnsi="仿宋" w:eastAsia="仿宋"/>
          <w:sz w:val="32"/>
          <w:szCs w:val="32"/>
          <w:lang w:val="en-US" w:eastAsia="zh-CN"/>
        </w:rPr>
        <w:t>2911.13</w:t>
      </w:r>
      <w:r>
        <w:rPr>
          <w:rFonts w:hint="eastAsia" w:ascii="仿宋" w:hAnsi="仿宋" w:eastAsia="仿宋"/>
          <w:sz w:val="32"/>
          <w:szCs w:val="32"/>
          <w:lang w:eastAsia="zh-CN"/>
        </w:rPr>
        <w:t>万元，比上年</w:t>
      </w:r>
      <w:r>
        <w:rPr>
          <w:rFonts w:hint="eastAsia" w:ascii="仿宋" w:hAnsi="仿宋" w:eastAsia="仿宋"/>
          <w:sz w:val="32"/>
          <w:szCs w:val="32"/>
          <w:lang w:val="en-US" w:eastAsia="zh-CN"/>
        </w:rPr>
        <w:t>减少165.74</w:t>
      </w:r>
      <w:r>
        <w:rPr>
          <w:rFonts w:hint="eastAsia" w:ascii="仿宋" w:hAnsi="仿宋" w:eastAsia="仿宋"/>
          <w:sz w:val="32"/>
          <w:szCs w:val="32"/>
          <w:lang w:eastAsia="zh-CN"/>
        </w:rPr>
        <w:t>万元，同比</w:t>
      </w:r>
      <w:r>
        <w:rPr>
          <w:rFonts w:hint="eastAsia" w:ascii="仿宋" w:hAnsi="仿宋" w:eastAsia="仿宋"/>
          <w:sz w:val="32"/>
          <w:szCs w:val="32"/>
          <w:lang w:val="en-US" w:eastAsia="zh-CN"/>
        </w:rPr>
        <w:t>降低5.39%</w:t>
      </w:r>
      <w:r>
        <w:rPr>
          <w:rFonts w:hint="eastAsia" w:ascii="仿宋" w:hAnsi="仿宋" w:eastAsia="仿宋"/>
          <w:sz w:val="32"/>
          <w:szCs w:val="32"/>
          <w:lang w:eastAsia="zh-CN"/>
        </w:rPr>
        <w:t>，主要是</w:t>
      </w:r>
      <w:r>
        <w:rPr>
          <w:rFonts w:hint="eastAsia" w:ascii="仿宋" w:hAnsi="仿宋" w:eastAsia="仿宋"/>
          <w:sz w:val="32"/>
          <w:szCs w:val="32"/>
          <w:lang w:val="en-US" w:eastAsia="zh-CN"/>
        </w:rPr>
        <w:t>办公楼房租及取暖费未拨付。</w:t>
      </w:r>
    </w:p>
    <w:p>
      <w:pPr>
        <w:pStyle w:val="4"/>
        <w:adjustRightInd w:val="0"/>
        <w:snapToGrid w:val="0"/>
        <w:spacing w:before="0" w:line="480" w:lineRule="exact"/>
        <w:ind w:left="0" w:leftChars="0" w:right="33" w:firstLine="640" w:firstLineChars="200"/>
        <w:rPr>
          <w:rFonts w:hint="eastAsia" w:ascii="仿宋" w:hAnsi="仿宋" w:eastAsia="仿宋"/>
          <w:sz w:val="32"/>
          <w:szCs w:val="32"/>
          <w:lang w:val="en-US" w:eastAsia="zh-CN"/>
        </w:rPr>
      </w:pPr>
    </w:p>
    <w:p>
      <w:pPr>
        <w:pStyle w:val="4"/>
        <w:adjustRightInd w:val="0"/>
        <w:snapToGrid w:val="0"/>
        <w:spacing w:before="0" w:line="480" w:lineRule="exact"/>
        <w:ind w:left="0" w:leftChars="0" w:right="33" w:firstLine="640" w:firstLineChars="200"/>
        <w:rPr>
          <w:rFonts w:hint="default" w:ascii="仿宋" w:hAnsi="仿宋" w:eastAsia="仿宋"/>
          <w:sz w:val="32"/>
          <w:szCs w:val="32"/>
          <w:lang w:val="en-US" w:eastAsia="zh-CN"/>
        </w:rPr>
      </w:pPr>
    </w:p>
    <w:p>
      <w:pPr>
        <w:pStyle w:val="4"/>
        <w:adjustRightInd w:val="0"/>
        <w:snapToGrid w:val="0"/>
        <w:spacing w:before="0" w:line="480" w:lineRule="exact"/>
        <w:ind w:left="0" w:leftChars="0" w:right="33" w:firstLine="0" w:firstLineChars="0"/>
        <w:rPr>
          <w:rFonts w:hint="eastAsia" w:ascii="仿宋" w:hAnsi="仿宋" w:eastAsia="仿宋"/>
          <w:sz w:val="32"/>
          <w:szCs w:val="32"/>
          <w:lang w:eastAsia="zh-CN"/>
        </w:rPr>
      </w:pPr>
    </w:p>
    <w:p>
      <w:pPr>
        <w:pStyle w:val="4"/>
        <w:adjustRightInd w:val="0"/>
        <w:snapToGrid w:val="0"/>
        <w:spacing w:before="0" w:line="480" w:lineRule="exact"/>
        <w:ind w:left="101" w:leftChars="46" w:right="33"/>
        <w:rPr>
          <w:rFonts w:hint="eastAsia" w:ascii="仿宋" w:hAnsi="仿宋" w:eastAsia="仿宋"/>
          <w:sz w:val="32"/>
          <w:szCs w:val="32"/>
          <w:lang w:eastAsia="zh-CN"/>
        </w:rPr>
      </w:pPr>
    </w:p>
    <w:p>
      <w:pPr>
        <w:pStyle w:val="4"/>
        <w:adjustRightInd w:val="0"/>
        <w:snapToGrid w:val="0"/>
        <w:spacing w:before="0" w:line="480" w:lineRule="exact"/>
        <w:ind w:left="101" w:leftChars="46" w:right="33"/>
        <w:rPr>
          <w:rFonts w:hint="eastAsia" w:ascii="仿宋" w:hAnsi="仿宋" w:eastAsia="仿宋"/>
          <w:sz w:val="32"/>
          <w:szCs w:val="32"/>
          <w:lang w:eastAsia="zh-CN"/>
        </w:rPr>
      </w:pPr>
    </w:p>
    <w:p>
      <w:pPr>
        <w:pStyle w:val="4"/>
        <w:adjustRightInd w:val="0"/>
        <w:snapToGrid w:val="0"/>
        <w:spacing w:before="0" w:line="480" w:lineRule="exact"/>
        <w:ind w:left="101" w:leftChars="46" w:right="33"/>
        <w:rPr>
          <w:rFonts w:hint="eastAsia" w:ascii="仿宋" w:hAnsi="仿宋" w:eastAsia="仿宋"/>
          <w:sz w:val="32"/>
          <w:szCs w:val="32"/>
          <w:lang w:eastAsia="zh-CN"/>
        </w:rPr>
      </w:pPr>
    </w:p>
    <w:p>
      <w:pPr>
        <w:pStyle w:val="4"/>
        <w:adjustRightInd w:val="0"/>
        <w:snapToGrid w:val="0"/>
        <w:spacing w:before="0" w:line="480" w:lineRule="exact"/>
        <w:ind w:left="101" w:leftChars="46" w:right="33"/>
        <w:rPr>
          <w:rFonts w:hint="eastAsia" w:ascii="仿宋" w:hAnsi="仿宋" w:eastAsia="仿宋"/>
          <w:sz w:val="32"/>
          <w:szCs w:val="32"/>
          <w:lang w:eastAsia="zh-CN"/>
        </w:rPr>
      </w:pPr>
    </w:p>
    <w:p>
      <w:pPr>
        <w:snapToGrid w:val="0"/>
        <w:spacing w:line="520" w:lineRule="exact"/>
        <w:rPr>
          <w:rFonts w:hint="eastAsia" w:ascii="仿宋_GB2312" w:hAnsi="仿宋" w:eastAsia="仿宋_GB2312"/>
          <w:b/>
          <w:sz w:val="32"/>
          <w:szCs w:val="32"/>
        </w:rPr>
      </w:pP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3．支出按经济分类科目分析。</w:t>
      </w:r>
    </w:p>
    <w:p>
      <w:pPr>
        <w:adjustRightInd w:val="0"/>
        <w:snapToGrid w:val="0"/>
        <w:spacing w:after="0"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（1）“三公”经费支出情况：</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年度“三公”经费支出共</w:t>
      </w:r>
      <w:r>
        <w:rPr>
          <w:rFonts w:hint="eastAsia" w:ascii="仿宋" w:hAnsi="仿宋" w:eastAsia="仿宋" w:cs="仿宋"/>
          <w:sz w:val="32"/>
          <w:szCs w:val="32"/>
          <w:lang w:val="en-US" w:eastAsia="zh-CN"/>
        </w:rPr>
        <w:t>172.89</w:t>
      </w:r>
      <w:r>
        <w:rPr>
          <w:rFonts w:hint="eastAsia" w:ascii="仿宋" w:hAnsi="仿宋" w:eastAsia="仿宋" w:cs="仿宋"/>
          <w:sz w:val="32"/>
          <w:szCs w:val="32"/>
        </w:rPr>
        <w:t>万元。具体情况如下：</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因公出国（境）费支出0万元。</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年度未发生因公出国（境）费用支出，所以无此项支出。</w:t>
      </w:r>
    </w:p>
    <w:p>
      <w:pPr>
        <w:adjustRightInd w:val="0"/>
        <w:snapToGrid w:val="0"/>
        <w:spacing w:after="0" w:line="58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公务用车购置及运行维护费支出</w:t>
      </w:r>
      <w:r>
        <w:rPr>
          <w:rFonts w:hint="eastAsia" w:ascii="仿宋" w:hAnsi="仿宋" w:eastAsia="仿宋" w:cs="仿宋"/>
          <w:b w:val="0"/>
          <w:bCs w:val="0"/>
          <w:sz w:val="32"/>
          <w:szCs w:val="32"/>
          <w:lang w:val="en-US" w:eastAsia="zh-CN"/>
        </w:rPr>
        <w:t>20.11</w:t>
      </w:r>
      <w:r>
        <w:rPr>
          <w:rFonts w:hint="eastAsia" w:ascii="仿宋" w:hAnsi="仿宋" w:eastAsia="仿宋" w:cs="仿宋"/>
          <w:b w:val="0"/>
          <w:bCs w:val="0"/>
          <w:sz w:val="32"/>
          <w:szCs w:val="32"/>
        </w:rPr>
        <w:t>万元。</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年度发生公务用车运行维护费支出</w:t>
      </w:r>
      <w:r>
        <w:rPr>
          <w:rFonts w:hint="eastAsia" w:ascii="仿宋" w:hAnsi="仿宋" w:eastAsia="仿宋" w:cs="仿宋"/>
          <w:sz w:val="32"/>
          <w:szCs w:val="32"/>
          <w:lang w:val="en-US" w:eastAsia="zh-CN"/>
        </w:rPr>
        <w:t>20.11万元</w:t>
      </w:r>
      <w:r>
        <w:rPr>
          <w:rFonts w:hint="eastAsia" w:ascii="仿宋" w:hAnsi="仿宋" w:eastAsia="仿宋" w:cs="仿宋"/>
          <w:sz w:val="32"/>
          <w:szCs w:val="32"/>
        </w:rPr>
        <w:t>。</w:t>
      </w:r>
      <w:r>
        <w:rPr>
          <w:rFonts w:hint="eastAsia" w:ascii="仿宋" w:hAnsi="仿宋" w:eastAsia="仿宋" w:cs="仿宋"/>
          <w:sz w:val="32"/>
          <w:szCs w:val="32"/>
          <w:lang w:val="en-US" w:eastAsia="zh-CN"/>
        </w:rPr>
        <w:t>比上年增加6.31万元，同比上涨45.72%，主要原因是2023年度派车次数增加，各项费用支出增加。</w:t>
      </w:r>
    </w:p>
    <w:p>
      <w:pPr>
        <w:adjustRightInd w:val="0"/>
        <w:snapToGrid w:val="0"/>
        <w:spacing w:after="0"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公务接待费支出</w:t>
      </w:r>
      <w:r>
        <w:rPr>
          <w:rFonts w:hint="eastAsia" w:ascii="仿宋" w:hAnsi="仿宋" w:eastAsia="仿宋" w:cs="仿宋"/>
          <w:b w:val="0"/>
          <w:bCs w:val="0"/>
          <w:sz w:val="32"/>
          <w:szCs w:val="32"/>
          <w:lang w:val="en-US" w:eastAsia="zh-CN"/>
        </w:rPr>
        <w:t>152.79</w:t>
      </w:r>
      <w:r>
        <w:rPr>
          <w:rFonts w:hint="eastAsia" w:ascii="仿宋" w:hAnsi="仿宋" w:eastAsia="仿宋" w:cs="仿宋"/>
          <w:b w:val="0"/>
          <w:bCs w:val="0"/>
          <w:sz w:val="32"/>
          <w:szCs w:val="32"/>
        </w:rPr>
        <w:t>万元。本</w:t>
      </w: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年度公务接待共</w:t>
      </w:r>
      <w:r>
        <w:rPr>
          <w:rFonts w:hint="eastAsia" w:ascii="仿宋" w:hAnsi="仿宋" w:eastAsia="仿宋" w:cs="仿宋"/>
          <w:b w:val="0"/>
          <w:bCs w:val="0"/>
          <w:color w:val="auto"/>
          <w:sz w:val="32"/>
          <w:szCs w:val="32"/>
          <w:lang w:val="en-US" w:eastAsia="zh-CN"/>
        </w:rPr>
        <w:t>222</w:t>
      </w:r>
      <w:r>
        <w:rPr>
          <w:rFonts w:hint="eastAsia" w:ascii="仿宋" w:hAnsi="仿宋" w:eastAsia="仿宋" w:cs="仿宋"/>
          <w:b w:val="0"/>
          <w:bCs w:val="0"/>
          <w:sz w:val="32"/>
          <w:szCs w:val="32"/>
        </w:rPr>
        <w:t>批次、</w:t>
      </w:r>
      <w:r>
        <w:rPr>
          <w:rFonts w:hint="eastAsia" w:ascii="仿宋" w:hAnsi="仿宋" w:eastAsia="仿宋" w:cs="仿宋"/>
          <w:b w:val="0"/>
          <w:bCs w:val="0"/>
          <w:sz w:val="32"/>
          <w:szCs w:val="32"/>
          <w:lang w:val="en-US" w:eastAsia="zh-CN"/>
        </w:rPr>
        <w:t>3996</w:t>
      </w:r>
      <w:r>
        <w:rPr>
          <w:rFonts w:hint="eastAsia" w:ascii="仿宋" w:hAnsi="仿宋" w:eastAsia="仿宋" w:cs="仿宋"/>
          <w:b w:val="0"/>
          <w:bCs w:val="0"/>
          <w:sz w:val="32"/>
          <w:szCs w:val="32"/>
        </w:rPr>
        <w:t>人次。</w:t>
      </w:r>
      <w:r>
        <w:rPr>
          <w:rFonts w:hint="eastAsia" w:ascii="仿宋" w:hAnsi="仿宋" w:eastAsia="仿宋" w:cs="仿宋"/>
          <w:b w:val="0"/>
          <w:bCs w:val="0"/>
          <w:sz w:val="32"/>
          <w:szCs w:val="32"/>
          <w:lang w:val="en-US" w:eastAsia="zh-CN"/>
        </w:rPr>
        <w:t>比上年增加70.62万元，同比上涨85.94%，主要是因为疫情过后加大招商力度，接待批次人次增加。</w:t>
      </w:r>
    </w:p>
    <w:p>
      <w:pPr>
        <w:adjustRightInd w:val="0"/>
        <w:snapToGrid w:val="0"/>
        <w:spacing w:after="0" w:line="580" w:lineRule="exact"/>
        <w:ind w:firstLine="640" w:firstLineChars="200"/>
        <w:rPr>
          <w:rFonts w:hint="default" w:ascii="仿宋" w:hAnsi="仿宋" w:eastAsia="仿宋" w:cs="仿宋"/>
          <w:color w:val="000000"/>
          <w:sz w:val="32"/>
          <w:szCs w:val="32"/>
          <w:lang w:val="en-US" w:eastAsia="zh-CN"/>
        </w:rPr>
      </w:pPr>
      <w:r>
        <w:rPr>
          <w:rFonts w:hint="eastAsia" w:ascii="仿宋_GB2312" w:hAnsi="仿宋" w:eastAsia="仿宋_GB2312"/>
          <w:sz w:val="32"/>
          <w:szCs w:val="32"/>
        </w:rPr>
        <w:t>（2）会议费支出情况：</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0.4万元。</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年度发生</w:t>
      </w:r>
      <w:r>
        <w:rPr>
          <w:rFonts w:hint="eastAsia" w:ascii="仿宋" w:hAnsi="仿宋" w:eastAsia="仿宋" w:cs="仿宋"/>
          <w:sz w:val="32"/>
          <w:szCs w:val="32"/>
          <w:lang w:val="en-US" w:eastAsia="zh-CN"/>
        </w:rPr>
        <w:t>会议费0.4万元</w:t>
      </w:r>
      <w:r>
        <w:rPr>
          <w:rFonts w:hint="eastAsia" w:ascii="仿宋" w:hAnsi="仿宋" w:eastAsia="仿宋" w:cs="仿宋"/>
          <w:sz w:val="32"/>
          <w:szCs w:val="32"/>
        </w:rPr>
        <w:t>。</w:t>
      </w:r>
      <w:r>
        <w:rPr>
          <w:rFonts w:hint="eastAsia" w:ascii="仿宋" w:hAnsi="仿宋" w:eastAsia="仿宋" w:cs="仿宋"/>
          <w:sz w:val="32"/>
          <w:szCs w:val="32"/>
          <w:lang w:val="en-US" w:eastAsia="zh-CN"/>
        </w:rPr>
        <w:t>比上年增加0.4万元，同比上涨100%，主要原因是2023年度参加中开些组织会议。</w:t>
      </w:r>
    </w:p>
    <w:p>
      <w:pPr>
        <w:snapToGrid w:val="0"/>
        <w:spacing w:line="520" w:lineRule="exact"/>
        <w:ind w:firstLine="640" w:firstLineChars="200"/>
        <w:rPr>
          <w:rFonts w:hint="eastAsia" w:ascii="仿宋_GB2312" w:hAnsi="仿宋" w:eastAsia="仿宋"/>
          <w:sz w:val="32"/>
          <w:szCs w:val="32"/>
          <w:lang w:val="en-US" w:eastAsia="zh-CN"/>
        </w:rPr>
      </w:pPr>
      <w:r>
        <w:rPr>
          <w:rFonts w:hint="eastAsia" w:ascii="仿宋_GB2312" w:hAnsi="仿宋" w:eastAsia="仿宋_GB2312"/>
          <w:sz w:val="32"/>
          <w:szCs w:val="32"/>
        </w:rPr>
        <w:t>（3）培训费支出情况</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0万元。</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年度</w:t>
      </w:r>
      <w:r>
        <w:rPr>
          <w:rFonts w:hint="eastAsia" w:ascii="仿宋" w:hAnsi="仿宋" w:eastAsia="仿宋" w:cs="仿宋"/>
          <w:sz w:val="32"/>
          <w:szCs w:val="32"/>
          <w:lang w:eastAsia="zh-CN"/>
        </w:rPr>
        <w:t>未发生</w:t>
      </w:r>
      <w:r>
        <w:rPr>
          <w:rFonts w:hint="eastAsia" w:ascii="仿宋_GB2312" w:hAnsi="仿宋" w:eastAsia="仿宋_GB2312"/>
          <w:sz w:val="32"/>
          <w:szCs w:val="32"/>
        </w:rPr>
        <w:t>培训费</w:t>
      </w:r>
      <w:r>
        <w:rPr>
          <w:rFonts w:hint="eastAsia" w:ascii="仿宋" w:hAnsi="仿宋" w:eastAsia="仿宋" w:cs="仿宋"/>
          <w:sz w:val="32"/>
          <w:szCs w:val="32"/>
        </w:rPr>
        <w:t>支出，所以无此项支出</w:t>
      </w:r>
      <w:r>
        <w:rPr>
          <w:rFonts w:hint="eastAsia" w:ascii="仿宋" w:hAnsi="仿宋" w:eastAsia="仿宋" w:cs="仿宋"/>
          <w:sz w:val="32"/>
          <w:szCs w:val="32"/>
          <w:lang w:eastAsia="zh-CN"/>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（4）其他对单位影响较大的支出情况。</w:t>
      </w:r>
    </w:p>
    <w:p>
      <w:pPr>
        <w:snapToGrid w:val="0"/>
        <w:spacing w:line="520" w:lineRule="exact"/>
        <w:ind w:firstLine="1280" w:firstLineChars="400"/>
        <w:rPr>
          <w:rFonts w:hint="eastAsia" w:ascii="仿宋_GB2312" w:hAnsi="仿宋" w:eastAsia="仿宋_GB2312"/>
          <w:sz w:val="32"/>
          <w:szCs w:val="32"/>
        </w:rPr>
      </w:pPr>
      <w:r>
        <w:rPr>
          <w:rFonts w:hint="eastAsia" w:ascii="仿宋_GB2312" w:hAnsi="仿宋" w:eastAsia="仿宋_GB2312"/>
          <w:sz w:val="32"/>
          <w:szCs w:val="32"/>
          <w:lang w:eastAsia="zh-CN"/>
        </w:rPr>
        <w:t>无影响较大支出。</w:t>
      </w:r>
    </w:p>
    <w:p>
      <w:pPr>
        <w:pStyle w:val="11"/>
        <w:numPr>
          <w:ilvl w:val="0"/>
          <w:numId w:val="2"/>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重点经济分类支出中存在的问题及改进措施。</w:t>
      </w:r>
    </w:p>
    <w:p>
      <w:pPr>
        <w:pStyle w:val="11"/>
        <w:numPr>
          <w:ilvl w:val="0"/>
          <w:numId w:val="0"/>
        </w:numPr>
        <w:ind w:firstLine="1600" w:firstLineChars="500"/>
        <w:rPr>
          <w:rFonts w:hint="eastAsia" w:ascii="仿宋_GB2312" w:hAnsi="仿宋" w:eastAsia="仿宋_GB2312"/>
          <w:sz w:val="32"/>
          <w:szCs w:val="32"/>
        </w:rPr>
      </w:pPr>
      <w:r>
        <w:rPr>
          <w:rFonts w:hint="eastAsia" w:ascii="仿宋_GB2312" w:hAnsi="仿宋" w:eastAsia="仿宋_GB2312"/>
          <w:sz w:val="32"/>
          <w:szCs w:val="32"/>
          <w:lang w:val="en-US" w:eastAsia="zh-CN"/>
        </w:rPr>
        <w:t>无</w:t>
      </w:r>
      <w:r>
        <w:rPr>
          <w:rFonts w:hint="eastAsia" w:ascii="仿宋_GB2312" w:hAnsi="仿宋" w:eastAsia="仿宋_GB2312"/>
          <w:sz w:val="32"/>
          <w:szCs w:val="32"/>
          <w:lang w:eastAsia="zh-CN"/>
        </w:rPr>
        <w:t>。</w:t>
      </w:r>
    </w:p>
    <w:p>
      <w:pPr>
        <w:numPr>
          <w:ilvl w:val="0"/>
          <w:numId w:val="0"/>
        </w:num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财政拨款收入、支出分析。</w:t>
      </w:r>
    </w:p>
    <w:p>
      <w:pPr>
        <w:numPr>
          <w:ilvl w:val="0"/>
          <w:numId w:val="0"/>
        </w:numPr>
        <w:snapToGrid w:val="0"/>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lang w:eastAsia="zh-CN"/>
        </w:rPr>
        <w:t>年度收入决算数</w:t>
      </w:r>
      <w:r>
        <w:rPr>
          <w:rFonts w:hint="eastAsia" w:ascii="仿宋" w:hAnsi="仿宋" w:eastAsia="仿宋"/>
          <w:sz w:val="32"/>
          <w:szCs w:val="32"/>
          <w:lang w:val="en-US" w:eastAsia="zh-CN"/>
        </w:rPr>
        <w:t>2911.13</w:t>
      </w:r>
      <w:r>
        <w:rPr>
          <w:rFonts w:hint="eastAsia" w:ascii="仿宋" w:hAnsi="仿宋" w:eastAsia="仿宋"/>
          <w:sz w:val="32"/>
          <w:szCs w:val="32"/>
          <w:lang w:eastAsia="zh-CN"/>
        </w:rPr>
        <w:t>万元，完成预算的</w:t>
      </w:r>
      <w:r>
        <w:rPr>
          <w:rFonts w:hint="eastAsia" w:ascii="仿宋" w:hAnsi="仿宋" w:eastAsia="仿宋"/>
          <w:sz w:val="32"/>
          <w:szCs w:val="32"/>
          <w:lang w:val="en-US" w:eastAsia="zh-CN"/>
        </w:rPr>
        <w:t>71.92</w:t>
      </w:r>
      <w:r>
        <w:rPr>
          <w:rFonts w:hint="eastAsia" w:ascii="仿宋" w:hAnsi="仿宋" w:eastAsia="仿宋"/>
          <w:sz w:val="32"/>
          <w:szCs w:val="32"/>
          <w:lang w:eastAsia="zh-CN"/>
        </w:rPr>
        <w:t>%，支出决算数</w:t>
      </w:r>
      <w:r>
        <w:rPr>
          <w:rFonts w:hint="eastAsia" w:ascii="仿宋" w:hAnsi="仿宋" w:eastAsia="仿宋"/>
          <w:sz w:val="32"/>
          <w:szCs w:val="32"/>
          <w:lang w:val="en-US" w:eastAsia="zh-CN"/>
        </w:rPr>
        <w:t>2911.13</w:t>
      </w:r>
      <w:r>
        <w:rPr>
          <w:rFonts w:hint="eastAsia" w:ascii="仿宋" w:hAnsi="仿宋" w:eastAsia="仿宋"/>
          <w:sz w:val="32"/>
          <w:szCs w:val="32"/>
          <w:lang w:eastAsia="zh-CN"/>
        </w:rPr>
        <w:t>万元，完成预算的</w:t>
      </w:r>
      <w:r>
        <w:rPr>
          <w:rFonts w:hint="eastAsia" w:ascii="仿宋" w:hAnsi="仿宋" w:eastAsia="仿宋"/>
          <w:sz w:val="32"/>
          <w:szCs w:val="32"/>
          <w:lang w:val="en-US" w:eastAsia="zh-CN"/>
        </w:rPr>
        <w:t>71.92</w:t>
      </w:r>
      <w:r>
        <w:rPr>
          <w:rFonts w:hint="eastAsia" w:ascii="仿宋" w:hAnsi="仿宋" w:eastAsia="仿宋"/>
          <w:sz w:val="32"/>
          <w:szCs w:val="32"/>
          <w:lang w:eastAsia="zh-CN"/>
        </w:rPr>
        <w:t>%。</w:t>
      </w:r>
    </w:p>
    <w:p>
      <w:pPr>
        <w:numPr>
          <w:ilvl w:val="0"/>
          <w:numId w:val="0"/>
        </w:numPr>
        <w:snapToGrid w:val="0"/>
        <w:spacing w:line="520" w:lineRule="exact"/>
        <w:ind w:firstLine="643" w:firstLineChars="200"/>
        <w:rPr>
          <w:rFonts w:hint="default" w:ascii="仿宋_GB2312" w:hAnsi="仿宋" w:eastAsia="仿宋_GB2312"/>
          <w:b/>
          <w:sz w:val="32"/>
          <w:szCs w:val="32"/>
          <w:lang w:val="en-US" w:eastAsia="zh-CN"/>
        </w:rPr>
      </w:pPr>
      <w:r>
        <w:rPr>
          <w:rFonts w:hint="eastAsia" w:ascii="仿宋_GB2312" w:hAnsi="仿宋" w:eastAsia="仿宋_GB2312"/>
          <w:b/>
          <w:sz w:val="32"/>
          <w:szCs w:val="32"/>
          <w:lang w:val="en-US" w:eastAsia="zh-CN"/>
        </w:rPr>
        <w:t>5、非财政拨款收入分析。</w:t>
      </w:r>
    </w:p>
    <w:p>
      <w:pPr>
        <w:keepNext w:val="0"/>
        <w:keepLines w:val="0"/>
        <w:pageBreakBefore w:val="0"/>
        <w:widowControl w:val="0"/>
        <w:kinsoku/>
        <w:wordWrap/>
        <w:overflowPunct/>
        <w:topLinePunct w:val="0"/>
        <w:autoSpaceDE/>
        <w:autoSpaceDN/>
        <w:bidi w:val="0"/>
        <w:adjustRightInd w:val="0"/>
        <w:snapToGrid w:val="0"/>
        <w:spacing w:after="0" w:line="570" w:lineRule="exact"/>
        <w:ind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lang w:eastAsia="zh-CN"/>
        </w:rPr>
        <w:t>年度</w:t>
      </w:r>
      <w:r>
        <w:rPr>
          <w:rFonts w:hint="eastAsia" w:ascii="仿宋" w:hAnsi="仿宋" w:eastAsia="仿宋"/>
          <w:sz w:val="32"/>
          <w:szCs w:val="32"/>
          <w:lang w:val="en-US" w:eastAsia="zh-CN"/>
        </w:rPr>
        <w:t>非财政拨款收入为24.5万元</w:t>
      </w:r>
      <w:r>
        <w:rPr>
          <w:rFonts w:hint="eastAsia" w:ascii="仿宋" w:hAnsi="仿宋" w:eastAsia="仿宋" w:cs="仿宋"/>
          <w:sz w:val="32"/>
          <w:szCs w:val="32"/>
          <w:lang w:val="en-US" w:eastAsia="zh-CN"/>
        </w:rPr>
        <w:t>。</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（三）年末结转和结余情况。</w:t>
      </w:r>
    </w:p>
    <w:p>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1．</w:t>
      </w:r>
      <w:r>
        <w:rPr>
          <w:rFonts w:hint="eastAsia" w:ascii="仿宋_GB2312" w:hAnsi="仿宋" w:eastAsia="仿宋_GB2312"/>
          <w:sz w:val="32"/>
          <w:szCs w:val="32"/>
          <w:lang w:eastAsia="zh-CN"/>
        </w:rPr>
        <w:t>本单位</w:t>
      </w:r>
      <w:r>
        <w:rPr>
          <w:rFonts w:hint="eastAsia" w:ascii="仿宋_GB2312" w:hAnsi="仿宋" w:eastAsia="仿宋_GB2312"/>
          <w:sz w:val="32"/>
          <w:szCs w:val="32"/>
          <w:lang w:val="en-US" w:eastAsia="zh-CN"/>
        </w:rPr>
        <w:t>2023年度非财政拨款年末结余为27.26万元</w:t>
      </w:r>
      <w:r>
        <w:rPr>
          <w:rFonts w:hint="eastAsia" w:ascii="仿宋" w:hAnsi="仿宋" w:eastAsia="仿宋" w:cs="仿宋"/>
          <w:sz w:val="32"/>
          <w:szCs w:val="32"/>
          <w:lang w:val="en-US" w:eastAsia="zh-CN"/>
        </w:rPr>
        <w:t>。</w:t>
      </w:r>
    </w:p>
    <w:p>
      <w:pPr>
        <w:snapToGrid w:val="0"/>
        <w:spacing w:line="520" w:lineRule="exact"/>
        <w:ind w:firstLine="640" w:firstLineChars="200"/>
        <w:rPr>
          <w:rFonts w:hint="eastAsia" w:ascii="仿宋" w:hAnsi="仿宋" w:eastAsia="仿宋"/>
          <w:sz w:val="32"/>
          <w:szCs w:val="32"/>
          <w:lang w:val="en-US" w:eastAsia="zh-CN"/>
        </w:rPr>
      </w:pPr>
      <w:r>
        <w:rPr>
          <w:rFonts w:hint="eastAsia" w:ascii="仿宋_GB2312" w:hAnsi="仿宋" w:eastAsia="仿宋_GB2312"/>
          <w:sz w:val="32"/>
          <w:szCs w:val="32"/>
        </w:rPr>
        <w:t>2．消化结转和结余的对策。</w:t>
      </w:r>
      <w:r>
        <w:rPr>
          <w:rFonts w:hint="eastAsia" w:ascii="仿宋" w:hAnsi="仿宋" w:eastAsia="仿宋"/>
          <w:sz w:val="32"/>
          <w:szCs w:val="32"/>
          <w:lang w:val="en-US" w:eastAsia="zh-CN"/>
        </w:rPr>
        <w:t>无。</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（四）与预算支出相关的其他指标分析。</w:t>
      </w:r>
    </w:p>
    <w:p>
      <w:pPr>
        <w:snapToGrid w:val="0"/>
        <w:spacing w:line="52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lang w:eastAsia="zh-CN"/>
        </w:rPr>
        <w:t>年度本单位资产总计</w:t>
      </w:r>
      <w:r>
        <w:rPr>
          <w:rFonts w:hint="eastAsia" w:ascii="仿宋" w:hAnsi="仿宋" w:eastAsia="仿宋"/>
          <w:sz w:val="32"/>
          <w:szCs w:val="32"/>
          <w:lang w:val="en-US" w:eastAsia="zh-CN"/>
        </w:rPr>
        <w:t>1296.70</w:t>
      </w:r>
      <w:r>
        <w:rPr>
          <w:rFonts w:hint="eastAsia" w:ascii="仿宋" w:hAnsi="仿宋" w:eastAsia="仿宋"/>
          <w:sz w:val="32"/>
          <w:szCs w:val="32"/>
          <w:lang w:eastAsia="zh-CN"/>
        </w:rPr>
        <w:t>万元，比</w:t>
      </w:r>
      <w:r>
        <w:rPr>
          <w:rFonts w:hint="eastAsia" w:ascii="仿宋" w:hAnsi="仿宋" w:eastAsia="仿宋"/>
          <w:sz w:val="32"/>
          <w:szCs w:val="32"/>
          <w:lang w:val="en-US" w:eastAsia="zh-CN"/>
        </w:rPr>
        <w:t>2022年度减少3081.70万元，降低70.38%，主要原因是划转固定资产。</w:t>
      </w:r>
      <w:r>
        <w:rPr>
          <w:rFonts w:hint="eastAsia" w:ascii="仿宋" w:hAnsi="仿宋" w:eastAsia="仿宋"/>
          <w:sz w:val="32"/>
          <w:szCs w:val="32"/>
          <w:lang w:eastAsia="zh-CN"/>
        </w:rPr>
        <w:t>负债总计</w:t>
      </w:r>
      <w:r>
        <w:rPr>
          <w:rFonts w:hint="eastAsia" w:ascii="仿宋" w:hAnsi="仿宋" w:eastAsia="仿宋"/>
          <w:sz w:val="32"/>
          <w:szCs w:val="32"/>
          <w:lang w:val="en-US" w:eastAsia="zh-CN"/>
        </w:rPr>
        <w:t>102.3</w:t>
      </w:r>
      <w:r>
        <w:rPr>
          <w:rFonts w:hint="eastAsia" w:ascii="仿宋" w:hAnsi="仿宋" w:eastAsia="仿宋"/>
          <w:sz w:val="32"/>
          <w:szCs w:val="32"/>
          <w:lang w:eastAsia="zh-CN"/>
        </w:rPr>
        <w:t>万元，比</w:t>
      </w:r>
      <w:r>
        <w:rPr>
          <w:rFonts w:hint="eastAsia" w:ascii="仿宋" w:hAnsi="仿宋" w:eastAsia="仿宋"/>
          <w:sz w:val="32"/>
          <w:szCs w:val="32"/>
          <w:lang w:val="en-US" w:eastAsia="zh-CN"/>
        </w:rPr>
        <w:t>2022年度减少11.83万元，减少10.36%</w:t>
      </w:r>
      <w:r>
        <w:rPr>
          <w:rFonts w:hint="eastAsia" w:ascii="仿宋" w:hAnsi="仿宋" w:eastAsia="仿宋"/>
          <w:sz w:val="32"/>
          <w:szCs w:val="32"/>
          <w:lang w:eastAsia="zh-CN"/>
        </w:rPr>
        <w:t>。净资产总计</w:t>
      </w:r>
      <w:r>
        <w:rPr>
          <w:rFonts w:hint="eastAsia" w:ascii="仿宋" w:hAnsi="仿宋" w:eastAsia="仿宋"/>
          <w:sz w:val="32"/>
          <w:szCs w:val="32"/>
          <w:lang w:val="en-US" w:eastAsia="zh-CN"/>
        </w:rPr>
        <w:t>267.29</w:t>
      </w:r>
      <w:r>
        <w:rPr>
          <w:rFonts w:hint="eastAsia" w:ascii="仿宋" w:hAnsi="仿宋" w:eastAsia="仿宋"/>
          <w:sz w:val="32"/>
          <w:szCs w:val="32"/>
          <w:lang w:eastAsia="zh-CN"/>
        </w:rPr>
        <w:t>万元，比</w:t>
      </w:r>
      <w:r>
        <w:rPr>
          <w:rFonts w:hint="eastAsia" w:ascii="仿宋" w:hAnsi="仿宋" w:eastAsia="仿宋"/>
          <w:sz w:val="32"/>
          <w:szCs w:val="32"/>
          <w:lang w:val="en-US" w:eastAsia="zh-CN"/>
        </w:rPr>
        <w:t>2022年度减少2466.76万元，减少90.22%，主要原因固定资产划转</w:t>
      </w:r>
      <w:r>
        <w:rPr>
          <w:rFonts w:hint="eastAsia" w:ascii="仿宋" w:hAnsi="仿宋" w:eastAsia="仿宋"/>
          <w:sz w:val="32"/>
          <w:szCs w:val="32"/>
          <w:lang w:eastAsia="zh-CN"/>
        </w:rPr>
        <w:t>。</w:t>
      </w:r>
    </w:p>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（五）绩效目标完成情况。</w:t>
      </w:r>
    </w:p>
    <w:p>
      <w:pPr>
        <w:snapToGrid w:val="0"/>
        <w:spacing w:line="520" w:lineRule="exact"/>
        <w:ind w:firstLine="640" w:firstLineChars="200"/>
        <w:rPr>
          <w:rFonts w:hint="eastAsia" w:ascii="仿宋_GB2312" w:hAnsi="仿宋" w:eastAsia="仿宋_GB2312"/>
          <w:sz w:val="32"/>
          <w:szCs w:val="32"/>
          <w:highlight w:val="none"/>
        </w:rPr>
      </w:pPr>
      <w:r>
        <w:rPr>
          <w:rFonts w:hint="eastAsia" w:ascii="宋体" w:hAnsi="宋体" w:eastAsia="方正仿宋简体" w:cs="方正仿宋简体"/>
          <w:sz w:val="32"/>
          <w:szCs w:val="32"/>
          <w:highlight w:val="none"/>
        </w:rPr>
        <w:t>1.</w:t>
      </w:r>
      <w:r>
        <w:rPr>
          <w:rFonts w:hint="eastAsia" w:ascii="仿宋_GB2312" w:hAnsi="仿宋" w:eastAsia="仿宋_GB2312"/>
          <w:sz w:val="32"/>
          <w:szCs w:val="32"/>
          <w:highlight w:val="none"/>
        </w:rPr>
        <w:t>概述项目绩效目标完成情况。</w:t>
      </w:r>
    </w:p>
    <w:p>
      <w:pPr>
        <w:snapToGrid w:val="0"/>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除“管委会南办公楼租赁费”“管委会北办公楼租赁费”海关办公楼物业费、租赁费（津航疏浚大厦）”“取暖费”项目外，其他项目预算执行情况良好，在支出进度、目标完成、组织实施、资金管理等方面无问题，圆满实现年初确定的绩效目标。</w:t>
      </w:r>
    </w:p>
    <w:p>
      <w:pPr>
        <w:numPr>
          <w:ilvl w:val="0"/>
          <w:numId w:val="3"/>
        </w:num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概述本单位整体支出绩效目标实现情况。</w:t>
      </w:r>
    </w:p>
    <w:p>
      <w:pPr>
        <w:numPr>
          <w:ilvl w:val="0"/>
          <w:numId w:val="0"/>
        </w:numPr>
        <w:snapToGrid w:val="0"/>
        <w:spacing w:line="520" w:lineRule="exact"/>
        <w:rPr>
          <w:rFonts w:hint="eastAsia" w:ascii="仿宋" w:hAnsi="仿宋" w:eastAsia="仿宋"/>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仿宋" w:hAnsi="仿宋" w:eastAsia="仿宋"/>
          <w:sz w:val="32"/>
          <w:szCs w:val="32"/>
          <w:lang w:val="en-US" w:eastAsia="zh-CN"/>
        </w:rPr>
        <w:t>完成年度整体绩效目标，加强信息收集整理，及时向市委市政府信息处、省开发区协会反馈信息，努力提升采用率和批示率；认真做好照片采集、筛选工作，按时整理交档；按照《唐山海港经济开发区贯彻落实在全党大兴调查研究工作方案的具体措施》要求，围绕12方面内容，统筹协调，高效推进，确保保质保量按期完成调查研究工作，力争更多调研成果纳入党工委、管委会决策；按要求完成市地方志、省市年鉴供稿工作；认真做好会议纪要撰写、制发，会议记录整理、归档等工作；接收、整理、归档2022年度文书、照片、疫情防控等各门类档案；完成2022年度文书档案的扫描工作；完成《大事记》《组织机构沿革》等编研资料的续写工作；完成档案库房日常管理，各门类档案的借查阅工作；围绕党工委、管委会重大决策部署和领导批示交办事项进行督导检查，确保各项任务按时保质保量完成，各项决策部署落到实处；机关网络稳定运行，门户网站发布信息500条以上；加强党的思想、组织和作风建设，发挥党组织的战斗堡垒作用和党员的先锋模范作用。制定机关党委中心组理论学习计划，指导基层党组织创A工作保质保量完成，通过验收。壮大党组织队伍，发展10名预备党员。</w:t>
      </w:r>
    </w:p>
    <w:p>
      <w:pPr>
        <w:pageBreakBefore w:val="0"/>
        <w:widowControl/>
        <w:numPr>
          <w:ilvl w:val="0"/>
          <w:numId w:val="4"/>
        </w:numPr>
        <w:kinsoku/>
        <w:overflowPunct/>
        <w:topLinePunct w:val="0"/>
        <w:autoSpaceDE/>
        <w:autoSpaceDN/>
        <w:bidi w:val="0"/>
        <w:adjustRightInd w:val="0"/>
        <w:snapToGrid w:val="0"/>
        <w:spacing w:line="570" w:lineRule="exact"/>
        <w:ind w:left="0" w:leftChars="0" w:firstLine="643" w:firstLineChars="200"/>
        <w:jc w:val="left"/>
        <w:textAlignment w:val="auto"/>
        <w:rPr>
          <w:rFonts w:hint="eastAsia" w:ascii="楷体_GB2312" w:hAnsi="仿宋" w:eastAsia="楷体_GB2312"/>
          <w:b/>
          <w:sz w:val="32"/>
          <w:szCs w:val="32"/>
          <w:highlight w:val="none"/>
        </w:rPr>
      </w:pPr>
      <w:r>
        <w:rPr>
          <w:rFonts w:hint="eastAsia" w:ascii="楷体_GB2312" w:hAnsi="仿宋" w:eastAsia="楷体_GB2312"/>
          <w:b/>
          <w:sz w:val="32"/>
          <w:szCs w:val="32"/>
          <w:highlight w:val="none"/>
        </w:rPr>
        <w:t>当年预算执行及绩效管理中存在问题、原因及改进措施。</w:t>
      </w:r>
    </w:p>
    <w:p>
      <w:pPr>
        <w:adjustRightInd w:val="0"/>
        <w:snapToGrid w:val="0"/>
        <w:spacing w:line="480" w:lineRule="exact"/>
        <w:ind w:firstLine="640" w:firstLineChars="200"/>
        <w:rPr>
          <w:rFonts w:ascii="仿宋" w:hAnsi="仿宋" w:eastAsia="仿宋"/>
          <w:sz w:val="32"/>
          <w:szCs w:val="32"/>
          <w:lang w:eastAsia="zh-CN"/>
        </w:rPr>
      </w:pPr>
      <w:r>
        <w:rPr>
          <w:rFonts w:hint="eastAsia" w:ascii="方正仿宋简体" w:hAnsi="方正仿宋简体" w:eastAsia="方正仿宋简体" w:cs="方正仿宋简体"/>
          <w:b w:val="0"/>
          <w:bCs w:val="0"/>
          <w:sz w:val="32"/>
          <w:szCs w:val="32"/>
          <w:lang w:val="en-US" w:eastAsia="zh-CN"/>
        </w:rPr>
        <w:t xml:space="preserve">   </w:t>
      </w: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lang w:eastAsia="zh-CN"/>
        </w:rPr>
        <w:t>年预算执行总体情况较好，但财政运行和管理中还存在问题：依法理财意识有待提高，财经秩序需进一步规范。</w:t>
      </w:r>
    </w:p>
    <w:p>
      <w:pPr>
        <w:adjustRightInd w:val="0"/>
        <w:snapToGrid w:val="0"/>
        <w:spacing w:line="480" w:lineRule="exact"/>
        <w:ind w:firstLine="627" w:firstLineChars="196"/>
        <w:rPr>
          <w:rFonts w:hint="eastAsia"/>
        </w:rPr>
      </w:pPr>
      <w:r>
        <w:rPr>
          <w:rFonts w:hint="eastAsia" w:ascii="仿宋" w:hAnsi="仿宋" w:eastAsia="仿宋"/>
          <w:sz w:val="32"/>
          <w:szCs w:val="32"/>
          <w:lang w:eastAsia="zh-CN"/>
        </w:rPr>
        <w:t>对此，我们高度重视，积极采取有效措施加以解决。上级财政局组织预算单位开展业务培训，进一步学习相关知识，加强各部门工作人员依法理财意识。</w:t>
      </w:r>
    </w:p>
    <w:p>
      <w:pPr>
        <w:pageBreakBefore w:val="0"/>
        <w:kinsoku/>
        <w:overflowPunct/>
        <w:topLinePunct w:val="0"/>
        <w:autoSpaceDE/>
        <w:autoSpaceDN/>
        <w:bidi w:val="0"/>
        <w:adjustRightInd w:val="0"/>
        <w:snapToGrid w:val="0"/>
        <w:spacing w:line="570" w:lineRule="exact"/>
        <w:ind w:left="0" w:leftChars="0" w:firstLine="643" w:firstLineChars="200"/>
        <w:textAlignment w:val="auto"/>
        <w:rPr>
          <w:rFonts w:hint="eastAsia" w:ascii="楷体_GB2312" w:hAnsi="仿宋" w:eastAsia="楷体_GB2312"/>
          <w:b/>
          <w:sz w:val="32"/>
          <w:szCs w:val="32"/>
          <w:highlight w:val="yellow"/>
        </w:rPr>
      </w:pPr>
    </w:p>
    <w:p>
      <w:pPr>
        <w:snapToGrid w:val="0"/>
        <w:spacing w:line="520" w:lineRule="exact"/>
        <w:ind w:firstLine="640" w:firstLineChars="200"/>
        <w:rPr>
          <w:rFonts w:hint="eastAsia" w:ascii="黑体" w:hAnsi="黑体" w:eastAsia="黑体"/>
          <w:sz w:val="32"/>
          <w:szCs w:val="32"/>
          <w:highlight w:val="none"/>
        </w:rPr>
      </w:pPr>
      <w:bookmarkStart w:id="1" w:name="YS060104"/>
      <w:r>
        <w:rPr>
          <w:rFonts w:hint="eastAsia" w:ascii="黑体" w:hAnsi="黑体" w:eastAsia="黑体"/>
          <w:sz w:val="32"/>
          <w:szCs w:val="32"/>
          <w:highlight w:val="none"/>
        </w:rPr>
        <w:t>三、本年度</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决算等财务工作开展情况</w:t>
      </w:r>
    </w:p>
    <w:bookmarkEnd w:id="1"/>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（一）本</w:t>
      </w:r>
      <w:r>
        <w:rPr>
          <w:rFonts w:hint="eastAsia" w:ascii="仿宋_GB2312" w:hAnsi="仿宋" w:eastAsia="仿宋_GB2312"/>
          <w:sz w:val="32"/>
          <w:szCs w:val="32"/>
          <w:lang w:eastAsia="zh-CN"/>
        </w:rPr>
        <w:t>单位</w:t>
      </w:r>
      <w:r>
        <w:rPr>
          <w:rFonts w:hint="eastAsia" w:ascii="仿宋_GB2312" w:hAnsi="仿宋" w:eastAsia="仿宋_GB2312"/>
          <w:sz w:val="32"/>
          <w:szCs w:val="32"/>
        </w:rPr>
        <w:t>财务管理、绩效管理、决算组织、编报、审核情况。</w:t>
      </w:r>
    </w:p>
    <w:p>
      <w:pPr>
        <w:pStyle w:val="11"/>
        <w:ind w:firstLine="640" w:firstLineChars="200"/>
        <w:rPr>
          <w:rFonts w:hint="eastAsia" w:ascii="仿宋_GB2312" w:hAnsi="仿宋" w:eastAsia="仿宋_GB2312" w:cstheme="minorBidi"/>
          <w:kern w:val="0"/>
          <w:sz w:val="32"/>
          <w:szCs w:val="32"/>
          <w:lang w:val="en-US" w:eastAsia="en-US" w:bidi="ar-SA"/>
        </w:rPr>
      </w:pPr>
      <w:r>
        <w:rPr>
          <w:rFonts w:hint="eastAsia" w:ascii="仿宋_GB2312" w:hAnsi="仿宋" w:eastAsia="仿宋_GB2312" w:cstheme="minorBidi"/>
          <w:kern w:val="0"/>
          <w:sz w:val="32"/>
          <w:szCs w:val="32"/>
          <w:lang w:val="en-US" w:eastAsia="en-US" w:bidi="ar-SA"/>
        </w:rPr>
        <w:t>按规范程序审核，扎实开展财务决算工作。</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stheme="minorBidi"/>
          <w:kern w:val="0"/>
          <w:sz w:val="32"/>
          <w:szCs w:val="32"/>
          <w:lang w:val="en-US" w:eastAsia="en-US" w:bidi="ar-SA"/>
        </w:rPr>
        <w:t>（二）</w:t>
      </w:r>
      <w:r>
        <w:rPr>
          <w:rFonts w:hint="eastAsia" w:ascii="仿宋_GB2312" w:hAnsi="仿宋" w:eastAsia="仿宋_GB2312"/>
          <w:sz w:val="32"/>
          <w:szCs w:val="32"/>
        </w:rPr>
        <w:t>本</w:t>
      </w:r>
      <w:r>
        <w:rPr>
          <w:rFonts w:hint="eastAsia" w:ascii="仿宋_GB2312" w:hAnsi="仿宋" w:eastAsia="仿宋_GB2312"/>
          <w:sz w:val="32"/>
          <w:szCs w:val="32"/>
          <w:lang w:eastAsia="zh-CN"/>
        </w:rPr>
        <w:t>单位</w:t>
      </w:r>
      <w:r>
        <w:rPr>
          <w:rFonts w:hint="eastAsia" w:ascii="仿宋_GB2312" w:hAnsi="仿宋" w:eastAsia="仿宋_GB2312"/>
          <w:sz w:val="32"/>
          <w:szCs w:val="32"/>
        </w:rPr>
        <w:t>决算及绩效信息公开工作</w:t>
      </w:r>
      <w:r>
        <w:rPr>
          <w:rFonts w:hint="eastAsia" w:ascii="仿宋_GB2312" w:hAnsi="仿宋" w:eastAsia="仿宋_GB2312"/>
          <w:sz w:val="32"/>
          <w:szCs w:val="32"/>
          <w:lang w:eastAsia="zh-CN"/>
        </w:rPr>
        <w:t>，主管部门对所属单位决算批复和组织公开决算工作开展情况</w:t>
      </w:r>
      <w:r>
        <w:rPr>
          <w:rFonts w:hint="eastAsia" w:ascii="仿宋_GB2312" w:hAnsi="仿宋" w:eastAsia="仿宋_GB2312"/>
          <w:sz w:val="32"/>
          <w:szCs w:val="32"/>
        </w:rPr>
        <w:t>。</w:t>
      </w:r>
    </w:p>
    <w:p>
      <w:pPr>
        <w:pStyle w:val="11"/>
        <w:numPr>
          <w:ilvl w:val="0"/>
          <w:numId w:val="0"/>
        </w:numPr>
        <w:ind w:firstLine="640" w:firstLineChars="200"/>
        <w:rPr>
          <w:rFonts w:hint="eastAsia" w:ascii="仿宋_GB2312" w:hAnsi="仿宋" w:eastAsia="仿宋_GB2312" w:cstheme="minorBidi"/>
          <w:kern w:val="0"/>
          <w:sz w:val="32"/>
          <w:szCs w:val="32"/>
          <w:lang w:val="en-US" w:eastAsia="en-US" w:bidi="ar-SA"/>
        </w:rPr>
      </w:pPr>
      <w:r>
        <w:rPr>
          <w:rFonts w:hint="eastAsia" w:ascii="仿宋_GB2312" w:hAnsi="仿宋" w:eastAsia="仿宋_GB2312" w:cstheme="minorBidi"/>
          <w:kern w:val="0"/>
          <w:sz w:val="32"/>
          <w:szCs w:val="32"/>
          <w:lang w:val="en-US" w:eastAsia="en-US" w:bidi="ar-SA"/>
        </w:rPr>
        <w:t>严格按照财政部门相关规定，按时完成本</w:t>
      </w:r>
      <w:r>
        <w:rPr>
          <w:rFonts w:hint="eastAsia" w:ascii="仿宋_GB2312" w:hAnsi="仿宋" w:eastAsia="仿宋_GB2312" w:cstheme="minorBidi"/>
          <w:kern w:val="0"/>
          <w:sz w:val="32"/>
          <w:szCs w:val="32"/>
          <w:lang w:val="en-US" w:eastAsia="zh-CN" w:bidi="ar-SA"/>
        </w:rPr>
        <w:t>单位及所属单位</w:t>
      </w:r>
      <w:r>
        <w:rPr>
          <w:rFonts w:hint="eastAsia" w:ascii="仿宋_GB2312" w:hAnsi="仿宋" w:eastAsia="仿宋_GB2312" w:cstheme="minorBidi"/>
          <w:kern w:val="0"/>
          <w:sz w:val="32"/>
          <w:szCs w:val="32"/>
          <w:lang w:val="en-US" w:eastAsia="en-US" w:bidi="ar-SA"/>
        </w:rPr>
        <w:t>决算</w:t>
      </w:r>
      <w:r>
        <w:rPr>
          <w:rFonts w:hint="eastAsia" w:ascii="仿宋_GB2312" w:hAnsi="仿宋" w:eastAsia="仿宋_GB2312" w:cstheme="minorBidi"/>
          <w:kern w:val="0"/>
          <w:sz w:val="32"/>
          <w:szCs w:val="32"/>
          <w:lang w:val="en-US" w:eastAsia="zh-CN" w:bidi="ar-SA"/>
        </w:rPr>
        <w:t>批复和组织</w:t>
      </w:r>
      <w:r>
        <w:rPr>
          <w:rFonts w:hint="eastAsia" w:ascii="仿宋_GB2312" w:hAnsi="仿宋" w:eastAsia="仿宋_GB2312" w:cstheme="minorBidi"/>
          <w:kern w:val="0"/>
          <w:sz w:val="32"/>
          <w:szCs w:val="32"/>
          <w:lang w:val="en-US" w:eastAsia="en-US" w:bidi="ar-SA"/>
        </w:rPr>
        <w:t>公开</w:t>
      </w:r>
      <w:r>
        <w:rPr>
          <w:rFonts w:hint="eastAsia" w:ascii="仿宋_GB2312" w:hAnsi="仿宋" w:eastAsia="仿宋_GB2312" w:cstheme="minorBidi"/>
          <w:kern w:val="0"/>
          <w:sz w:val="32"/>
          <w:szCs w:val="32"/>
          <w:lang w:val="en-US" w:eastAsia="zh-CN" w:bidi="ar-SA"/>
        </w:rPr>
        <w:t>决算</w:t>
      </w:r>
      <w:r>
        <w:rPr>
          <w:rFonts w:hint="eastAsia" w:ascii="仿宋_GB2312" w:hAnsi="仿宋" w:eastAsia="仿宋_GB2312" w:cstheme="minorBidi"/>
          <w:kern w:val="0"/>
          <w:sz w:val="32"/>
          <w:szCs w:val="32"/>
          <w:lang w:val="en-US" w:eastAsia="en-US" w:bidi="ar-SA"/>
        </w:rPr>
        <w:t>工作。</w:t>
      </w:r>
    </w:p>
    <w:p>
      <w:pPr>
        <w:numPr>
          <w:ilvl w:val="0"/>
          <w:numId w:val="5"/>
        </w:numPr>
        <w:snapToGrid w:val="0"/>
        <w:spacing w:line="52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rPr>
        <w:t>对</w:t>
      </w:r>
      <w:r>
        <w:rPr>
          <w:rFonts w:hint="eastAsia" w:ascii="仿宋_GB2312" w:hAnsi="仿宋" w:eastAsia="仿宋_GB2312"/>
          <w:sz w:val="32"/>
          <w:szCs w:val="32"/>
          <w:lang w:eastAsia="zh-CN"/>
        </w:rPr>
        <w:t>单位</w:t>
      </w:r>
      <w:r>
        <w:rPr>
          <w:rFonts w:hint="eastAsia" w:ascii="仿宋_GB2312" w:hAnsi="仿宋" w:eastAsia="仿宋_GB2312"/>
          <w:sz w:val="32"/>
          <w:szCs w:val="32"/>
        </w:rPr>
        <w:t>决算管理</w:t>
      </w:r>
      <w:r>
        <w:rPr>
          <w:rFonts w:hint="eastAsia" w:ascii="仿宋_GB2312" w:hAnsi="仿宋" w:eastAsia="仿宋_GB2312"/>
          <w:sz w:val="32"/>
          <w:szCs w:val="32"/>
          <w:lang w:eastAsia="zh-CN"/>
        </w:rPr>
        <w:t>工作</w:t>
      </w:r>
      <w:r>
        <w:rPr>
          <w:rFonts w:hint="eastAsia" w:ascii="仿宋_GB2312" w:hAnsi="仿宋" w:eastAsia="仿宋_GB2312"/>
          <w:sz w:val="32"/>
          <w:szCs w:val="32"/>
        </w:rPr>
        <w:t>的意见建议。</w:t>
      </w:r>
    </w:p>
    <w:p>
      <w:pPr>
        <w:numPr>
          <w:ilvl w:val="0"/>
          <w:numId w:val="0"/>
        </w:numPr>
        <w:snapToGrid w:val="0"/>
        <w:spacing w:line="520" w:lineRule="exact"/>
        <w:ind w:leftChars="200" w:firstLine="1280" w:firstLineChars="400"/>
        <w:rPr>
          <w:lang w:val="en-US" w:eastAsia="zh-CN"/>
        </w:rPr>
      </w:pPr>
      <w:r>
        <w:rPr>
          <w:rFonts w:hint="eastAsia" w:ascii="仿宋_GB2312" w:hAnsi="仿宋" w:eastAsia="仿宋_GB2312" w:cstheme="minorBidi"/>
          <w:kern w:val="0"/>
          <w:sz w:val="32"/>
          <w:szCs w:val="32"/>
          <w:lang w:val="en-US" w:eastAsia="zh-CN" w:bidi="ar-SA"/>
        </w:rPr>
        <w:t>无。</w:t>
      </w:r>
    </w:p>
    <w:sectPr>
      <w:footerReference r:id="rId3" w:type="default"/>
      <w:footerReference r:id="rId4" w:type="even"/>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815340</wp:posOffset>
              </wp:positionH>
              <wp:positionV relativeFrom="page">
                <wp:posOffset>8622030</wp:posOffset>
              </wp:positionV>
              <wp:extent cx="49149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91490" cy="152400"/>
                      </a:xfrm>
                      <a:prstGeom prst="rect">
                        <a:avLst/>
                      </a:prstGeom>
                      <a:noFill/>
                      <a:ln>
                        <a:noFill/>
                      </a:ln>
                    </wps:spPr>
                    <wps:txbx>
                      <w:txbxContent>
                        <w:p>
                          <w:pPr>
                            <w:spacing w:line="224" w:lineRule="exact"/>
                            <w:ind w:left="20"/>
                            <w:rPr>
                              <w:rFonts w:ascii="Arial" w:hAnsi="Arial" w:eastAsia="Arial" w:cs="Arial"/>
                              <w:sz w:val="20"/>
                              <w:szCs w:val="20"/>
                            </w:rPr>
                          </w:pPr>
                          <w:r>
                            <w:rPr>
                              <w:rFonts w:ascii="Arial" w:hAnsi="Arial" w:eastAsia="Arial" w:cs="Arial"/>
                              <w:sz w:val="20"/>
                              <w:szCs w:val="20"/>
                            </w:rPr>
                            <w:t>—</w:t>
                          </w:r>
                          <w:r>
                            <w:fldChar w:fldCharType="begin"/>
                          </w:r>
                          <w:r>
                            <w:rPr>
                              <w:rFonts w:ascii="Arial" w:hAnsi="Arial" w:eastAsia="Arial" w:cs="Arial"/>
                              <w:sz w:val="20"/>
                              <w:szCs w:val="20"/>
                            </w:rPr>
                            <w:instrText xml:space="preserve"> PAGE </w:instrText>
                          </w:r>
                          <w:r>
                            <w:fldChar w:fldCharType="separate"/>
                          </w:r>
                          <w:r>
                            <w:rPr>
                              <w:rFonts w:ascii="Arial" w:hAnsi="Arial" w:eastAsia="Arial" w:cs="Arial"/>
                              <w:sz w:val="20"/>
                              <w:szCs w:val="20"/>
                            </w:rPr>
                            <w:t>168</w:t>
                          </w:r>
                          <w:r>
                            <w:fldChar w:fldCharType="end"/>
                          </w:r>
                          <w:r>
                            <w:rPr>
                              <w:rFonts w:ascii="Arial" w:hAnsi="Arial" w:eastAsia="Arial" w:cs="Arial"/>
                              <w:sz w:val="20"/>
                              <w:szCs w:val="20"/>
                            </w:rPr>
                            <w:t>—</w:t>
                          </w:r>
                        </w:p>
                      </w:txbxContent>
                    </wps:txbx>
                    <wps:bodyPr lIns="0" tIns="0" rIns="0" bIns="0" upright="1"/>
                  </wps:wsp>
                </a:graphicData>
              </a:graphic>
            </wp:anchor>
          </w:drawing>
        </mc:Choice>
        <mc:Fallback>
          <w:pict>
            <v:shape id="_x0000_s1026" o:spid="_x0000_s1026" o:spt="202" type="#_x0000_t202" style="position:absolute;left:0pt;margin-left:64.2pt;margin-top:678.9pt;height:12pt;width:38.7pt;mso-position-horizontal-relative:page;mso-position-vertical-relative:page;z-index:-251657216;mso-width-relative:page;mso-height-relative:page;" filled="f" stroked="f" coordsize="21600,21600" o:gfxdata="UEsDBAoAAAAAAIdO4kAAAAAAAAAAAAAAAAAEAAAAZHJzL1BLAwQUAAAACACHTuJA22htY9gAAAAN&#10;AQAADwAAAGRycy9kb3ducmV2LnhtbE1Py07DMBC8I/EP1iJxo3YCLSHEqRCCExIiDQeOTrxNosbr&#10;ELsP/p7tCW4zO6PZmWJ9cqM44BwGTxqShQKB1Ho7UKfhs369yUCEaMia0RNq+MEA6/LyojC59Ueq&#10;8LCJneAQCrnR0Mc45VKGtkdnwsJPSKxt/exMZDp30s7myOFulKlSK+nMQPyhNxM+99juNnun4emL&#10;qpfh+735qLbVUNcPit5WO62vrxL1CCLiKf6Z4Vyfq0PJnRq/JxvEyDzN7tjK4HZ5zyPYkqolg+Z8&#10;ypIMZFnI/yvKX1BLAwQUAAAACACHTuJA/540TLkBAABxAwAADgAAAGRycy9lMm9Eb2MueG1srVNL&#10;btswEN0X6B0I7mtKhls0guUAhZEgQNEWSHsAmiItAvxhSFvyBdobdNVN9z2Xz9EhLTtNssmiG2o0&#10;M3rz3htqeT1aQ/YSovaupfWsokQ64Tvtti399vXmzXtKYuKu48Y72dKDjPR69frVcgiNnPvem04C&#10;QRAXmyG0tE8pNIxF0UvL48wH6bCoPFie8BW2rAM+ILo1bF5V79jgoQvghYwRs+tTkU6I8BJAr5QW&#10;cu3FzkqXTqggDU8oKfY6RLoqbJWSIn1WKspETEtRaSonDsF4k0+2WvJmCzz0WkwU+EsoPNFkuXY4&#10;9AK15omTHehnUFYL8NGrNBPespOQ4giqqKsn3tz3PMiiBa2O4WJ6/H+w4tP+CxDd4U2gxHGLCz/+&#10;/HH89ef4+zupsz1DiA123QfsS+MHP+bWKR8xmVWPCmx+oh6CdTT3cDFXjokITC6u6sUVVgSW6rfz&#10;RVXMZw8fB4jpVnpLctBSwN0VS/n+Y0w4EFvPLXmW8zfamLI/4x4lsDFnWGZ+YpijNG7GifbGdwdU&#10;Y+4cOplvxTmAc7A5B7sAetsjnaK5QOImCpnp1uRV//teBj/8Ka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2htY9gAAAANAQAADwAAAAAAAAABACAAAAAiAAAAZHJzL2Rvd25yZXYueG1sUEsBAhQA&#10;FAAAAAgAh07iQP+eNEy5AQAAcQMAAA4AAAAAAAAAAQAgAAAAJwEAAGRycy9lMm9Eb2MueG1sUEsF&#10;BgAAAAAGAAYAWQEAAFIFAAAAAA==&#10;">
              <v:fill on="f" focussize="0,0"/>
              <v:stroke on="f"/>
              <v:imagedata o:title=""/>
              <o:lock v:ext="edit" aspectratio="f"/>
              <v:textbox inset="0mm,0mm,0mm,0mm">
                <w:txbxContent>
                  <w:p>
                    <w:pPr>
                      <w:spacing w:line="224" w:lineRule="exact"/>
                      <w:ind w:left="20"/>
                      <w:rPr>
                        <w:rFonts w:ascii="Arial" w:hAnsi="Arial" w:eastAsia="Arial" w:cs="Arial"/>
                        <w:sz w:val="20"/>
                        <w:szCs w:val="20"/>
                      </w:rPr>
                    </w:pPr>
                    <w:r>
                      <w:rPr>
                        <w:rFonts w:ascii="Arial" w:hAnsi="Arial" w:eastAsia="Arial" w:cs="Arial"/>
                        <w:sz w:val="20"/>
                        <w:szCs w:val="20"/>
                      </w:rPr>
                      <w:t>—</w:t>
                    </w:r>
                    <w:r>
                      <w:fldChar w:fldCharType="begin"/>
                    </w:r>
                    <w:r>
                      <w:rPr>
                        <w:rFonts w:ascii="Arial" w:hAnsi="Arial" w:eastAsia="Arial" w:cs="Arial"/>
                        <w:sz w:val="20"/>
                        <w:szCs w:val="20"/>
                      </w:rPr>
                      <w:instrText xml:space="preserve"> PAGE </w:instrText>
                    </w:r>
                    <w:r>
                      <w:fldChar w:fldCharType="separate"/>
                    </w:r>
                    <w:r>
                      <w:rPr>
                        <w:rFonts w:ascii="Arial" w:hAnsi="Arial" w:eastAsia="Arial" w:cs="Arial"/>
                        <w:sz w:val="20"/>
                        <w:szCs w:val="20"/>
                      </w:rPr>
                      <w:t>168</w:t>
                    </w:r>
                    <w:r>
                      <w:fldChar w:fldCharType="end"/>
                    </w:r>
                    <w:r>
                      <w:rPr>
                        <w:rFonts w:ascii="Arial" w:hAnsi="Arial" w:eastAsia="Arial" w:cs="Arial"/>
                        <w:sz w:val="20"/>
                        <w:szCs w:val="20"/>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4F4EC"/>
    <w:multiLevelType w:val="singleLevel"/>
    <w:tmpl w:val="5874F4EC"/>
    <w:lvl w:ilvl="0" w:tentative="0">
      <w:start w:val="3"/>
      <w:numFmt w:val="chineseCounting"/>
      <w:suff w:val="nothing"/>
      <w:lvlText w:val="（%1）"/>
      <w:lvlJc w:val="left"/>
      <w:rPr>
        <w:rFonts w:hint="eastAsia"/>
      </w:rPr>
    </w:lvl>
  </w:abstractNum>
  <w:abstractNum w:abstractNumId="1">
    <w:nsid w:val="5AE40868"/>
    <w:multiLevelType w:val="singleLevel"/>
    <w:tmpl w:val="5AE40868"/>
    <w:lvl w:ilvl="0" w:tentative="0">
      <w:start w:val="5"/>
      <w:numFmt w:val="decimal"/>
      <w:suff w:val="nothing"/>
      <w:lvlText w:val="（%1）"/>
      <w:lvlJc w:val="left"/>
    </w:lvl>
  </w:abstractNum>
  <w:abstractNum w:abstractNumId="2">
    <w:nsid w:val="65A8D780"/>
    <w:multiLevelType w:val="singleLevel"/>
    <w:tmpl w:val="65A8D780"/>
    <w:lvl w:ilvl="0" w:tentative="0">
      <w:start w:val="2"/>
      <w:numFmt w:val="chineseCounting"/>
      <w:suff w:val="nothing"/>
      <w:lvlText w:val="（%1）"/>
      <w:lvlJc w:val="left"/>
      <w:pPr>
        <w:ind w:left="17"/>
      </w:pPr>
    </w:lvl>
  </w:abstractNum>
  <w:abstractNum w:abstractNumId="3">
    <w:nsid w:val="65A8D8EB"/>
    <w:multiLevelType w:val="singleLevel"/>
    <w:tmpl w:val="65A8D8EB"/>
    <w:lvl w:ilvl="0" w:tentative="0">
      <w:start w:val="2"/>
      <w:numFmt w:val="decimal"/>
      <w:suff w:val="nothing"/>
      <w:lvlText w:val="%1."/>
      <w:lvlJc w:val="left"/>
    </w:lvl>
  </w:abstractNum>
  <w:abstractNum w:abstractNumId="4">
    <w:nsid w:val="65A8D94D"/>
    <w:multiLevelType w:val="singleLevel"/>
    <w:tmpl w:val="65A8D94D"/>
    <w:lvl w:ilvl="0" w:tentative="0">
      <w:start w:val="6"/>
      <w:numFmt w:val="chineseCounting"/>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MjJlMzU1NWMzYWZiZjJiNjQ5ZDEzYWY4Y2JhMDYifQ=="/>
    <w:docVar w:name="KSO_WPS_MARK_KEY" w:val="b0cb07ac-e8e3-4150-b333-8fa76c686f6a"/>
  </w:docVars>
  <w:rsids>
    <w:rsidRoot w:val="00520135"/>
    <w:rsid w:val="00520135"/>
    <w:rsid w:val="00967E45"/>
    <w:rsid w:val="00D61ADA"/>
    <w:rsid w:val="010345C7"/>
    <w:rsid w:val="014001AC"/>
    <w:rsid w:val="03F4380B"/>
    <w:rsid w:val="0580085D"/>
    <w:rsid w:val="05B13426"/>
    <w:rsid w:val="07A209B1"/>
    <w:rsid w:val="07C27391"/>
    <w:rsid w:val="0C61176B"/>
    <w:rsid w:val="0DCC361B"/>
    <w:rsid w:val="0EA45F53"/>
    <w:rsid w:val="0EC74891"/>
    <w:rsid w:val="0F4F52A2"/>
    <w:rsid w:val="0F7F0971"/>
    <w:rsid w:val="10EB1450"/>
    <w:rsid w:val="114763EB"/>
    <w:rsid w:val="13301B71"/>
    <w:rsid w:val="137B5074"/>
    <w:rsid w:val="13AE7D5A"/>
    <w:rsid w:val="13B952D9"/>
    <w:rsid w:val="14B40CF0"/>
    <w:rsid w:val="16AE750E"/>
    <w:rsid w:val="17CE7E68"/>
    <w:rsid w:val="1A7B3BAB"/>
    <w:rsid w:val="1AD31C39"/>
    <w:rsid w:val="1BA70DEF"/>
    <w:rsid w:val="1BE56972"/>
    <w:rsid w:val="1C3E23D7"/>
    <w:rsid w:val="1E37603B"/>
    <w:rsid w:val="20A70EA1"/>
    <w:rsid w:val="21681E22"/>
    <w:rsid w:val="228C601A"/>
    <w:rsid w:val="245A7218"/>
    <w:rsid w:val="26C50688"/>
    <w:rsid w:val="276A45A0"/>
    <w:rsid w:val="2AD033E6"/>
    <w:rsid w:val="2C9212AC"/>
    <w:rsid w:val="2EE87BE1"/>
    <w:rsid w:val="2F615020"/>
    <w:rsid w:val="30850E88"/>
    <w:rsid w:val="322C1BF0"/>
    <w:rsid w:val="327268CD"/>
    <w:rsid w:val="343022E8"/>
    <w:rsid w:val="37DD15BC"/>
    <w:rsid w:val="391D7E0A"/>
    <w:rsid w:val="3999669D"/>
    <w:rsid w:val="3B8125FD"/>
    <w:rsid w:val="3C2A5EE8"/>
    <w:rsid w:val="3C6514A3"/>
    <w:rsid w:val="3CAC2E08"/>
    <w:rsid w:val="3E1D2D8B"/>
    <w:rsid w:val="3E742234"/>
    <w:rsid w:val="3EBF38F2"/>
    <w:rsid w:val="3F313C47"/>
    <w:rsid w:val="40DB376D"/>
    <w:rsid w:val="41A304CC"/>
    <w:rsid w:val="431C742A"/>
    <w:rsid w:val="436D42F4"/>
    <w:rsid w:val="450F1453"/>
    <w:rsid w:val="48D90E0B"/>
    <w:rsid w:val="49C600F0"/>
    <w:rsid w:val="4C257A37"/>
    <w:rsid w:val="4C55580A"/>
    <w:rsid w:val="4CBF4276"/>
    <w:rsid w:val="4DB976A1"/>
    <w:rsid w:val="4EC421C5"/>
    <w:rsid w:val="501E0C85"/>
    <w:rsid w:val="508B27AA"/>
    <w:rsid w:val="513A70CB"/>
    <w:rsid w:val="51B52DE5"/>
    <w:rsid w:val="51F138FE"/>
    <w:rsid w:val="52444636"/>
    <w:rsid w:val="537A26CA"/>
    <w:rsid w:val="586E07A3"/>
    <w:rsid w:val="587749FD"/>
    <w:rsid w:val="58953821"/>
    <w:rsid w:val="5A0C20F7"/>
    <w:rsid w:val="5A3C55BF"/>
    <w:rsid w:val="5B062A42"/>
    <w:rsid w:val="5BAF1477"/>
    <w:rsid w:val="5DD92690"/>
    <w:rsid w:val="5E2C2C70"/>
    <w:rsid w:val="5E7D51D8"/>
    <w:rsid w:val="5EBB7FE7"/>
    <w:rsid w:val="65FE456D"/>
    <w:rsid w:val="66F478DD"/>
    <w:rsid w:val="6A771C63"/>
    <w:rsid w:val="6ECD0DD4"/>
    <w:rsid w:val="6EDA1DC4"/>
    <w:rsid w:val="6FF25B74"/>
    <w:rsid w:val="6FF603C7"/>
    <w:rsid w:val="7030246A"/>
    <w:rsid w:val="70445B0D"/>
    <w:rsid w:val="70C60C65"/>
    <w:rsid w:val="71B76AB0"/>
    <w:rsid w:val="71B81847"/>
    <w:rsid w:val="735E453C"/>
    <w:rsid w:val="73E84F83"/>
    <w:rsid w:val="74CE55B2"/>
    <w:rsid w:val="75A9073C"/>
    <w:rsid w:val="75C15A8B"/>
    <w:rsid w:val="75E8126A"/>
    <w:rsid w:val="761944DE"/>
    <w:rsid w:val="76D647A8"/>
    <w:rsid w:val="78243E12"/>
    <w:rsid w:val="7B1F1431"/>
    <w:rsid w:val="7B364826"/>
    <w:rsid w:val="7D3760BE"/>
    <w:rsid w:val="7EA91AF8"/>
    <w:rsid w:val="7F4024ED"/>
    <w:rsid w:val="7F914A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kern w:val="0"/>
      <w:sz w:val="22"/>
      <w:szCs w:val="22"/>
      <w:lang w:val="en-US" w:eastAsia="en-US" w:bidi="ar-SA"/>
    </w:rPr>
  </w:style>
  <w:style w:type="paragraph" w:styleId="2">
    <w:name w:val="heading 2"/>
    <w:basedOn w:val="1"/>
    <w:next w:val="1"/>
    <w:qFormat/>
    <w:uiPriority w:val="99"/>
    <w:pPr>
      <w:keepNext/>
      <w:keepLines/>
      <w:spacing w:before="260" w:after="260" w:line="416" w:lineRule="auto"/>
      <w:outlineLvl w:val="1"/>
    </w:pPr>
    <w:rPr>
      <w:rFonts w:ascii="Calibri" w:hAnsi="Calibri" w:cs="Calibri"/>
      <w:b/>
      <w:bCs/>
      <w:sz w:val="32"/>
      <w:szCs w:val="32"/>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link w:val="14"/>
    <w:qFormat/>
    <w:uiPriority w:val="1"/>
    <w:pPr>
      <w:spacing w:before="10"/>
      <w:ind w:left="103" w:firstLine="480"/>
    </w:pPr>
    <w:rPr>
      <w:rFonts w:ascii="宋体" w:hAnsi="宋体" w:eastAsia="宋体"/>
      <w:sz w:val="24"/>
      <w:szCs w:val="24"/>
    </w:rPr>
  </w:style>
  <w:style w:type="paragraph" w:styleId="5">
    <w:name w:val="footer"/>
    <w:basedOn w:val="1"/>
    <w:link w:val="13"/>
    <w:unhideWhenUsed/>
    <w:qFormat/>
    <w:uiPriority w:val="99"/>
    <w:pPr>
      <w:tabs>
        <w:tab w:val="center" w:pos="4153"/>
        <w:tab w:val="right" w:pos="8306"/>
      </w:tabs>
      <w:snapToGrid w:val="0"/>
    </w:pPr>
    <w:rPr>
      <w:kern w:val="2"/>
      <w:sz w:val="18"/>
      <w:szCs w:val="18"/>
      <w:lang w:eastAsia="zh-CN"/>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kern w:val="2"/>
      <w:sz w:val="18"/>
      <w:szCs w:val="18"/>
      <w:lang w:eastAsia="zh-CN"/>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lain Text"/>
    <w:basedOn w:val="1"/>
    <w:qFormat/>
    <w:uiPriority w:val="0"/>
    <w:rPr>
      <w:rFonts w:ascii="宋体" w:hAnsi="Courier New" w:cs="Courier New"/>
      <w:szCs w:val="21"/>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character" w:customStyle="1" w:styleId="14">
    <w:name w:val="正文文本 Char"/>
    <w:basedOn w:val="10"/>
    <w:link w:val="4"/>
    <w:qFormat/>
    <w:uiPriority w:val="1"/>
    <w:rPr>
      <w:rFonts w:ascii="宋体" w:hAnsi="宋体" w:eastAsia="宋体"/>
      <w:kern w:val="0"/>
      <w:sz w:val="24"/>
      <w:szCs w:val="24"/>
      <w:lang w:eastAsia="en-US"/>
    </w:rPr>
  </w:style>
  <w:style w:type="paragraph" w:customStyle="1" w:styleId="15">
    <w:name w:val="Heading 2"/>
    <w:basedOn w:val="1"/>
    <w:qFormat/>
    <w:uiPriority w:val="1"/>
    <w:pPr>
      <w:outlineLvl w:val="2"/>
    </w:pPr>
    <w:rPr>
      <w:rFonts w:ascii="黑体" w:hAnsi="黑体" w:eastAsia="黑体"/>
      <w:sz w:val="32"/>
      <w:szCs w:val="32"/>
    </w:rPr>
  </w:style>
  <w:style w:type="paragraph" w:customStyle="1" w:styleId="16">
    <w:name w:val="p0"/>
    <w:basedOn w:val="1"/>
    <w:qFormat/>
    <w:uiPriority w:val="0"/>
    <w:pPr>
      <w:widowControl/>
      <w:jc w:val="both"/>
    </w:pPr>
    <w:rPr>
      <w:rFonts w:ascii="Calibri" w:hAnsi="Calibri" w:eastAsia="宋体" w:cs="宋体"/>
      <w:sz w:val="32"/>
      <w:szCs w:val="32"/>
      <w:lang w:eastAsia="zh-CN"/>
    </w:rPr>
  </w:style>
  <w:style w:type="paragraph" w:customStyle="1" w:styleId="17">
    <w:name w:val="正文缩进1"/>
    <w:basedOn w:val="1"/>
    <w:qFormat/>
    <w:uiPriority w:val="0"/>
    <w:pPr>
      <w:ind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1016;&#38182;&#36745;&#24037;&#20316;\2022&#24180;\2021&#24180;&#20915;&#31639;&#65288;10&#26376;24&#26085;&#65289;\2021&#24180;&#20915;&#31639;&#65288;10&#26376;24&#26085;&#65289;\&#20826;&#25919;&#21150;&#20915;&#31639;&#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1016;&#38182;&#36745;&#24037;&#20316;\2022&#24180;\2021&#24180;&#20915;&#31639;&#65288;10&#26376;24&#26085;&#65289;\2021&#24180;&#20915;&#31639;&#65288;10&#26376;24&#26085;&#65289;\&#20826;&#25919;&#21150;&#20915;&#31639;&#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1016;&#38182;&#36745;&#24037;&#20316;\2022&#24180;\2021&#24180;&#20915;&#31639;&#65288;10&#26376;24&#26085;&#65289;\2021&#24180;&#20915;&#31639;&#65288;10&#26376;24&#26085;&#65289;\&#20826;&#25919;&#21150;&#20915;&#31639;&#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1016;&#38182;&#36745;&#24037;&#20316;\2022&#24180;\2021&#24180;&#20915;&#31639;&#65288;10&#26376;24&#26085;&#65289;\2021&#24180;&#20915;&#31639;&#65288;10&#26376;24&#26085;&#65289;\&#20826;&#25919;&#21150;&#20915;&#31639;&#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1016;&#38182;&#36745;&#24037;&#20316;\2022&#24180;\2021&#24180;&#20915;&#31639;&#65288;10&#26376;24&#26085;&#65289;\2021&#24180;&#20915;&#31639;&#65288;10&#26376;24&#26085;&#65289;\&#20826;&#25919;&#21150;&#20915;&#31639;&#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1016;&#38182;&#36745;&#24037;&#20316;\2022&#24180;\2021&#24180;&#20915;&#31639;&#65288;10&#26376;24&#26085;&#65289;\2021&#24180;&#20915;&#31639;&#65288;10&#26376;24&#26085;&#65289;\&#20826;&#25919;&#21150;&#20915;&#31639;&#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2023</a:t>
            </a:r>
            <a:r>
              <a:rPr lang="zh-CN" altLang="en-US"/>
              <a:t>年度预算收入与</a:t>
            </a:r>
            <a:r>
              <a:rPr lang="en-US" altLang="zh-CN"/>
              <a:t>2022</a:t>
            </a:r>
            <a:r>
              <a:rPr lang="zh-CN" altLang="en-US"/>
              <a:t>年度对比图</a:t>
            </a:r>
            <a:endParaRPr lang="zh-CN" altLang="en-US"/>
          </a:p>
        </c:rich>
      </c:tx>
      <c:layout>
        <c:manualLayout>
          <c:xMode val="edge"/>
          <c:yMode val="edge"/>
          <c:x val="0.152194444444445"/>
          <c:y val="0.00462962962962963"/>
        </c:manualLayout>
      </c:layout>
      <c:overlay val="0"/>
    </c:title>
    <c:autoTitleDeleted val="0"/>
    <c:plotArea>
      <c:layout/>
      <c:barChart>
        <c:barDir val="col"/>
        <c:grouping val="clustered"/>
        <c:varyColors val="0"/>
        <c:ser>
          <c:idx val="0"/>
          <c:order val="0"/>
          <c:invertIfNegative val="0"/>
          <c:dLbls>
            <c:delete val="1"/>
          </c:dLbls>
          <c:cat>
            <c:strRef>
              <c:f>[党政办决算图.xlsx]图1!$B$1:$B$2</c:f>
              <c:strCache>
                <c:ptCount val="2"/>
                <c:pt idx="0">
                  <c:v>2022年度</c:v>
                </c:pt>
                <c:pt idx="1">
                  <c:v>2023年度</c:v>
                </c:pt>
              </c:strCache>
            </c:strRef>
          </c:cat>
          <c:val>
            <c:numRef>
              <c:f>[党政办决算图.xlsx]图1!$C$1:$C$2</c:f>
              <c:numCache>
                <c:formatCode>General</c:formatCode>
                <c:ptCount val="2"/>
                <c:pt idx="0">
                  <c:v>3076.87</c:v>
                </c:pt>
                <c:pt idx="1" c:formatCode="0.00_ ">
                  <c:v>2911.13</c:v>
                </c:pt>
              </c:numCache>
            </c:numRef>
          </c:val>
        </c:ser>
        <c:dLbls>
          <c:showLegendKey val="0"/>
          <c:showVal val="0"/>
          <c:showCatName val="0"/>
          <c:showSerName val="0"/>
          <c:showPercent val="0"/>
          <c:showBubbleSize val="0"/>
        </c:dLbls>
        <c:gapWidth val="150"/>
        <c:axId val="88456192"/>
        <c:axId val="106930944"/>
      </c:barChart>
      <c:catAx>
        <c:axId val="884561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930944"/>
        <c:crosses val="autoZero"/>
        <c:auto val="1"/>
        <c:lblAlgn val="ctr"/>
        <c:lblOffset val="100"/>
        <c:noMultiLvlLbl val="0"/>
      </c:catAx>
      <c:valAx>
        <c:axId val="106930944"/>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endParaRPr lang="zh-CN" alt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845619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2023</a:t>
            </a:r>
            <a:r>
              <a:rPr altLang="en-US"/>
              <a:t>年度预算支出与</a:t>
            </a:r>
            <a:r>
              <a:rPr lang="en-US" altLang="zh-CN"/>
              <a:t>2022</a:t>
            </a:r>
            <a:r>
              <a:rPr altLang="en-US"/>
              <a:t>年度对比度</a:t>
            </a:r>
            <a:endParaRPr lang="en-US" altLang="zh-CN"/>
          </a:p>
        </c:rich>
      </c:tx>
      <c:layout>
        <c:manualLayout>
          <c:xMode val="edge"/>
          <c:yMode val="edge"/>
          <c:x val="0.152194444444445"/>
          <c:y val="0.00462962962962963"/>
        </c:manualLayout>
      </c:layout>
      <c:overlay val="0"/>
    </c:title>
    <c:autoTitleDeleted val="0"/>
    <c:plotArea>
      <c:layout/>
      <c:barChart>
        <c:barDir val="col"/>
        <c:grouping val="clustered"/>
        <c:varyColors val="0"/>
        <c:ser>
          <c:idx val="0"/>
          <c:order val="0"/>
          <c:invertIfNegative val="0"/>
          <c:dLbls>
            <c:delete val="1"/>
          </c:dLbls>
          <c:cat>
            <c:strRef>
              <c:f>[党政办决算图.xlsx]图1!$B$1:$B$2</c:f>
              <c:strCache>
                <c:ptCount val="2"/>
                <c:pt idx="0">
                  <c:v>2022年度</c:v>
                </c:pt>
                <c:pt idx="1">
                  <c:v>2023年度</c:v>
                </c:pt>
              </c:strCache>
            </c:strRef>
          </c:cat>
          <c:val>
            <c:numRef>
              <c:f>[党政办决算图.xlsx]图1!$C$1:$C$2</c:f>
              <c:numCache>
                <c:formatCode>General</c:formatCode>
                <c:ptCount val="2"/>
                <c:pt idx="0">
                  <c:v>3076.87</c:v>
                </c:pt>
                <c:pt idx="1" c:formatCode="0.00_ ">
                  <c:v>2911.13</c:v>
                </c:pt>
              </c:numCache>
            </c:numRef>
          </c:val>
        </c:ser>
        <c:dLbls>
          <c:showLegendKey val="0"/>
          <c:showVal val="0"/>
          <c:showCatName val="0"/>
          <c:showSerName val="0"/>
          <c:showPercent val="0"/>
          <c:showBubbleSize val="0"/>
        </c:dLbls>
        <c:gapWidth val="150"/>
        <c:axId val="88456192"/>
        <c:axId val="106930944"/>
      </c:barChart>
      <c:catAx>
        <c:axId val="884561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930944"/>
        <c:crosses val="autoZero"/>
        <c:auto val="1"/>
        <c:lblAlgn val="ctr"/>
        <c:lblOffset val="100"/>
        <c:noMultiLvlLbl val="0"/>
      </c:catAx>
      <c:valAx>
        <c:axId val="106930944"/>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endParaRPr lang="zh-CN" alt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845619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2023</a:t>
            </a:r>
            <a:r>
              <a:rPr altLang="en-US"/>
              <a:t>年收入支出与</a:t>
            </a:r>
            <a:r>
              <a:rPr lang="en-US" altLang="zh-CN"/>
              <a:t>2022</a:t>
            </a:r>
            <a:r>
              <a:rPr altLang="en-US"/>
              <a:t>年度对比图</a:t>
            </a:r>
            <a:endParaRPr lang="en-US" altLang="zh-CN"/>
          </a:p>
        </c:rich>
      </c:tx>
      <c:layout>
        <c:manualLayout>
          <c:xMode val="edge"/>
          <c:yMode val="edge"/>
          <c:x val="0.126986220472441"/>
          <c:y val="0.0138888888888889"/>
        </c:manualLayout>
      </c:layout>
      <c:overlay val="0"/>
    </c:title>
    <c:autoTitleDeleted val="0"/>
    <c:plotArea>
      <c:layout/>
      <c:barChart>
        <c:barDir val="col"/>
        <c:grouping val="clustered"/>
        <c:varyColors val="0"/>
        <c:ser>
          <c:idx val="0"/>
          <c:order val="0"/>
          <c:tx>
            <c:strRef>
              <c:f>[党政办决算图.xlsx]图3!$B$2</c:f>
              <c:strCache>
                <c:ptCount val="1"/>
                <c:pt idx="0">
                  <c:v>2022 年度</c:v>
                </c:pt>
              </c:strCache>
            </c:strRef>
          </c:tx>
          <c:invertIfNegative val="0"/>
          <c:dLbls>
            <c:delete val="1"/>
          </c:dLbls>
          <c:cat>
            <c:strRef>
              <c:f>[党政办决算图.xlsx]图3!$C$1:$G$1</c:f>
              <c:strCache>
                <c:ptCount val="5"/>
                <c:pt idx="0">
                  <c:v>一般公共预算</c:v>
                </c:pt>
                <c:pt idx="1">
                  <c:v>一般公共预算支出</c:v>
                </c:pt>
                <c:pt idx="2">
                  <c:v>其他收入</c:v>
                </c:pt>
                <c:pt idx="3">
                  <c:v>其他支出</c:v>
                </c:pt>
                <c:pt idx="4">
                  <c:v>年初结余支出</c:v>
                </c:pt>
              </c:strCache>
            </c:strRef>
          </c:cat>
          <c:val>
            <c:numRef>
              <c:f>[党政办决算图.xlsx]图3!$C$2:$G$2</c:f>
              <c:numCache>
                <c:formatCode>General</c:formatCode>
                <c:ptCount val="5"/>
                <c:pt idx="0">
                  <c:v>3076.87</c:v>
                </c:pt>
                <c:pt idx="1">
                  <c:v>3076.87</c:v>
                </c:pt>
                <c:pt idx="2">
                  <c:v>0</c:v>
                </c:pt>
                <c:pt idx="4">
                  <c:v>0</c:v>
                </c:pt>
              </c:numCache>
            </c:numRef>
          </c:val>
        </c:ser>
        <c:ser>
          <c:idx val="1"/>
          <c:order val="1"/>
          <c:tx>
            <c:strRef>
              <c:f>[党政办决算图.xlsx]图3!$B$3</c:f>
              <c:strCache>
                <c:ptCount val="1"/>
                <c:pt idx="0">
                  <c:v>2023年度</c:v>
                </c:pt>
              </c:strCache>
            </c:strRef>
          </c:tx>
          <c:invertIfNegative val="0"/>
          <c:dLbls>
            <c:delete val="1"/>
          </c:dLbls>
          <c:cat>
            <c:strRef>
              <c:f>[党政办决算图.xlsx]图3!$C$1:$G$1</c:f>
              <c:strCache>
                <c:ptCount val="5"/>
                <c:pt idx="0">
                  <c:v>一般公共预算</c:v>
                </c:pt>
                <c:pt idx="1">
                  <c:v>一般公共预算支出</c:v>
                </c:pt>
                <c:pt idx="2">
                  <c:v>其他收入</c:v>
                </c:pt>
                <c:pt idx="3">
                  <c:v>其他支出</c:v>
                </c:pt>
                <c:pt idx="4">
                  <c:v>年初结余支出</c:v>
                </c:pt>
              </c:strCache>
            </c:strRef>
          </c:cat>
          <c:val>
            <c:numRef>
              <c:f>[党政办决算图.xlsx]图3!$C$3:$G$3</c:f>
              <c:numCache>
                <c:formatCode>0.00_ </c:formatCode>
                <c:ptCount val="5"/>
                <c:pt idx="0">
                  <c:v>2911.13</c:v>
                </c:pt>
                <c:pt idx="1">
                  <c:v>2911.13</c:v>
                </c:pt>
                <c:pt idx="2" c:formatCode="General">
                  <c:v>24.5</c:v>
                </c:pt>
                <c:pt idx="3">
                  <c:v>16.13</c:v>
                </c:pt>
                <c:pt idx="4" c:formatCode="General">
                  <c:v>27.26</c:v>
                </c:pt>
              </c:numCache>
            </c:numRef>
          </c:val>
        </c:ser>
        <c:dLbls>
          <c:showLegendKey val="0"/>
          <c:showVal val="0"/>
          <c:showCatName val="0"/>
          <c:showSerName val="0"/>
          <c:showPercent val="0"/>
          <c:showBubbleSize val="0"/>
        </c:dLbls>
        <c:gapWidth val="150"/>
        <c:axId val="107082496"/>
        <c:axId val="107084032"/>
      </c:barChart>
      <c:catAx>
        <c:axId val="10708249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084032"/>
        <c:crosses val="autoZero"/>
        <c:auto val="1"/>
        <c:lblAlgn val="ctr"/>
        <c:lblOffset val="100"/>
        <c:noMultiLvlLbl val="0"/>
      </c:catAx>
      <c:valAx>
        <c:axId val="10708403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endParaRPr lang="zh-CN" alt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08249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各项收入占总收入的比重</a:t>
            </a:r>
            <a:endParaRPr b="1"/>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[党政办决算图.xlsx]图5!$C$1:$C$5</c:f>
              <c:strCache>
                <c:ptCount val="5"/>
                <c:pt idx="0">
                  <c:v>一般公共服务（类）支出</c:v>
                </c:pt>
                <c:pt idx="1">
                  <c:v>社会保障和就业（类）支出</c:v>
                </c:pt>
                <c:pt idx="2">
                  <c:v>卫生健康（类）支出</c:v>
                </c:pt>
                <c:pt idx="3">
                  <c:v>农林水（类）支出</c:v>
                </c:pt>
                <c:pt idx="4">
                  <c:v>住房保障（类）支出</c:v>
                </c:pt>
              </c:strCache>
            </c:strRef>
          </c:cat>
          <c:val>
            <c:numRef>
              <c:f>[党政办决算图.xlsx]图5!$D$1:$D$5</c:f>
              <c:numCache>
                <c:formatCode>0.00%</c:formatCode>
                <c:ptCount val="5"/>
                <c:pt idx="0">
                  <c:v>0.9492</c:v>
                </c:pt>
                <c:pt idx="1">
                  <c:v>0.0178</c:v>
                </c:pt>
                <c:pt idx="2">
                  <c:v>0.0144</c:v>
                </c:pt>
                <c:pt idx="3">
                  <c:v>0.0014</c:v>
                </c:pt>
                <c:pt idx="4">
                  <c:v>0.0172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各项支出占总收入的比重</a:t>
            </a:r>
            <a:endParaRPr b="1"/>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[党政办决算图.xlsx]图5!$C$1:$C$5</c:f>
              <c:strCache>
                <c:ptCount val="5"/>
                <c:pt idx="0">
                  <c:v>一般公共服务（类）支出</c:v>
                </c:pt>
                <c:pt idx="1">
                  <c:v>社会保障和就业（类）支出</c:v>
                </c:pt>
                <c:pt idx="2">
                  <c:v>卫生健康（类）支出</c:v>
                </c:pt>
                <c:pt idx="3">
                  <c:v>农林水（类）支出</c:v>
                </c:pt>
                <c:pt idx="4">
                  <c:v>住房保障（类）支出</c:v>
                </c:pt>
              </c:strCache>
            </c:strRef>
          </c:cat>
          <c:val>
            <c:numRef>
              <c:f>[党政办决算图.xlsx]图5!$D$1:$D$5</c:f>
              <c:numCache>
                <c:formatCode>0.00%</c:formatCode>
                <c:ptCount val="5"/>
                <c:pt idx="0">
                  <c:v>0.9492</c:v>
                </c:pt>
                <c:pt idx="1">
                  <c:v>0.0178</c:v>
                </c:pt>
                <c:pt idx="2">
                  <c:v>0.0144</c:v>
                </c:pt>
                <c:pt idx="3">
                  <c:v>0.0014</c:v>
                </c:pt>
                <c:pt idx="4">
                  <c:v>0.0172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2023</a:t>
            </a:r>
            <a:r>
              <a:rPr altLang="en-US"/>
              <a:t>年度收入支出与</a:t>
            </a:r>
            <a:r>
              <a:rPr lang="en-US" altLang="zh-CN"/>
              <a:t>2022</a:t>
            </a:r>
            <a:r>
              <a:rPr altLang="en-US"/>
              <a:t>年度对比图</a:t>
            </a:r>
            <a:endParaRPr lang="en-US" altLang="zh-CN"/>
          </a:p>
        </c:rich>
      </c:tx>
      <c:layout>
        <c:manualLayout>
          <c:xMode val="edge"/>
          <c:yMode val="edge"/>
          <c:x val="0.126986220472441"/>
          <c:y val="0.0138888888888889"/>
        </c:manualLayout>
      </c:layout>
      <c:overlay val="0"/>
    </c:title>
    <c:autoTitleDeleted val="0"/>
    <c:plotArea>
      <c:layout/>
      <c:barChart>
        <c:barDir val="col"/>
        <c:grouping val="clustered"/>
        <c:varyColors val="0"/>
        <c:ser>
          <c:idx val="0"/>
          <c:order val="0"/>
          <c:tx>
            <c:strRef>
              <c:f>[党政办决算图.xlsx]图3!$B$2</c:f>
              <c:strCache>
                <c:ptCount val="1"/>
                <c:pt idx="0">
                  <c:v>2022年度</c:v>
                </c:pt>
              </c:strCache>
            </c:strRef>
          </c:tx>
          <c:invertIfNegative val="0"/>
          <c:dLbls>
            <c:delete val="1"/>
          </c:dLbls>
          <c:cat>
            <c:strRef>
              <c:f>[党政办决算图.xlsx]图3!$C$1:$D$1</c:f>
              <c:strCache>
                <c:ptCount val="2"/>
                <c:pt idx="0">
                  <c:v>收入</c:v>
                </c:pt>
                <c:pt idx="1">
                  <c:v>支出</c:v>
                </c:pt>
              </c:strCache>
            </c:strRef>
          </c:cat>
          <c:val>
            <c:numRef>
              <c:f>[党政办决算图.xlsx]图3!$C$2:$D$2</c:f>
              <c:numCache>
                <c:formatCode>General</c:formatCode>
                <c:ptCount val="2"/>
                <c:pt idx="0">
                  <c:v>3076.87</c:v>
                </c:pt>
                <c:pt idx="1">
                  <c:v>3076.87</c:v>
                </c:pt>
              </c:numCache>
            </c:numRef>
          </c:val>
        </c:ser>
        <c:ser>
          <c:idx val="1"/>
          <c:order val="1"/>
          <c:tx>
            <c:strRef>
              <c:f>[党政办决算图.xlsx]图3!$B$3</c:f>
              <c:strCache>
                <c:ptCount val="1"/>
                <c:pt idx="0">
                  <c:v>2022年度</c:v>
                </c:pt>
              </c:strCache>
            </c:strRef>
          </c:tx>
          <c:invertIfNegative val="0"/>
          <c:dLbls>
            <c:delete val="1"/>
          </c:dLbls>
          <c:cat>
            <c:strRef>
              <c:f>[党政办决算图.xlsx]图3!$C$1:$D$1</c:f>
              <c:strCache>
                <c:ptCount val="2"/>
                <c:pt idx="0">
                  <c:v>收入</c:v>
                </c:pt>
                <c:pt idx="1">
                  <c:v>支出</c:v>
                </c:pt>
              </c:strCache>
            </c:strRef>
          </c:cat>
          <c:val>
            <c:numRef>
              <c:f>[党政办决算图.xlsx]图3!$C$3:$D$3</c:f>
              <c:numCache>
                <c:formatCode>0.00_ </c:formatCode>
                <c:ptCount val="2"/>
                <c:pt idx="0">
                  <c:v>2911.13</c:v>
                </c:pt>
                <c:pt idx="1">
                  <c:v>2911.13</c:v>
                </c:pt>
              </c:numCache>
            </c:numRef>
          </c:val>
        </c:ser>
        <c:dLbls>
          <c:showLegendKey val="0"/>
          <c:showVal val="0"/>
          <c:showCatName val="0"/>
          <c:showSerName val="0"/>
          <c:showPercent val="0"/>
          <c:showBubbleSize val="0"/>
        </c:dLbls>
        <c:gapWidth val="150"/>
        <c:axId val="107082496"/>
        <c:axId val="107084032"/>
      </c:barChart>
      <c:catAx>
        <c:axId val="10708249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084032"/>
        <c:crosses val="autoZero"/>
        <c:auto val="1"/>
        <c:lblAlgn val="ctr"/>
        <c:lblOffset val="100"/>
        <c:noMultiLvlLbl val="0"/>
      </c:catAx>
      <c:valAx>
        <c:axId val="10708403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单位：万元</a:t>
                </a:r>
                <a:endParaRPr lang="zh-CN" alt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08249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4758</Words>
  <Characters>5321</Characters>
  <Lines>33</Lines>
  <Paragraphs>9</Paragraphs>
  <TotalTime>14</TotalTime>
  <ScaleCrop>false</ScaleCrop>
  <LinksUpToDate>false</LinksUpToDate>
  <CharactersWithSpaces>5329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2019-02-22T01:14:00Z</dcterms:created>
  <dc:creator>Master</dc:creator>
  <cp:lastModifiedBy>Administrator</cp:lastModifiedBy>
  <dcterms:modified xsi:type="dcterms:W3CDTF">2025-09-10T05:45:17Z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B03E984E0BD6436DADFA52E7CC61C0A9_13</vt:lpwstr>
  </property>
</Properties>
</file>