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olor w:val="000000" w:themeColor="text1"/>
          <w:sz w:val="36"/>
          <w:highlight w:val="none"/>
          <w14:textFill>
            <w14:solidFill>
              <w14:schemeClr w14:val="tx1"/>
            </w14:solidFill>
          </w14:textFill>
        </w:rPr>
      </w:pPr>
      <w:r>
        <w:rPr>
          <w:rFonts w:hint="eastAsia" w:ascii="方正小标宋简体" w:hAnsi="方正小标宋简体" w:eastAsia="方正小标宋简体" w:cs="Arial"/>
          <w:color w:val="000000" w:themeColor="text1"/>
          <w:sz w:val="36"/>
          <w:highlight w:val="none"/>
          <w:lang w:eastAsia="zh-CN"/>
          <w14:textFill>
            <w14:solidFill>
              <w14:schemeClr w14:val="tx1"/>
            </w14:solidFill>
          </w14:textFill>
        </w:rPr>
        <w:t>农业农村局</w:t>
      </w:r>
      <w:r>
        <w:rPr>
          <w:rFonts w:hint="eastAsia" w:ascii="方正小标宋简体" w:hAnsi="方正小标宋简体" w:eastAsia="方正小标宋简体"/>
          <w:color w:val="000000" w:themeColor="text1"/>
          <w:sz w:val="36"/>
          <w:highlight w:val="none"/>
          <w14:textFill>
            <w14:solidFill>
              <w14:schemeClr w14:val="tx1"/>
            </w14:solidFill>
          </w14:textFill>
        </w:rPr>
        <w:t>权责清单事项总表</w:t>
      </w:r>
    </w:p>
    <w:p>
      <w:pPr>
        <w:spacing w:line="600" w:lineRule="exact"/>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共</w:t>
      </w:r>
      <w:r>
        <w:rPr>
          <w:rFonts w:hint="eastAsia" w:ascii="宋体" w:hAnsi="宋体" w:eastAsia="宋体" w:cs="宋体"/>
          <w:sz w:val="28"/>
          <w:szCs w:val="28"/>
          <w:lang w:val="en-US" w:eastAsia="zh-CN"/>
        </w:rPr>
        <w:t>6</w:t>
      </w:r>
      <w:r>
        <w:rPr>
          <w:rFonts w:hint="eastAsia" w:ascii="宋体" w:hAnsi="宋体" w:eastAsia="宋体" w:cs="宋体"/>
          <w:sz w:val="28"/>
          <w:szCs w:val="28"/>
        </w:rPr>
        <w:t>类</w:t>
      </w:r>
      <w:r>
        <w:rPr>
          <w:rFonts w:hint="eastAsia" w:ascii="宋体" w:hAnsi="宋体" w:eastAsia="宋体" w:cs="宋体"/>
          <w:sz w:val="28"/>
          <w:szCs w:val="28"/>
          <w:lang w:val="en-US" w:eastAsia="zh-CN"/>
        </w:rPr>
        <w:t>84</w:t>
      </w:r>
      <w:r>
        <w:rPr>
          <w:rFonts w:hint="eastAsia" w:ascii="宋体" w:hAnsi="宋体" w:eastAsia="宋体" w:cs="宋体"/>
          <w:sz w:val="28"/>
          <w:szCs w:val="28"/>
        </w:rPr>
        <w:t>项）</w:t>
      </w:r>
    </w:p>
    <w:p>
      <w:pPr>
        <w:spacing w:line="600" w:lineRule="exact"/>
        <w:rPr>
          <w:rFonts w:hint="eastAsia" w:ascii="仿宋_GB2312" w:eastAsia="楷体_GB2312"/>
          <w:lang w:eastAsia="zh-CN"/>
        </w:rPr>
      </w:pPr>
      <w:r>
        <w:rPr>
          <w:rFonts w:hint="eastAsia" w:ascii="楷体_GB2312" w:hAnsi="楷体_GB2312" w:eastAsia="楷体_GB2312"/>
          <w:sz w:val="28"/>
        </w:rPr>
        <w:t>单位：</w:t>
      </w:r>
      <w:r>
        <w:rPr>
          <w:rFonts w:hint="eastAsia" w:ascii="楷体_GB2312" w:hAnsi="楷体_GB2312" w:eastAsia="楷体_GB2312"/>
          <w:sz w:val="28"/>
          <w:lang w:eastAsia="zh-CN"/>
        </w:rPr>
        <w:t>唐山海港经济开发区农业农村局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1545"/>
        <w:gridCol w:w="10470"/>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0"/>
              </w:numPr>
              <w:autoSpaceDE w:val="0"/>
              <w:autoSpaceDN w:val="0"/>
              <w:adjustRightInd w:val="0"/>
              <w:ind w:leftChars="0"/>
              <w:jc w:val="center"/>
              <w:rPr>
                <w:rFonts w:ascii="黑体" w:hAnsi="黑体" w:eastAsia="黑体"/>
                <w:color w:val="auto"/>
              </w:rPr>
            </w:pPr>
            <w:r>
              <w:rPr>
                <w:rFonts w:hint="eastAsia" w:ascii="黑体" w:hAnsi="黑体" w:eastAsia="黑体"/>
                <w:color w:val="auto"/>
                <w:szCs w:val="28"/>
                <w:lang w:val="zh-CN"/>
              </w:rPr>
              <w:t>总序号</w:t>
            </w:r>
          </w:p>
        </w:tc>
        <w:tc>
          <w:tcPr>
            <w:tcW w:w="1545" w:type="dxa"/>
            <w:vAlign w:val="center"/>
          </w:tcPr>
          <w:p>
            <w:pPr>
              <w:autoSpaceDE w:val="0"/>
              <w:autoSpaceDN w:val="0"/>
              <w:adjustRightInd w:val="0"/>
              <w:jc w:val="center"/>
              <w:rPr>
                <w:rFonts w:ascii="黑体" w:hAnsi="黑体" w:eastAsia="黑体"/>
                <w:color w:val="auto"/>
              </w:rPr>
            </w:pPr>
            <w:r>
              <w:rPr>
                <w:rFonts w:hint="eastAsia" w:ascii="黑体" w:hAnsi="黑体" w:eastAsia="黑体"/>
                <w:color w:val="auto"/>
                <w:szCs w:val="28"/>
                <w:lang w:val="zh-CN"/>
              </w:rPr>
              <w:t>类别及序号</w:t>
            </w:r>
          </w:p>
        </w:tc>
        <w:tc>
          <w:tcPr>
            <w:tcW w:w="10470" w:type="dxa"/>
            <w:vAlign w:val="center"/>
          </w:tcPr>
          <w:p>
            <w:pPr>
              <w:autoSpaceDE w:val="0"/>
              <w:autoSpaceDN w:val="0"/>
              <w:adjustRightInd w:val="0"/>
              <w:jc w:val="center"/>
              <w:rPr>
                <w:rFonts w:ascii="黑体" w:hAnsi="黑体" w:eastAsia="黑体"/>
                <w:color w:val="auto"/>
              </w:rPr>
            </w:pPr>
            <w:bookmarkStart w:id="0" w:name="_GoBack"/>
            <w:bookmarkEnd w:id="0"/>
            <w:r>
              <w:rPr>
                <w:rFonts w:hint="eastAsia" w:ascii="黑体" w:hAnsi="黑体" w:eastAsia="黑体"/>
                <w:color w:val="auto"/>
                <w:szCs w:val="28"/>
                <w:lang w:val="zh-CN"/>
              </w:rPr>
              <w:t>项目名称及数量</w:t>
            </w:r>
          </w:p>
        </w:tc>
        <w:tc>
          <w:tcPr>
            <w:tcW w:w="726" w:type="dxa"/>
            <w:vAlign w:val="center"/>
          </w:tcPr>
          <w:p>
            <w:pPr>
              <w:spacing w:line="600" w:lineRule="exact"/>
              <w:jc w:val="center"/>
              <w:rPr>
                <w:rFonts w:ascii="黑体" w:hAnsi="黑体" w:eastAsia="黑体"/>
                <w:color w:val="auto"/>
              </w:rPr>
            </w:pPr>
            <w:r>
              <w:rPr>
                <w:rFonts w:hint="eastAsia" w:ascii="黑体" w:hAnsi="黑体" w:eastAsia="黑体"/>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0"/>
              </w:numPr>
              <w:spacing w:line="600" w:lineRule="exact"/>
              <w:ind w:leftChars="0"/>
              <w:jc w:val="center"/>
              <w:rPr>
                <w:rFonts w:ascii="仿宋_GB2312"/>
                <w:color w:val="auto"/>
              </w:rPr>
            </w:pPr>
          </w:p>
        </w:tc>
        <w:tc>
          <w:tcPr>
            <w:tcW w:w="1545" w:type="dxa"/>
            <w:vAlign w:val="center"/>
          </w:tcPr>
          <w:p>
            <w:pPr>
              <w:spacing w:line="600" w:lineRule="exact"/>
              <w:jc w:val="center"/>
              <w:rPr>
                <w:rFonts w:ascii="仿宋_GB2312"/>
                <w:color w:val="auto"/>
              </w:rPr>
            </w:pPr>
            <w:r>
              <w:rPr>
                <w:rFonts w:hint="eastAsia" w:ascii="仿宋_GB2312"/>
                <w:b/>
                <w:bCs/>
                <w:color w:val="auto"/>
              </w:rPr>
              <w:t>一、行政许可</w:t>
            </w:r>
          </w:p>
        </w:tc>
        <w:tc>
          <w:tcPr>
            <w:tcW w:w="10470" w:type="dxa"/>
            <w:vAlign w:val="center"/>
          </w:tcPr>
          <w:p>
            <w:pPr>
              <w:spacing w:line="600" w:lineRule="exact"/>
              <w:jc w:val="center"/>
              <w:rPr>
                <w:rFonts w:ascii="仿宋_GB2312"/>
                <w:color w:val="auto"/>
              </w:rPr>
            </w:pPr>
            <w:r>
              <w:rPr>
                <w:rFonts w:hint="eastAsia" w:ascii="仿宋_GB2312"/>
                <w:b/>
                <w:bCs/>
                <w:color w:val="auto"/>
              </w:rPr>
              <w:t>共</w:t>
            </w:r>
            <w:r>
              <w:rPr>
                <w:rFonts w:hint="eastAsia" w:ascii="仿宋_GB2312"/>
                <w:b/>
                <w:bCs/>
                <w:color w:val="auto"/>
                <w:lang w:val="en-US" w:eastAsia="zh-CN"/>
              </w:rPr>
              <w:t>10</w:t>
            </w:r>
            <w:r>
              <w:rPr>
                <w:rFonts w:hint="eastAsia" w:ascii="仿宋_GB2312"/>
                <w:b/>
                <w:bCs/>
                <w:color w:val="auto"/>
              </w:rPr>
              <w:t>项</w:t>
            </w:r>
          </w:p>
        </w:tc>
        <w:tc>
          <w:tcPr>
            <w:tcW w:w="726" w:type="dxa"/>
            <w:vAlign w:val="center"/>
          </w:tcPr>
          <w:p>
            <w:pPr>
              <w:spacing w:line="600" w:lineRule="exact"/>
              <w:jc w:val="center"/>
              <w:rPr>
                <w:rFonts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eastAsia" w:ascii="仿宋_GB2312" w:eastAsiaTheme="minorEastAsia"/>
                <w:color w:val="auto"/>
                <w:sz w:val="24"/>
                <w:szCs w:val="24"/>
                <w:lang w:val="en-US" w:eastAsia="zh-CN"/>
              </w:rPr>
            </w:pPr>
            <w:r>
              <w:rPr>
                <w:rFonts w:hint="eastAsia" w:ascii="仿宋_GB2312"/>
                <w:color w:val="auto"/>
                <w:sz w:val="24"/>
                <w:szCs w:val="24"/>
                <w:lang w:val="en-US" w:eastAsia="zh-CN"/>
              </w:rPr>
              <w:t>1</w:t>
            </w:r>
          </w:p>
        </w:tc>
        <w:tc>
          <w:tcPr>
            <w:tcW w:w="10470" w:type="dxa"/>
            <w:vAlign w:val="center"/>
          </w:tcPr>
          <w:p>
            <w:pPr>
              <w:spacing w:line="600" w:lineRule="exact"/>
              <w:jc w:val="center"/>
              <w:rPr>
                <w:rFonts w:hint="eastAsia" w:ascii="仿宋_GB2312" w:hAnsiTheme="minorHAnsi" w:eastAsiaTheme="minorEastAsia" w:cstheme="minorBidi"/>
                <w:kern w:val="2"/>
                <w:sz w:val="24"/>
                <w:szCs w:val="24"/>
                <w:lang w:val="en-US" w:eastAsia="zh-CN" w:bidi="ar-SA"/>
              </w:rPr>
            </w:pPr>
            <w:r>
              <w:rPr>
                <w:rFonts w:hint="eastAsia" w:ascii="仿宋_GB2312" w:hAnsi="仿宋_GB2312"/>
                <w:color w:val="000000"/>
                <w:sz w:val="24"/>
                <w:szCs w:val="24"/>
                <w:lang w:val="en-US" w:eastAsia="zh-CN"/>
              </w:rPr>
              <w:t>建设项目使用草原审批</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eastAsia" w:ascii="仿宋_GB2312"/>
                <w:color w:val="auto"/>
                <w:sz w:val="24"/>
                <w:szCs w:val="24"/>
                <w:lang w:val="en-US" w:eastAsia="zh-CN"/>
              </w:rPr>
            </w:pPr>
            <w:r>
              <w:rPr>
                <w:rFonts w:hint="eastAsia" w:ascii="仿宋_GB2312"/>
                <w:color w:val="auto"/>
                <w:sz w:val="24"/>
                <w:szCs w:val="24"/>
                <w:lang w:val="en-US" w:eastAsia="zh-CN"/>
              </w:rPr>
              <w:t>2</w:t>
            </w:r>
          </w:p>
        </w:tc>
        <w:tc>
          <w:tcPr>
            <w:tcW w:w="10470" w:type="dxa"/>
            <w:vAlign w:val="center"/>
          </w:tcPr>
          <w:p>
            <w:pPr>
              <w:spacing w:line="600" w:lineRule="exact"/>
              <w:jc w:val="center"/>
              <w:rPr>
                <w:rFonts w:hint="eastAsia" w:ascii="仿宋_GB2312" w:hAnsiTheme="minorHAnsi" w:eastAsiaTheme="minorEastAsia" w:cstheme="minorBidi"/>
                <w:kern w:val="2"/>
                <w:sz w:val="24"/>
                <w:szCs w:val="24"/>
                <w:lang w:val="en-US" w:eastAsia="zh-CN" w:bidi="ar-SA"/>
              </w:rPr>
            </w:pPr>
            <w:r>
              <w:rPr>
                <w:rFonts w:hint="eastAsia" w:ascii="仿宋_GB2312" w:hAnsi="仿宋_GB2312" w:cs="Times New Roman"/>
                <w:color w:val="000000"/>
                <w:sz w:val="24"/>
                <w:szCs w:val="24"/>
                <w:lang w:val="en-US" w:eastAsia="zh-CN"/>
              </w:rPr>
              <w:t>工商企业等社会资本通过流转取得林地经营权审批</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default" w:ascii="仿宋_GB2312"/>
                <w:color w:val="auto"/>
                <w:sz w:val="24"/>
                <w:szCs w:val="24"/>
                <w:lang w:val="en-US" w:eastAsia="zh-CN"/>
              </w:rPr>
            </w:pPr>
            <w:r>
              <w:rPr>
                <w:rFonts w:hint="eastAsia" w:ascii="仿宋_GB2312"/>
                <w:color w:val="auto"/>
                <w:sz w:val="24"/>
                <w:szCs w:val="24"/>
                <w:lang w:val="en-US" w:eastAsia="zh-CN"/>
              </w:rPr>
              <w:t>3</w:t>
            </w:r>
          </w:p>
        </w:tc>
        <w:tc>
          <w:tcPr>
            <w:tcW w:w="10470" w:type="dxa"/>
            <w:vAlign w:val="center"/>
          </w:tcPr>
          <w:p>
            <w:pPr>
              <w:spacing w:line="600" w:lineRule="exact"/>
              <w:jc w:val="center"/>
              <w:rPr>
                <w:rFonts w:hint="eastAsia" w:ascii="仿宋_GB2312" w:hAnsi="仿宋_GB2312" w:cs="Times New Roman"/>
                <w:color w:val="000000"/>
                <w:sz w:val="24"/>
                <w:szCs w:val="24"/>
                <w:lang w:val="en-US" w:eastAsia="zh-CN"/>
              </w:rPr>
            </w:pPr>
            <w:r>
              <w:rPr>
                <w:rFonts w:hint="eastAsia" w:ascii="宋体" w:hAnsi="宋体" w:eastAsia="宋体" w:cs="宋体"/>
                <w:color w:val="auto"/>
                <w:sz w:val="24"/>
                <w:szCs w:val="24"/>
                <w:highlight w:val="none"/>
              </w:rPr>
              <w:t>利用堤顶、戗台兼做公路审批</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default" w:ascii="仿宋_GB2312" w:eastAsiaTheme="minorEastAsia"/>
                <w:color w:val="auto"/>
                <w:sz w:val="24"/>
                <w:szCs w:val="24"/>
                <w:lang w:val="en-US" w:eastAsia="zh-CN"/>
              </w:rPr>
            </w:pPr>
            <w:r>
              <w:rPr>
                <w:rFonts w:hint="eastAsia" w:ascii="仿宋_GB2312"/>
                <w:color w:val="auto"/>
                <w:sz w:val="24"/>
                <w:szCs w:val="24"/>
                <w:lang w:val="en-US" w:eastAsia="zh-CN"/>
              </w:rPr>
              <w:t>4</w:t>
            </w:r>
          </w:p>
        </w:tc>
        <w:tc>
          <w:tcPr>
            <w:tcW w:w="10470" w:type="dxa"/>
            <w:vAlign w:val="center"/>
          </w:tcPr>
          <w:p>
            <w:pPr>
              <w:spacing w:line="600" w:lineRule="exact"/>
              <w:jc w:val="center"/>
              <w:rPr>
                <w:rFonts w:hint="eastAsia" w:ascii="仿宋_GB2312" w:eastAsia="宋体" w:hAnsiTheme="minorHAnsi" w:cstheme="minorBidi"/>
                <w:color w:val="auto"/>
                <w:kern w:val="2"/>
                <w:sz w:val="24"/>
                <w:szCs w:val="24"/>
                <w:lang w:val="en-US" w:eastAsia="zh-CN" w:bidi="ar-SA"/>
              </w:rPr>
            </w:pPr>
            <w:r>
              <w:rPr>
                <w:rFonts w:hint="eastAsia" w:ascii="宋体" w:hAnsi="宋体" w:eastAsia="宋体" w:cs="宋体"/>
                <w:color w:val="auto"/>
                <w:sz w:val="24"/>
                <w:szCs w:val="24"/>
              </w:rPr>
              <w:t>渔业捕捞许可</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default" w:ascii="仿宋_GB2312" w:eastAsiaTheme="minorEastAsia"/>
                <w:color w:val="auto"/>
                <w:sz w:val="24"/>
                <w:szCs w:val="24"/>
                <w:lang w:val="en-US" w:eastAsia="zh-CN"/>
              </w:rPr>
            </w:pPr>
            <w:r>
              <w:rPr>
                <w:rFonts w:hint="eastAsia" w:ascii="仿宋_GB2312"/>
                <w:color w:val="auto"/>
                <w:sz w:val="24"/>
                <w:szCs w:val="24"/>
                <w:lang w:val="en-US" w:eastAsia="zh-CN"/>
              </w:rPr>
              <w:t>5</w:t>
            </w:r>
          </w:p>
        </w:tc>
        <w:tc>
          <w:tcPr>
            <w:tcW w:w="10470" w:type="dxa"/>
            <w:vAlign w:val="center"/>
          </w:tcPr>
          <w:p>
            <w:pPr>
              <w:spacing w:line="600" w:lineRule="exact"/>
              <w:jc w:val="center"/>
              <w:rPr>
                <w:rFonts w:hint="eastAsia" w:ascii="仿宋_GB2312" w:eastAsia="宋体" w:hAnsiTheme="minorHAnsi" w:cstheme="minorBidi"/>
                <w:color w:val="auto"/>
                <w:kern w:val="2"/>
                <w:sz w:val="24"/>
                <w:szCs w:val="24"/>
                <w:lang w:val="en-US" w:eastAsia="zh-CN" w:bidi="ar-SA"/>
              </w:rPr>
            </w:pPr>
            <w:r>
              <w:rPr>
                <w:rFonts w:hint="eastAsia" w:ascii="宋体" w:hAnsi="宋体" w:eastAsia="宋体" w:cs="宋体"/>
                <w:color w:val="auto"/>
                <w:sz w:val="24"/>
                <w:szCs w:val="24"/>
              </w:rPr>
              <w:t>渔业船网工具指标审批</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default" w:ascii="仿宋_GB2312" w:eastAsiaTheme="minorEastAsia"/>
                <w:color w:val="auto"/>
                <w:sz w:val="24"/>
                <w:szCs w:val="24"/>
                <w:lang w:val="en-US" w:eastAsia="zh-CN"/>
              </w:rPr>
            </w:pPr>
            <w:r>
              <w:rPr>
                <w:rFonts w:hint="eastAsia" w:ascii="仿宋_GB2312"/>
                <w:color w:val="auto"/>
                <w:sz w:val="24"/>
                <w:szCs w:val="24"/>
                <w:lang w:val="en-US" w:eastAsia="zh-CN"/>
              </w:rPr>
              <w:t>6</w:t>
            </w:r>
          </w:p>
        </w:tc>
        <w:tc>
          <w:tcPr>
            <w:tcW w:w="10470" w:type="dxa"/>
            <w:vAlign w:val="center"/>
          </w:tcPr>
          <w:p>
            <w:pPr>
              <w:spacing w:line="60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渔业船舶船员证书核发</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default" w:ascii="仿宋_GB2312" w:eastAsiaTheme="minorEastAsia"/>
                <w:color w:val="auto"/>
                <w:sz w:val="24"/>
                <w:szCs w:val="24"/>
                <w:lang w:val="en-US" w:eastAsia="zh-CN"/>
              </w:rPr>
            </w:pPr>
            <w:r>
              <w:rPr>
                <w:rFonts w:hint="eastAsia" w:ascii="仿宋_GB2312"/>
                <w:color w:val="auto"/>
                <w:sz w:val="24"/>
                <w:szCs w:val="24"/>
                <w:lang w:val="en-US" w:eastAsia="zh-CN"/>
              </w:rPr>
              <w:t>7</w:t>
            </w:r>
          </w:p>
        </w:tc>
        <w:tc>
          <w:tcPr>
            <w:tcW w:w="10470" w:type="dxa"/>
            <w:vAlign w:val="center"/>
          </w:tcPr>
          <w:p>
            <w:pPr>
              <w:spacing w:line="60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渔业船舶国籍登记</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default" w:ascii="仿宋_GB2312" w:eastAsiaTheme="minorEastAsia"/>
                <w:color w:val="auto"/>
                <w:sz w:val="24"/>
                <w:szCs w:val="24"/>
                <w:lang w:val="en-US" w:eastAsia="zh-CN"/>
              </w:rPr>
            </w:pPr>
            <w:r>
              <w:rPr>
                <w:rFonts w:hint="eastAsia" w:ascii="仿宋_GB2312"/>
                <w:color w:val="auto"/>
                <w:sz w:val="24"/>
                <w:szCs w:val="24"/>
                <w:lang w:val="en-US" w:eastAsia="zh-CN"/>
              </w:rPr>
              <w:t>8</w:t>
            </w:r>
          </w:p>
        </w:tc>
        <w:tc>
          <w:tcPr>
            <w:tcW w:w="10470" w:type="dxa"/>
            <w:vAlign w:val="center"/>
          </w:tcPr>
          <w:p>
            <w:pPr>
              <w:spacing w:line="600" w:lineRule="exact"/>
              <w:jc w:val="center"/>
              <w:rPr>
                <w:rFonts w:hint="eastAsia" w:ascii="仿宋_GB2312" w:eastAsia="宋体" w:hAnsiTheme="minorHAnsi" w:cstheme="minorBidi"/>
                <w:color w:val="auto"/>
                <w:kern w:val="2"/>
                <w:sz w:val="24"/>
                <w:szCs w:val="24"/>
                <w:highlight w:val="none"/>
                <w:lang w:val="en-US" w:eastAsia="zh-CN" w:bidi="ar-SA"/>
              </w:rPr>
            </w:pPr>
            <w:r>
              <w:rPr>
                <w:rFonts w:hint="eastAsia" w:ascii="宋体" w:hAnsi="宋体" w:eastAsia="宋体" w:cs="宋体"/>
                <w:color w:val="auto"/>
                <w:sz w:val="24"/>
                <w:szCs w:val="24"/>
                <w:highlight w:val="none"/>
              </w:rPr>
              <w:t>使用低于国家或地方规定的种用标准的农作物种子审批</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default" w:ascii="仿宋_GB2312" w:eastAsiaTheme="minorEastAsia"/>
                <w:color w:val="auto"/>
                <w:sz w:val="24"/>
                <w:szCs w:val="24"/>
                <w:lang w:val="en-US" w:eastAsia="zh-CN"/>
              </w:rPr>
            </w:pPr>
            <w:r>
              <w:rPr>
                <w:rFonts w:hint="eastAsia" w:ascii="仿宋_GB2312"/>
                <w:color w:val="auto"/>
                <w:sz w:val="24"/>
                <w:szCs w:val="24"/>
                <w:lang w:val="en-US" w:eastAsia="zh-CN"/>
              </w:rPr>
              <w:t>9</w:t>
            </w:r>
          </w:p>
        </w:tc>
        <w:tc>
          <w:tcPr>
            <w:tcW w:w="10470" w:type="dxa"/>
            <w:vAlign w:val="center"/>
          </w:tcPr>
          <w:p>
            <w:pPr>
              <w:spacing w:line="600" w:lineRule="exact"/>
              <w:jc w:val="center"/>
              <w:rPr>
                <w:rFonts w:hint="eastAsia" w:ascii="仿宋_GB2312" w:eastAsia="宋体" w:hAnsiTheme="minorHAnsi" w:cstheme="minorBidi"/>
                <w:color w:val="auto"/>
                <w:kern w:val="2"/>
                <w:sz w:val="24"/>
                <w:szCs w:val="24"/>
                <w:highlight w:val="none"/>
                <w:lang w:val="en-US" w:eastAsia="zh-CN" w:bidi="ar-SA"/>
              </w:rPr>
            </w:pPr>
            <w:r>
              <w:rPr>
                <w:rFonts w:hint="eastAsia" w:ascii="宋体" w:hAnsi="宋体" w:eastAsia="宋体" w:cs="宋体"/>
                <w:color w:val="auto"/>
                <w:sz w:val="24"/>
                <w:szCs w:val="24"/>
                <w:highlight w:val="none"/>
              </w:rPr>
              <w:t>农业植物检疫证书核发</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ascii="仿宋_GB2312"/>
                <w:color w:val="auto"/>
                <w:sz w:val="24"/>
                <w:szCs w:val="24"/>
              </w:rPr>
            </w:pPr>
          </w:p>
        </w:tc>
        <w:tc>
          <w:tcPr>
            <w:tcW w:w="1545" w:type="dxa"/>
            <w:vAlign w:val="center"/>
          </w:tcPr>
          <w:p>
            <w:pPr>
              <w:spacing w:line="600" w:lineRule="exact"/>
              <w:jc w:val="center"/>
              <w:rPr>
                <w:rFonts w:hint="default" w:ascii="仿宋_GB2312" w:eastAsiaTheme="minorEastAsia"/>
                <w:color w:val="auto"/>
                <w:sz w:val="24"/>
                <w:szCs w:val="24"/>
                <w:lang w:val="en-US" w:eastAsia="zh-CN"/>
              </w:rPr>
            </w:pPr>
            <w:r>
              <w:rPr>
                <w:rFonts w:hint="eastAsia" w:ascii="仿宋_GB2312"/>
                <w:color w:val="auto"/>
                <w:sz w:val="24"/>
                <w:szCs w:val="24"/>
                <w:lang w:val="en-US" w:eastAsia="zh-CN"/>
              </w:rPr>
              <w:t>10</w:t>
            </w:r>
          </w:p>
        </w:tc>
        <w:tc>
          <w:tcPr>
            <w:tcW w:w="10470" w:type="dxa"/>
            <w:vAlign w:val="center"/>
          </w:tcPr>
          <w:p>
            <w:pPr>
              <w:spacing w:line="600" w:lineRule="exact"/>
              <w:jc w:val="center"/>
              <w:rPr>
                <w:rFonts w:hint="eastAsia" w:ascii="仿宋_GB2312" w:eastAsia="宋体" w:hAnsiTheme="minorHAnsi" w:cstheme="minorBidi"/>
                <w:color w:val="auto"/>
                <w:kern w:val="2"/>
                <w:sz w:val="24"/>
                <w:szCs w:val="24"/>
                <w:highlight w:val="none"/>
                <w:lang w:val="en-US" w:eastAsia="zh-CN" w:bidi="ar-SA"/>
              </w:rPr>
            </w:pPr>
            <w:r>
              <w:rPr>
                <w:rFonts w:hint="eastAsia" w:ascii="宋体" w:hAnsi="宋体" w:eastAsia="宋体" w:cs="宋体"/>
                <w:color w:val="auto"/>
                <w:sz w:val="24"/>
                <w:szCs w:val="24"/>
                <w:highlight w:val="none"/>
              </w:rPr>
              <w:t>农业植物产地检疫合格证签发</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0"/>
              </w:numPr>
              <w:spacing w:line="600" w:lineRule="exact"/>
              <w:ind w:leftChars="0"/>
              <w:jc w:val="center"/>
              <w:rPr>
                <w:rFonts w:hint="eastAsia" w:ascii="仿宋_GB2312"/>
                <w:color w:val="auto"/>
                <w:sz w:val="24"/>
                <w:szCs w:val="24"/>
              </w:rPr>
            </w:pPr>
          </w:p>
        </w:tc>
        <w:tc>
          <w:tcPr>
            <w:tcW w:w="1545" w:type="dxa"/>
            <w:vAlign w:val="center"/>
          </w:tcPr>
          <w:p>
            <w:pPr>
              <w:spacing w:line="600" w:lineRule="exact"/>
              <w:jc w:val="center"/>
              <w:rPr>
                <w:rFonts w:hint="eastAsia" w:ascii="仿宋_GB2312" w:eastAsiaTheme="minorEastAsia"/>
                <w:b/>
                <w:bCs/>
                <w:color w:val="auto"/>
                <w:sz w:val="24"/>
                <w:szCs w:val="24"/>
                <w:lang w:eastAsia="zh-CN"/>
              </w:rPr>
            </w:pPr>
            <w:r>
              <w:rPr>
                <w:rFonts w:hint="eastAsia" w:ascii="仿宋_GB2312"/>
                <w:b/>
                <w:bCs/>
                <w:color w:val="auto"/>
                <w:sz w:val="24"/>
                <w:szCs w:val="24"/>
                <w:lang w:eastAsia="zh-CN"/>
              </w:rPr>
              <w:t>二、行政处罚</w:t>
            </w:r>
          </w:p>
        </w:tc>
        <w:tc>
          <w:tcPr>
            <w:tcW w:w="10470" w:type="dxa"/>
            <w:vAlign w:val="center"/>
          </w:tcPr>
          <w:p>
            <w:pPr>
              <w:spacing w:line="600" w:lineRule="exact"/>
              <w:jc w:val="center"/>
              <w:rPr>
                <w:rFonts w:hint="default" w:ascii="仿宋_GB2312" w:eastAsiaTheme="minorEastAsia"/>
                <w:color w:val="auto"/>
                <w:sz w:val="24"/>
                <w:szCs w:val="24"/>
                <w:lang w:val="en-US" w:eastAsia="zh-CN"/>
              </w:rPr>
            </w:pPr>
            <w:r>
              <w:rPr>
                <w:rFonts w:hint="eastAsia" w:ascii="仿宋_GB2312"/>
                <w:b/>
                <w:bCs/>
                <w:color w:val="auto"/>
                <w:sz w:val="24"/>
                <w:szCs w:val="24"/>
                <w:lang w:eastAsia="zh-CN"/>
              </w:rPr>
              <w:t>共</w:t>
            </w:r>
            <w:r>
              <w:rPr>
                <w:rFonts w:hint="eastAsia" w:ascii="仿宋_GB2312"/>
                <w:b/>
                <w:bCs/>
                <w:color w:val="auto"/>
                <w:sz w:val="24"/>
                <w:szCs w:val="24"/>
                <w:lang w:val="en-US" w:eastAsia="zh-CN"/>
              </w:rPr>
              <w:t>14项</w:t>
            </w:r>
          </w:p>
        </w:tc>
        <w:tc>
          <w:tcPr>
            <w:tcW w:w="726" w:type="dxa"/>
            <w:vAlign w:val="center"/>
          </w:tcPr>
          <w:p>
            <w:pPr>
              <w:spacing w:line="60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imes New Roman"/>
                <w:color w:val="auto"/>
                <w:kern w:val="2"/>
                <w:sz w:val="24"/>
                <w:szCs w:val="24"/>
                <w:lang w:val="en-US" w:eastAsia="zh-CN" w:bidi="ar-SA"/>
              </w:rPr>
            </w:pPr>
            <w:r>
              <w:rPr>
                <w:rFonts w:hint="eastAsia" w:ascii="宋体" w:hAnsi="宋体" w:eastAsia="宋体"/>
                <w:color w:val="auto"/>
                <w:sz w:val="24"/>
                <w:szCs w:val="24"/>
                <w:highlight w:val="none"/>
              </w:rPr>
              <w:t>对使用炸鱼、毒鱼、电鱼等破坏渔业资源方法进行捕捞等行为的行政处罚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imes New Roman"/>
                <w:color w:val="auto"/>
                <w:kern w:val="2"/>
                <w:sz w:val="24"/>
                <w:szCs w:val="24"/>
                <w:lang w:val="en-US" w:eastAsia="zh-CN" w:bidi="ar-SA"/>
              </w:rPr>
            </w:pPr>
            <w:r>
              <w:rPr>
                <w:rFonts w:hint="eastAsia" w:ascii="宋体" w:hAnsi="宋体" w:eastAsia="宋体"/>
                <w:color w:val="auto"/>
                <w:sz w:val="24"/>
                <w:szCs w:val="24"/>
                <w:highlight w:val="none"/>
              </w:rPr>
              <w:t>对未依法取得捕捞许可证擅自进行捕捞行为的</w:t>
            </w:r>
            <w:r>
              <w:rPr>
                <w:rFonts w:hint="eastAsia" w:ascii="宋体" w:hAnsi="宋体" w:eastAsia="宋体"/>
                <w:color w:val="auto"/>
                <w:sz w:val="24"/>
                <w:szCs w:val="24"/>
                <w:highlight w:val="none"/>
                <w:lang w:val="en-US" w:eastAsia="zh-CN"/>
              </w:rPr>
              <w:t>行政</w:t>
            </w:r>
            <w:r>
              <w:rPr>
                <w:rFonts w:hint="eastAsia" w:ascii="宋体" w:hAnsi="宋体" w:eastAsia="宋体"/>
                <w:color w:val="auto"/>
                <w:sz w:val="24"/>
                <w:szCs w:val="24"/>
                <w:highlight w:val="none"/>
              </w:rPr>
              <w:t>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olor w:val="auto"/>
                <w:sz w:val="24"/>
                <w:szCs w:val="24"/>
                <w:highlight w:val="none"/>
              </w:rPr>
              <w:t>对在自然保护地、禁猎（渔）区、禁猎（渔）期猎捕国家重点保护水生野生动物等行为的行政处罚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olor w:val="auto"/>
                <w:sz w:val="24"/>
                <w:szCs w:val="24"/>
                <w:highlight w:val="none"/>
              </w:rPr>
              <w:t>对在自然保护地、禁猎（渔）区、禁猎（渔）期猎捕地方重点保护水生野生动物等行为的行政处罚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对渔业船舶未经检验、未取得渔业船舶检验证书擅自下水作业行为的</w:t>
            </w:r>
            <w:r>
              <w:rPr>
                <w:rFonts w:hint="eastAsia" w:ascii="宋体" w:hAnsi="宋体" w:eastAsia="宋体"/>
                <w:color w:val="auto"/>
                <w:sz w:val="24"/>
                <w:szCs w:val="24"/>
                <w:highlight w:val="none"/>
                <w:lang w:val="en-US" w:eastAsia="zh-CN"/>
              </w:rPr>
              <w:t>行政</w:t>
            </w:r>
            <w:r>
              <w:rPr>
                <w:rFonts w:hint="eastAsia" w:ascii="宋体" w:hAnsi="宋体" w:eastAsia="宋体"/>
                <w:color w:val="auto"/>
                <w:sz w:val="24"/>
                <w:szCs w:val="24"/>
                <w:highlight w:val="none"/>
              </w:rPr>
              <w:t>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对渔业船员在船工作期间未携带有效的渔业船员证书行为的行政处罚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对渔业船员在船工作期间</w:t>
            </w:r>
            <w:r>
              <w:rPr>
                <w:rFonts w:hint="eastAsia" w:ascii="宋体" w:hAnsi="宋体" w:eastAsia="宋体"/>
                <w:color w:val="auto"/>
                <w:sz w:val="24"/>
                <w:szCs w:val="24"/>
                <w:highlight w:val="none"/>
                <w:lang w:val="en-US" w:eastAsia="zh-CN"/>
              </w:rPr>
              <w:t>未</w:t>
            </w:r>
            <w:r>
              <w:rPr>
                <w:rFonts w:hint="eastAsia" w:ascii="宋体" w:hAnsi="宋体" w:eastAsia="宋体"/>
                <w:color w:val="auto"/>
                <w:sz w:val="24"/>
                <w:szCs w:val="24"/>
                <w:highlight w:val="none"/>
              </w:rPr>
              <w:t>执行渔业船舶上的管理制度和值班规定等行为的行政处罚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对渔业船舶的船长未确保渔业船舶和船员携带符合法定要求的证书、文书以及有关航行资料等行为的行政处罚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对渔业船舶所有人或经营人未按规定配齐渔业职务船员等行为的行政处罚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对未按规定标写船名、船号、船籍港等行为的行政处罚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对未按规定配备救生、消防设备行为的</w:t>
            </w:r>
            <w:r>
              <w:rPr>
                <w:rFonts w:hint="eastAsia" w:ascii="宋体" w:hAnsi="宋体" w:eastAsia="宋体"/>
                <w:color w:val="auto"/>
                <w:sz w:val="24"/>
                <w:szCs w:val="24"/>
                <w:highlight w:val="none"/>
                <w:lang w:val="en-US" w:eastAsia="zh-CN"/>
              </w:rPr>
              <w:t>行政</w:t>
            </w:r>
            <w:r>
              <w:rPr>
                <w:rFonts w:hint="eastAsia" w:ascii="宋体" w:hAnsi="宋体" w:eastAsia="宋体"/>
                <w:color w:val="auto"/>
                <w:sz w:val="24"/>
                <w:szCs w:val="24"/>
                <w:highlight w:val="none"/>
              </w:rPr>
              <w:t>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对不执行渔政渔港监督管理机关作出的离港、停航、改航、停止作业的决定，或者在执行中违反上述决定行为的</w:t>
            </w:r>
            <w:r>
              <w:rPr>
                <w:rFonts w:hint="eastAsia" w:ascii="宋体" w:hAnsi="宋体" w:eastAsia="宋体"/>
                <w:color w:val="auto"/>
                <w:sz w:val="24"/>
                <w:szCs w:val="24"/>
                <w:highlight w:val="none"/>
                <w:lang w:val="en-US" w:eastAsia="zh-CN"/>
              </w:rPr>
              <w:t>行政</w:t>
            </w:r>
            <w:r>
              <w:rPr>
                <w:rFonts w:hint="eastAsia" w:ascii="宋体" w:hAnsi="宋体" w:eastAsia="宋体"/>
                <w:color w:val="auto"/>
                <w:sz w:val="24"/>
                <w:szCs w:val="24"/>
                <w:highlight w:val="none"/>
              </w:rPr>
              <w:t>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对渔业船舶未按规定悬挂船名牌行为的行政处罚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tabs>
                <w:tab w:val="left" w:pos="7937"/>
              </w:tabs>
              <w:spacing w:line="240" w:lineRule="exact"/>
              <w:ind w:left="84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545" w:type="dxa"/>
            <w:shd w:val="clear" w:color="auto" w:fill="auto"/>
            <w:vAlign w:val="center"/>
          </w:tcPr>
          <w:p>
            <w:pPr>
              <w:numPr>
                <w:ilvl w:val="0"/>
                <w:numId w:val="2"/>
              </w:numPr>
              <w:tabs>
                <w:tab w:val="left" w:pos="7937"/>
              </w:tabs>
              <w:spacing w:line="240" w:lineRule="exact"/>
              <w:ind w:left="425" w:leftChars="0" w:hanging="425" w:firstLineChars="0"/>
              <w:jc w:val="center"/>
              <w:rPr>
                <w:rFonts w:ascii="宋体" w:hAnsi="宋体" w:eastAsia="宋体"/>
                <w:color w:val="000000" w:themeColor="text1"/>
                <w:sz w:val="24"/>
                <w:szCs w:val="24"/>
                <w14:textFill>
                  <w14:solidFill>
                    <w14:schemeClr w14:val="tx1"/>
                  </w14:solidFill>
                </w14:textFill>
              </w:rPr>
            </w:pPr>
          </w:p>
        </w:tc>
        <w:tc>
          <w:tcPr>
            <w:tcW w:w="10470" w:type="dxa"/>
            <w:shd w:val="clear" w:color="auto" w:fill="auto"/>
            <w:vAlign w:val="center"/>
          </w:tcPr>
          <w:p>
            <w:pPr>
              <w:tabs>
                <w:tab w:val="left" w:pos="7937"/>
              </w:tabs>
              <w:spacing w:line="240" w:lineRule="exact"/>
              <w:jc w:val="center"/>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olor w:val="auto"/>
                <w:sz w:val="24"/>
                <w:szCs w:val="24"/>
                <w:highlight w:val="none"/>
              </w:rPr>
              <w:t>对海洋渔业船舶未配备或者未正常使用安全通信导航和船位监测终端设备行为的行政处罚</w:t>
            </w:r>
          </w:p>
        </w:tc>
        <w:tc>
          <w:tcPr>
            <w:tcW w:w="726" w:type="dxa"/>
            <w:shd w:val="clear" w:color="auto" w:fill="auto"/>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600" w:lineRule="exact"/>
              <w:ind w:leftChars="0"/>
              <w:jc w:val="center"/>
              <w:rPr>
                <w:rFonts w:ascii="仿宋_GB2312"/>
                <w:color w:val="000000" w:themeColor="text1"/>
                <w:sz w:val="24"/>
                <w:szCs w:val="24"/>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7937"/>
              </w:tabs>
              <w:spacing w:line="240" w:lineRule="exact"/>
              <w:jc w:val="center"/>
              <w:rPr>
                <w:rFonts w:hint="default"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三、行政强制</w:t>
            </w:r>
          </w:p>
        </w:tc>
        <w:tc>
          <w:tcPr>
            <w:tcW w:w="1047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00" w:lineRule="exact"/>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共</w:t>
            </w:r>
            <w:r>
              <w:rPr>
                <w:rFonts w:hint="eastAsia" w:ascii="宋体" w:hAnsi="宋体" w:eastAsia="宋体" w:cs="宋体"/>
                <w:b/>
                <w:bCs/>
                <w:color w:val="000000" w:themeColor="text1"/>
                <w:kern w:val="0"/>
                <w:sz w:val="24"/>
                <w:szCs w:val="24"/>
                <w:lang w:val="en-US" w:eastAsia="zh-CN"/>
                <w14:textFill>
                  <w14:solidFill>
                    <w14:schemeClr w14:val="tx1"/>
                  </w14:solidFill>
                </w14:textFill>
              </w:rPr>
              <w:t>2</w:t>
            </w:r>
            <w:r>
              <w:rPr>
                <w:rFonts w:hint="eastAsia" w:ascii="宋体" w:hAnsi="宋体" w:eastAsia="宋体" w:cs="宋体"/>
                <w:b/>
                <w:bCs/>
                <w:color w:val="000000" w:themeColor="text1"/>
                <w:kern w:val="0"/>
                <w:sz w:val="24"/>
                <w:szCs w:val="24"/>
                <w14:textFill>
                  <w14:solidFill>
                    <w14:schemeClr w14:val="tx1"/>
                  </w14:solidFill>
                </w14:textFill>
              </w:rPr>
              <w:t>项</w:t>
            </w:r>
          </w:p>
        </w:tc>
        <w:tc>
          <w:tcPr>
            <w:tcW w:w="72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600" w:lineRule="exact"/>
              <w:ind w:left="425"/>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3"/>
              </w:numPr>
              <w:tabs>
                <w:tab w:val="left" w:pos="7937"/>
              </w:tabs>
              <w:spacing w:line="240" w:lineRule="exact"/>
              <w:ind w:left="425" w:leftChars="0" w:hanging="425" w:firstLineChars="0"/>
              <w:jc w:val="center"/>
              <w:rPr>
                <w:rFonts w:hint="eastAsia" w:ascii="宋体" w:hAnsi="宋体" w:eastAsia="宋体" w:cs="Arial"/>
                <w:color w:val="000000" w:themeColor="text1"/>
                <w:kern w:val="2"/>
                <w:sz w:val="24"/>
                <w:szCs w:val="24"/>
                <w:lang w:val="en-US" w:eastAsia="zh-CN" w:bidi="ar-SA"/>
                <w14:textFill>
                  <w14:solidFill>
                    <w14:schemeClr w14:val="tx1"/>
                  </w14:solidFill>
                </w14:textFill>
              </w:rPr>
            </w:pPr>
          </w:p>
        </w:tc>
        <w:tc>
          <w:tcPr>
            <w:tcW w:w="10470" w:type="dxa"/>
            <w:vAlign w:val="center"/>
          </w:tcPr>
          <w:p>
            <w:pPr>
              <w:autoSpaceDE w:val="0"/>
              <w:autoSpaceDN w:val="0"/>
              <w:adjustRightInd w:val="0"/>
              <w:spacing w:line="30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olor w:val="auto"/>
                <w:sz w:val="24"/>
                <w:szCs w:val="24"/>
                <w:highlight w:val="none"/>
              </w:rPr>
              <w:t>对违反禁渔区、禁渔期的规定或者使用禁用的渔具、捕捞方法进行捕捞等行为的行政强制</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3"/>
              </w:numPr>
              <w:tabs>
                <w:tab w:val="left" w:pos="7937"/>
              </w:tabs>
              <w:spacing w:line="240" w:lineRule="exact"/>
              <w:ind w:left="425" w:leftChars="0" w:hanging="425" w:firstLineChars="0"/>
              <w:jc w:val="center"/>
              <w:rPr>
                <w:rFonts w:hint="eastAsia" w:ascii="宋体" w:hAnsi="宋体" w:eastAsia="宋体" w:cs="Arial"/>
                <w:color w:val="000000" w:themeColor="text1"/>
                <w:kern w:val="2"/>
                <w:sz w:val="24"/>
                <w:szCs w:val="24"/>
                <w:lang w:val="en-US" w:eastAsia="zh-CN" w:bidi="ar-SA"/>
                <w14:textFill>
                  <w14:solidFill>
                    <w14:schemeClr w14:val="tx1"/>
                  </w14:solidFill>
                </w14:textFill>
              </w:rPr>
            </w:pPr>
          </w:p>
        </w:tc>
        <w:tc>
          <w:tcPr>
            <w:tcW w:w="10470" w:type="dxa"/>
            <w:vAlign w:val="center"/>
          </w:tcPr>
          <w:p>
            <w:pPr>
              <w:autoSpaceDE w:val="0"/>
              <w:autoSpaceDN w:val="0"/>
              <w:adjustRightInd w:val="0"/>
              <w:spacing w:line="30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olor w:val="auto"/>
                <w:sz w:val="24"/>
                <w:szCs w:val="24"/>
                <w:highlight w:val="none"/>
              </w:rPr>
              <w:t>对没有捕捞许可证又无法当场提供其他有效证件从事捕捞作业行为的行政强制</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0"/>
              </w:numPr>
              <w:spacing w:line="600" w:lineRule="exact"/>
              <w:ind w:left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b/>
                <w:bCs/>
                <w:color w:val="000000" w:themeColor="text1"/>
                <w:kern w:val="2"/>
                <w:sz w:val="24"/>
                <w:szCs w:val="24"/>
                <w:lang w:val="en-US" w:eastAsia="zh-CN" w:bidi="ar-SA"/>
                <w14:textFill>
                  <w14:solidFill>
                    <w14:schemeClr w14:val="tx1"/>
                  </w14:solidFill>
                </w14:textFill>
              </w:rPr>
              <w:t>四、行政确认</w:t>
            </w:r>
          </w:p>
        </w:tc>
        <w:tc>
          <w:tcPr>
            <w:tcW w:w="10470" w:type="dxa"/>
            <w:vAlign w:val="center"/>
          </w:tcPr>
          <w:p>
            <w:pPr>
              <w:tabs>
                <w:tab w:val="left" w:pos="7937"/>
              </w:tabs>
              <w:spacing w:line="240" w:lineRule="exact"/>
              <w:jc w:val="center"/>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共3项</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动物疫情（不包括重大动物疫情）的认定</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auto"/>
                <w:sz w:val="24"/>
                <w:szCs w:val="24"/>
              </w:rPr>
              <w:t>渔业船舶所有权、国籍、抵押、租赁登记及船名核定</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w:t>
            </w:r>
          </w:p>
        </w:tc>
        <w:tc>
          <w:tcPr>
            <w:tcW w:w="10470" w:type="dxa"/>
            <w:vAlign w:val="center"/>
          </w:tcPr>
          <w:p>
            <w:pPr>
              <w:tabs>
                <w:tab w:val="left" w:pos="7937"/>
              </w:tabs>
              <w:spacing w:line="240" w:lineRule="exact"/>
              <w:jc w:val="center"/>
              <w:rPr>
                <w:rFonts w:hint="eastAsia" w:ascii="宋体" w:hAnsi="宋体" w:eastAsia="宋体"/>
                <w:color w:val="auto"/>
                <w:sz w:val="24"/>
                <w:szCs w:val="24"/>
              </w:rPr>
            </w:pPr>
            <w:r>
              <w:rPr>
                <w:rFonts w:hint="eastAsia" w:ascii="宋体" w:hAnsi="宋体" w:eastAsia="宋体"/>
                <w:color w:val="auto"/>
                <w:sz w:val="24"/>
                <w:szCs w:val="24"/>
              </w:rPr>
              <w:t>水电站安全生产标准化达标评级管理</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0"/>
              </w:numPr>
              <w:spacing w:line="600" w:lineRule="exact"/>
              <w:ind w:left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b/>
                <w:bCs/>
                <w:color w:val="000000" w:themeColor="text1"/>
                <w:kern w:val="2"/>
                <w:sz w:val="24"/>
                <w:szCs w:val="24"/>
                <w:lang w:val="en-US" w:eastAsia="zh-CN" w:bidi="ar-SA"/>
                <w14:textFill>
                  <w14:solidFill>
                    <w14:schemeClr w14:val="tx1"/>
                  </w14:solidFill>
                </w14:textFill>
              </w:rPr>
            </w:pPr>
            <w:r>
              <w:rPr>
                <w:rFonts w:hint="eastAsia" w:ascii="宋体" w:hAnsi="宋体" w:eastAsia="宋体" w:cs="Arial"/>
                <w:b/>
                <w:bCs/>
                <w:color w:val="000000" w:themeColor="text1"/>
                <w:kern w:val="2"/>
                <w:sz w:val="24"/>
                <w:szCs w:val="24"/>
                <w:lang w:val="en-US" w:eastAsia="zh-CN" w:bidi="ar-SA"/>
                <w14:textFill>
                  <w14:solidFill>
                    <w14:schemeClr w14:val="tx1"/>
                  </w14:solidFill>
                </w14:textFill>
              </w:rPr>
              <w:t>五、行政备案</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共12项</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生产建设项目水土保持设施验收报备</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水利工程勘察设计招标报告备案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河道管理范围内建设项目施工安排备案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4</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水利工程拆除和爆破工程备案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5</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水利工程建设项目安全生产措施方案备案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6</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水利工程建设项目法人验收工作计划备案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7</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水利工程建设项目法人验收鉴定书备案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8</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水利工程建设项目监理单位备案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9</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水利工程开工报告备案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10</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水利工程建设项目招标投标备案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11</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水利工程建设项目专项验收成果文件备案</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0"/>
              </w:numPr>
              <w:spacing w:line="600" w:lineRule="exact"/>
              <w:ind w:left="210" w:left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b/>
                <w:bCs/>
                <w:color w:val="000000" w:themeColor="text1"/>
                <w:kern w:val="2"/>
                <w:sz w:val="24"/>
                <w:szCs w:val="24"/>
                <w:lang w:val="en-US" w:eastAsia="zh-CN" w:bidi="ar-SA"/>
                <w14:textFill>
                  <w14:solidFill>
                    <w14:schemeClr w14:val="tx1"/>
                  </w14:solidFill>
                </w14:textFill>
              </w:rPr>
            </w:pPr>
            <w:r>
              <w:rPr>
                <w:rFonts w:hint="eastAsia" w:ascii="宋体" w:hAnsi="宋体" w:eastAsia="宋体" w:cs="Arial"/>
                <w:b/>
                <w:bCs/>
                <w:color w:val="000000" w:themeColor="text1"/>
                <w:kern w:val="2"/>
                <w:sz w:val="24"/>
                <w:szCs w:val="24"/>
                <w:lang w:val="en-US" w:eastAsia="zh-CN" w:bidi="ar-SA"/>
                <w14:textFill>
                  <w14:solidFill>
                    <w14:schemeClr w14:val="tx1"/>
                  </w14:solidFill>
                </w14:textFill>
              </w:rPr>
              <w:t>六、行政检查</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共20项</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饲料和饲料添加剂日常监督检查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动物诊疗监管</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执业兽医监管</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4</w:t>
            </w:r>
          </w:p>
        </w:tc>
        <w:tc>
          <w:tcPr>
            <w:tcW w:w="10470" w:type="dxa"/>
            <w:vAlign w:val="center"/>
          </w:tcPr>
          <w:p>
            <w:pPr>
              <w:tabs>
                <w:tab w:val="left" w:pos="7937"/>
              </w:tabs>
              <w:spacing w:line="240" w:lineRule="exact"/>
              <w:jc w:val="center"/>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乡村兽医监管</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5</w:t>
            </w:r>
          </w:p>
        </w:tc>
        <w:tc>
          <w:tcPr>
            <w:tcW w:w="10470" w:type="dxa"/>
            <w:vAlign w:val="center"/>
          </w:tcPr>
          <w:p>
            <w:pPr>
              <w:tabs>
                <w:tab w:val="left" w:pos="7937"/>
              </w:tabs>
              <w:spacing w:line="240" w:lineRule="exact"/>
              <w:jc w:val="center"/>
              <w:rPr>
                <w:rFonts w:hint="eastAsia" w:ascii="宋体" w:hAnsi="宋体" w:eastAsia="宋体" w:cstheme="minorBidi"/>
                <w:color w:val="auto"/>
                <w:kern w:val="2"/>
                <w:sz w:val="24"/>
                <w:szCs w:val="24"/>
                <w:lang w:val="en-US" w:eastAsia="zh-CN" w:bidi="ar-SA"/>
              </w:rPr>
            </w:pPr>
            <w:r>
              <w:rPr>
                <w:rFonts w:hint="eastAsia" w:ascii="宋体" w:hAnsi="宋体" w:eastAsia="宋体"/>
                <w:color w:val="auto"/>
                <w:sz w:val="24"/>
                <w:szCs w:val="24"/>
              </w:rPr>
              <w:t>农业转基因生物安全监督检查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6</w:t>
            </w:r>
          </w:p>
        </w:tc>
        <w:tc>
          <w:tcPr>
            <w:tcW w:w="10470" w:type="dxa"/>
            <w:vAlign w:val="center"/>
          </w:tcPr>
          <w:p>
            <w:pPr>
              <w:tabs>
                <w:tab w:val="left" w:pos="7937"/>
              </w:tabs>
              <w:spacing w:line="240" w:lineRule="exact"/>
              <w:jc w:val="center"/>
              <w:rPr>
                <w:rFonts w:hint="eastAsia" w:ascii="宋体" w:hAnsi="宋体" w:eastAsia="宋体" w:cstheme="minorBidi"/>
                <w:color w:val="auto"/>
                <w:kern w:val="2"/>
                <w:sz w:val="24"/>
                <w:szCs w:val="24"/>
                <w:lang w:val="en-US" w:eastAsia="zh-CN" w:bidi="ar-SA"/>
              </w:rPr>
            </w:pPr>
            <w:r>
              <w:rPr>
                <w:rFonts w:hint="eastAsia" w:ascii="宋体" w:hAnsi="宋体" w:eastAsia="宋体"/>
                <w:color w:val="auto"/>
                <w:sz w:val="24"/>
                <w:szCs w:val="24"/>
              </w:rPr>
              <w:t>农业转基因生物标识行政检查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7</w:t>
            </w:r>
          </w:p>
        </w:tc>
        <w:tc>
          <w:tcPr>
            <w:tcW w:w="10470" w:type="dxa"/>
            <w:vAlign w:val="center"/>
          </w:tcPr>
          <w:p>
            <w:pPr>
              <w:tabs>
                <w:tab w:val="left" w:pos="7937"/>
              </w:tabs>
              <w:spacing w:line="240" w:lineRule="exact"/>
              <w:jc w:val="center"/>
              <w:rPr>
                <w:rFonts w:hint="eastAsia" w:ascii="宋体" w:hAnsi="宋体" w:eastAsia="宋体" w:cstheme="minorBidi"/>
                <w:color w:val="auto"/>
                <w:kern w:val="2"/>
                <w:sz w:val="24"/>
                <w:szCs w:val="24"/>
                <w:lang w:val="en-US" w:eastAsia="zh-CN" w:bidi="ar-SA"/>
              </w:rPr>
            </w:pPr>
            <w:r>
              <w:rPr>
                <w:rFonts w:hint="eastAsia" w:ascii="宋体" w:hAnsi="宋体" w:eastAsia="宋体"/>
                <w:color w:val="auto"/>
                <w:sz w:val="24"/>
                <w:szCs w:val="24"/>
              </w:rPr>
              <w:t>对农业机械安全监督检查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8</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对森林资源的保护、修复、利用、更新等进行监督检查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9</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对林木种苗行业监督管理检查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10</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对涉木单位和个人的检疫检查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11</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对森林病虫害防治情况的检查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12</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对林草建设项目的监督检查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13</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对湿地保护情况的监督检查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14</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对在集贸市场外经营陆生野生动物或者其产品的监督检查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15</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对科学研究、人工繁育、公众展示展演等利用野生动物及其制品活动的监督检查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16</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森林和草原防火工作监督检查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17</w:t>
            </w:r>
          </w:p>
        </w:tc>
        <w:tc>
          <w:tcPr>
            <w:tcW w:w="10470" w:type="dxa"/>
            <w:vAlign w:val="center"/>
          </w:tcPr>
          <w:p>
            <w:pPr>
              <w:keepNext w:val="0"/>
              <w:keepLines w:val="0"/>
              <w:widowControl/>
              <w:suppressLineNumbers w:val="0"/>
              <w:jc w:val="center"/>
              <w:textAlignment w:val="center"/>
              <w:rPr>
                <w:rFonts w:hint="eastAsia" w:ascii="仿宋_GB2312" w:hAnsiTheme="minorHAnsi" w:eastAsiaTheme="minorEastAsia" w:cstheme="minorBidi"/>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对林木种子质量的监督检查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18</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对生产建设项目水土保持的行政检查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19</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对河道管理范围内特定活动的监督检查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20</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对河道管理范围建设项目的行政检查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21</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对水利工程采用没有国家技术标准新技术、新材料的行政检查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22</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对水利工程质量检测单位资质的行政检查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23</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对编制洪水影响评价类报告非防洪建设项目的行政检查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24</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对水工程运行情况和危害水工程安全活动的行政检查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25</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对行业组织和评价单位在水文水资源调查评价单位水平评价相关工作的行政检查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26</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对大中型水利工程移民安置规划大纲执行情况的行政检查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27</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对河道采砂的行政检查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28</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对大坝管理和保护范围内修建码头、渔塘的行政检查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29</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对不同行政区域边界（跨市、区）水工程的行政检查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30</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对水利工程建设安全生产的行政检查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31</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对蓄滞洪区避洪设施建设的行政检查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32</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对占用农业灌溉水源、灌排工程设施的行政检查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33</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对坝顶兼做公路的行政检查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34</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对农村集体经济组织修建水库的行政检查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35</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对节约用水的行政检查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36</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对水工程建设规划同意书的行政检查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37</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对造价工程师资格的行政检查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38</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对水利施工图设计文件的行政检查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39</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对单位/个人取用水行为的行政检查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40</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对在堤防上新建建筑物及设施竣工验收的行政检查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41</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对已批复水利基建项目初步设计文件的行政检查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42</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对利用堤顶、戗台兼做公路的行政检查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43</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对电子招标投标活动的行政检查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5" w:type="dxa"/>
            <w:vAlign w:val="center"/>
          </w:tcPr>
          <w:p>
            <w:pPr>
              <w:numPr>
                <w:ilvl w:val="0"/>
                <w:numId w:val="1"/>
              </w:numPr>
              <w:spacing w:line="600" w:lineRule="exact"/>
              <w:ind w:left="845" w:leftChars="0" w:hanging="425" w:firstLineChars="0"/>
              <w:jc w:val="center"/>
              <w:rPr>
                <w:rFonts w:hint="eastAsia" w:ascii="仿宋_GB2312"/>
                <w:color w:val="000000" w:themeColor="text1"/>
                <w:sz w:val="24"/>
                <w:szCs w:val="24"/>
                <w:lang w:val="en-US" w:eastAsia="zh-CN"/>
                <w14:textFill>
                  <w14:solidFill>
                    <w14:schemeClr w14:val="tx1"/>
                  </w14:solidFill>
                </w14:textFill>
              </w:rPr>
            </w:pPr>
          </w:p>
        </w:tc>
        <w:tc>
          <w:tcPr>
            <w:tcW w:w="1545" w:type="dxa"/>
            <w:vAlign w:val="center"/>
          </w:tcPr>
          <w:p>
            <w:pPr>
              <w:numPr>
                <w:ilvl w:val="0"/>
                <w:numId w:val="0"/>
              </w:numPr>
              <w:tabs>
                <w:tab w:val="left" w:pos="7937"/>
              </w:tabs>
              <w:spacing w:line="240" w:lineRule="exact"/>
              <w:ind w:leftChars="0"/>
              <w:jc w:val="center"/>
              <w:rPr>
                <w:rFonts w:hint="default" w:ascii="宋体" w:hAnsi="宋体" w:eastAsia="宋体" w:cs="Arial"/>
                <w:color w:val="000000" w:themeColor="text1"/>
                <w:kern w:val="2"/>
                <w:sz w:val="24"/>
                <w:szCs w:val="24"/>
                <w:lang w:val="en-US" w:eastAsia="zh-CN" w:bidi="ar-SA"/>
                <w14:textFill>
                  <w14:solidFill>
                    <w14:schemeClr w14:val="tx1"/>
                  </w14:solidFill>
                </w14:textFill>
              </w:rPr>
            </w:pPr>
            <w:r>
              <w:rPr>
                <w:rFonts w:hint="eastAsia" w:ascii="宋体" w:hAnsi="宋体" w:eastAsia="宋体" w:cs="Arial"/>
                <w:color w:val="000000" w:themeColor="text1"/>
                <w:kern w:val="2"/>
                <w:sz w:val="24"/>
                <w:szCs w:val="24"/>
                <w:lang w:val="en-US" w:eastAsia="zh-CN" w:bidi="ar-SA"/>
                <w14:textFill>
                  <w14:solidFill>
                    <w14:schemeClr w14:val="tx1"/>
                  </w14:solidFill>
                </w14:textFill>
              </w:rPr>
              <w:t>44</w:t>
            </w:r>
          </w:p>
        </w:tc>
        <w:tc>
          <w:tcPr>
            <w:tcW w:w="1047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对生产经营单位执行有关安全生产的法律、法规和国家标准或者行业标准的情况进行监督检查</w:t>
            </w:r>
          </w:p>
        </w:tc>
        <w:tc>
          <w:tcPr>
            <w:tcW w:w="726" w:type="dxa"/>
            <w:vAlign w:val="center"/>
          </w:tcPr>
          <w:p>
            <w:pPr>
              <w:spacing w:line="600" w:lineRule="exact"/>
              <w:jc w:val="center"/>
              <w:rPr>
                <w:rFonts w:ascii="仿宋_GB2312"/>
                <w:color w:val="000000" w:themeColor="text1"/>
                <w:sz w:val="24"/>
                <w:szCs w:val="24"/>
                <w14:textFill>
                  <w14:solidFill>
                    <w14:schemeClr w14:val="tx1"/>
                  </w14:solidFill>
                </w14:textFill>
              </w:rPr>
            </w:pPr>
          </w:p>
        </w:tc>
      </w:tr>
    </w:tbl>
    <w:p>
      <w:pPr>
        <w:rPr>
          <w:color w:val="000000" w:themeColor="text1"/>
          <w:sz w:val="24"/>
          <w:szCs w:val="24"/>
          <w14:textFill>
            <w14:solidFill>
              <w14:schemeClr w14:val="tx1"/>
            </w14:solidFill>
          </w14:textFill>
        </w:rPr>
      </w:pPr>
    </w:p>
    <w:p>
      <w:pPr>
        <w:spacing w:line="400" w:lineRule="exact"/>
        <w:rPr>
          <w:rFonts w:ascii="楷体_GB2312" w:hAnsi="楷体_GB2312" w:eastAsia="楷体_GB2312"/>
          <w:sz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2451F"/>
    <w:multiLevelType w:val="singleLevel"/>
    <w:tmpl w:val="8C92451F"/>
    <w:lvl w:ilvl="0" w:tentative="0">
      <w:start w:val="1"/>
      <w:numFmt w:val="decimal"/>
      <w:lvlText w:val="%1."/>
      <w:lvlJc w:val="left"/>
      <w:pPr>
        <w:ind w:left="425" w:hanging="425"/>
      </w:pPr>
      <w:rPr>
        <w:rFonts w:hint="default"/>
      </w:rPr>
    </w:lvl>
  </w:abstractNum>
  <w:abstractNum w:abstractNumId="1">
    <w:nsid w:val="BB4DAAFD"/>
    <w:multiLevelType w:val="singleLevel"/>
    <w:tmpl w:val="BB4DAAFD"/>
    <w:lvl w:ilvl="0" w:tentative="0">
      <w:start w:val="1"/>
      <w:numFmt w:val="decimal"/>
      <w:lvlText w:val="%1."/>
      <w:lvlJc w:val="left"/>
      <w:pPr>
        <w:ind w:left="425" w:hanging="425"/>
      </w:pPr>
      <w:rPr>
        <w:rFonts w:hint="default"/>
      </w:rPr>
    </w:lvl>
  </w:abstractNum>
  <w:abstractNum w:abstractNumId="2">
    <w:nsid w:val="F672A596"/>
    <w:multiLevelType w:val="singleLevel"/>
    <w:tmpl w:val="F672A596"/>
    <w:lvl w:ilvl="0" w:tentative="0">
      <w:start w:val="1"/>
      <w:numFmt w:val="decimal"/>
      <w:lvlText w:val="%1."/>
      <w:lvlJc w:val="left"/>
      <w:pPr>
        <w:ind w:left="845" w:hanging="425"/>
      </w:pPr>
      <w:rPr>
        <w:rFonts w:hint="default" w:ascii="宋体" w:hAnsi="宋体" w:eastAsia="宋体" w:cs="宋体"/>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YjZkN2I3MWZmMjM2MjUzYmFlNmY1NmRlMTZiMzEifQ=="/>
  </w:docVars>
  <w:rsids>
    <w:rsidRoot w:val="001D3C5D"/>
    <w:rsid w:val="00010BBE"/>
    <w:rsid w:val="00011F70"/>
    <w:rsid w:val="0002334D"/>
    <w:rsid w:val="00031BA2"/>
    <w:rsid w:val="00034BDD"/>
    <w:rsid w:val="00046AC8"/>
    <w:rsid w:val="00071522"/>
    <w:rsid w:val="00075EEC"/>
    <w:rsid w:val="00080435"/>
    <w:rsid w:val="000C0EE3"/>
    <w:rsid w:val="000C1D03"/>
    <w:rsid w:val="000E1C3F"/>
    <w:rsid w:val="000E3D6A"/>
    <w:rsid w:val="000F3938"/>
    <w:rsid w:val="00127EA3"/>
    <w:rsid w:val="00131223"/>
    <w:rsid w:val="0014502F"/>
    <w:rsid w:val="00145DE4"/>
    <w:rsid w:val="00156FA0"/>
    <w:rsid w:val="0017099A"/>
    <w:rsid w:val="00175E65"/>
    <w:rsid w:val="00176047"/>
    <w:rsid w:val="0017723E"/>
    <w:rsid w:val="0019238A"/>
    <w:rsid w:val="001A3E56"/>
    <w:rsid w:val="001A5715"/>
    <w:rsid w:val="001B6D6A"/>
    <w:rsid w:val="001B7A65"/>
    <w:rsid w:val="001C0287"/>
    <w:rsid w:val="001C4AE9"/>
    <w:rsid w:val="001C5C31"/>
    <w:rsid w:val="001C771C"/>
    <w:rsid w:val="001D13BE"/>
    <w:rsid w:val="001D1A36"/>
    <w:rsid w:val="001D3C5D"/>
    <w:rsid w:val="00201AEF"/>
    <w:rsid w:val="00213458"/>
    <w:rsid w:val="00223644"/>
    <w:rsid w:val="002344CC"/>
    <w:rsid w:val="00235D7C"/>
    <w:rsid w:val="00237551"/>
    <w:rsid w:val="002561F9"/>
    <w:rsid w:val="00257BA1"/>
    <w:rsid w:val="00263753"/>
    <w:rsid w:val="0026683E"/>
    <w:rsid w:val="0027444A"/>
    <w:rsid w:val="002745E1"/>
    <w:rsid w:val="00280BEF"/>
    <w:rsid w:val="00285516"/>
    <w:rsid w:val="00297BC3"/>
    <w:rsid w:val="002B2FF1"/>
    <w:rsid w:val="002B4917"/>
    <w:rsid w:val="002D1BE3"/>
    <w:rsid w:val="002E1946"/>
    <w:rsid w:val="002F4463"/>
    <w:rsid w:val="003040F7"/>
    <w:rsid w:val="00306F42"/>
    <w:rsid w:val="00311FD5"/>
    <w:rsid w:val="00337866"/>
    <w:rsid w:val="00337F35"/>
    <w:rsid w:val="003431CB"/>
    <w:rsid w:val="00350B25"/>
    <w:rsid w:val="003773FD"/>
    <w:rsid w:val="003A15BB"/>
    <w:rsid w:val="003A45C3"/>
    <w:rsid w:val="003B045B"/>
    <w:rsid w:val="003B292B"/>
    <w:rsid w:val="003B780A"/>
    <w:rsid w:val="003E5289"/>
    <w:rsid w:val="004059FB"/>
    <w:rsid w:val="004111DA"/>
    <w:rsid w:val="0045281E"/>
    <w:rsid w:val="00455DB1"/>
    <w:rsid w:val="00457604"/>
    <w:rsid w:val="00473CFD"/>
    <w:rsid w:val="00496D70"/>
    <w:rsid w:val="004A549F"/>
    <w:rsid w:val="004A5BE1"/>
    <w:rsid w:val="004B3AC3"/>
    <w:rsid w:val="004E0CB1"/>
    <w:rsid w:val="004E4CFA"/>
    <w:rsid w:val="00503D0C"/>
    <w:rsid w:val="0050638A"/>
    <w:rsid w:val="00511ECC"/>
    <w:rsid w:val="00524010"/>
    <w:rsid w:val="005335C8"/>
    <w:rsid w:val="00542062"/>
    <w:rsid w:val="00562342"/>
    <w:rsid w:val="00573BDE"/>
    <w:rsid w:val="005A456A"/>
    <w:rsid w:val="005A5324"/>
    <w:rsid w:val="005D66AD"/>
    <w:rsid w:val="0061102B"/>
    <w:rsid w:val="00644538"/>
    <w:rsid w:val="006764F8"/>
    <w:rsid w:val="0068027C"/>
    <w:rsid w:val="00680817"/>
    <w:rsid w:val="006A4902"/>
    <w:rsid w:val="006B0CA6"/>
    <w:rsid w:val="00717ACD"/>
    <w:rsid w:val="00734E61"/>
    <w:rsid w:val="00755A30"/>
    <w:rsid w:val="00796E51"/>
    <w:rsid w:val="007B07BC"/>
    <w:rsid w:val="007D095D"/>
    <w:rsid w:val="007E6039"/>
    <w:rsid w:val="008069F9"/>
    <w:rsid w:val="00820C43"/>
    <w:rsid w:val="008338EC"/>
    <w:rsid w:val="008677D7"/>
    <w:rsid w:val="0088737B"/>
    <w:rsid w:val="008C519C"/>
    <w:rsid w:val="009355D8"/>
    <w:rsid w:val="00937284"/>
    <w:rsid w:val="0095333D"/>
    <w:rsid w:val="009600A7"/>
    <w:rsid w:val="0096765E"/>
    <w:rsid w:val="00995209"/>
    <w:rsid w:val="009A0B4D"/>
    <w:rsid w:val="009F7AB2"/>
    <w:rsid w:val="00A061B7"/>
    <w:rsid w:val="00A11958"/>
    <w:rsid w:val="00A11FE6"/>
    <w:rsid w:val="00A312D5"/>
    <w:rsid w:val="00A60719"/>
    <w:rsid w:val="00A62C91"/>
    <w:rsid w:val="00A737E7"/>
    <w:rsid w:val="00A7581B"/>
    <w:rsid w:val="00A76E57"/>
    <w:rsid w:val="00A87ABA"/>
    <w:rsid w:val="00AB4DCA"/>
    <w:rsid w:val="00AD1DF6"/>
    <w:rsid w:val="00AD2644"/>
    <w:rsid w:val="00AE1EC5"/>
    <w:rsid w:val="00AE4DBF"/>
    <w:rsid w:val="00AE7DD6"/>
    <w:rsid w:val="00B4300D"/>
    <w:rsid w:val="00B60A2E"/>
    <w:rsid w:val="00B61440"/>
    <w:rsid w:val="00B67199"/>
    <w:rsid w:val="00B67D2F"/>
    <w:rsid w:val="00B92F88"/>
    <w:rsid w:val="00BA3431"/>
    <w:rsid w:val="00BB4655"/>
    <w:rsid w:val="00BD1F71"/>
    <w:rsid w:val="00BF0D9A"/>
    <w:rsid w:val="00BF3EFC"/>
    <w:rsid w:val="00C020B1"/>
    <w:rsid w:val="00C028D8"/>
    <w:rsid w:val="00C137B9"/>
    <w:rsid w:val="00C34FC2"/>
    <w:rsid w:val="00C67978"/>
    <w:rsid w:val="00C72D24"/>
    <w:rsid w:val="00D30DF1"/>
    <w:rsid w:val="00D35956"/>
    <w:rsid w:val="00D51F2C"/>
    <w:rsid w:val="00D71B09"/>
    <w:rsid w:val="00D84A25"/>
    <w:rsid w:val="00D94EF1"/>
    <w:rsid w:val="00DC6A0F"/>
    <w:rsid w:val="00DD2643"/>
    <w:rsid w:val="00DE6863"/>
    <w:rsid w:val="00E17682"/>
    <w:rsid w:val="00E46F02"/>
    <w:rsid w:val="00E608AA"/>
    <w:rsid w:val="00E63DE3"/>
    <w:rsid w:val="00E9426C"/>
    <w:rsid w:val="00EA0338"/>
    <w:rsid w:val="00EA7DFD"/>
    <w:rsid w:val="00EC21AB"/>
    <w:rsid w:val="00EC289A"/>
    <w:rsid w:val="00EE62AC"/>
    <w:rsid w:val="00F40A62"/>
    <w:rsid w:val="00F44E8D"/>
    <w:rsid w:val="00F52679"/>
    <w:rsid w:val="00F53A9B"/>
    <w:rsid w:val="00F57F1D"/>
    <w:rsid w:val="00F76087"/>
    <w:rsid w:val="00F81FBC"/>
    <w:rsid w:val="00F965A8"/>
    <w:rsid w:val="00FD115F"/>
    <w:rsid w:val="00FE4A77"/>
    <w:rsid w:val="00FF53B3"/>
    <w:rsid w:val="026C4FD1"/>
    <w:rsid w:val="083309B6"/>
    <w:rsid w:val="09D15CD3"/>
    <w:rsid w:val="0B0B182B"/>
    <w:rsid w:val="0BB35A1E"/>
    <w:rsid w:val="0C012C2E"/>
    <w:rsid w:val="0D841421"/>
    <w:rsid w:val="0E87566C"/>
    <w:rsid w:val="10240C99"/>
    <w:rsid w:val="10606175"/>
    <w:rsid w:val="10967DE9"/>
    <w:rsid w:val="12661A3D"/>
    <w:rsid w:val="133D32FC"/>
    <w:rsid w:val="17D55FEA"/>
    <w:rsid w:val="1AB028B9"/>
    <w:rsid w:val="1AFF21CF"/>
    <w:rsid w:val="1CA92735"/>
    <w:rsid w:val="1CD3119C"/>
    <w:rsid w:val="1D5C1A72"/>
    <w:rsid w:val="1DA653E3"/>
    <w:rsid w:val="1F307F51"/>
    <w:rsid w:val="1F87397E"/>
    <w:rsid w:val="1FD224BF"/>
    <w:rsid w:val="201C373B"/>
    <w:rsid w:val="204C20FA"/>
    <w:rsid w:val="20ED66BA"/>
    <w:rsid w:val="236B6EB3"/>
    <w:rsid w:val="23980932"/>
    <w:rsid w:val="25E46AA9"/>
    <w:rsid w:val="27C052F3"/>
    <w:rsid w:val="28CA642A"/>
    <w:rsid w:val="28D9041B"/>
    <w:rsid w:val="29E21551"/>
    <w:rsid w:val="2B2838DB"/>
    <w:rsid w:val="2BE9306A"/>
    <w:rsid w:val="2DEA30CA"/>
    <w:rsid w:val="2EC67693"/>
    <w:rsid w:val="2FDC449A"/>
    <w:rsid w:val="350E769E"/>
    <w:rsid w:val="352073D1"/>
    <w:rsid w:val="35FA7C22"/>
    <w:rsid w:val="385C2E16"/>
    <w:rsid w:val="3A571AE7"/>
    <w:rsid w:val="3AAA7E69"/>
    <w:rsid w:val="3B1F2605"/>
    <w:rsid w:val="3B554279"/>
    <w:rsid w:val="3C5375B9"/>
    <w:rsid w:val="3C830972"/>
    <w:rsid w:val="3CD65951"/>
    <w:rsid w:val="3CF96E86"/>
    <w:rsid w:val="3D2E4D81"/>
    <w:rsid w:val="3D4F3983"/>
    <w:rsid w:val="3F9F1F66"/>
    <w:rsid w:val="41000B0D"/>
    <w:rsid w:val="42426BD9"/>
    <w:rsid w:val="42E611B3"/>
    <w:rsid w:val="432E715D"/>
    <w:rsid w:val="441F5424"/>
    <w:rsid w:val="470B2104"/>
    <w:rsid w:val="47A125F4"/>
    <w:rsid w:val="49B236F1"/>
    <w:rsid w:val="4A00649B"/>
    <w:rsid w:val="4A5D1AC7"/>
    <w:rsid w:val="4D812CAB"/>
    <w:rsid w:val="4EBA222B"/>
    <w:rsid w:val="4EFA0F67"/>
    <w:rsid w:val="4F5166AD"/>
    <w:rsid w:val="4FD63B04"/>
    <w:rsid w:val="4FF27E90"/>
    <w:rsid w:val="50AA076B"/>
    <w:rsid w:val="5128025C"/>
    <w:rsid w:val="51404C2B"/>
    <w:rsid w:val="52977EE2"/>
    <w:rsid w:val="52F92D01"/>
    <w:rsid w:val="54F95302"/>
    <w:rsid w:val="55A51AD1"/>
    <w:rsid w:val="55D33FDB"/>
    <w:rsid w:val="56BA00A3"/>
    <w:rsid w:val="589E7B4B"/>
    <w:rsid w:val="58E14F46"/>
    <w:rsid w:val="59835FFD"/>
    <w:rsid w:val="5B21787C"/>
    <w:rsid w:val="5C6739B4"/>
    <w:rsid w:val="5E2558D5"/>
    <w:rsid w:val="5F742670"/>
    <w:rsid w:val="5FFF00C3"/>
    <w:rsid w:val="614A33F3"/>
    <w:rsid w:val="63E75319"/>
    <w:rsid w:val="64F1206D"/>
    <w:rsid w:val="662144F3"/>
    <w:rsid w:val="666A15A4"/>
    <w:rsid w:val="66F26570"/>
    <w:rsid w:val="67B13D35"/>
    <w:rsid w:val="68A044D6"/>
    <w:rsid w:val="68F113BF"/>
    <w:rsid w:val="6AAB7162"/>
    <w:rsid w:val="6C705F6D"/>
    <w:rsid w:val="6D3E2CB2"/>
    <w:rsid w:val="6D5B0883"/>
    <w:rsid w:val="6E5813AF"/>
    <w:rsid w:val="6F810491"/>
    <w:rsid w:val="71B176BF"/>
    <w:rsid w:val="72BD3ED6"/>
    <w:rsid w:val="73D82A82"/>
    <w:rsid w:val="743A3CBD"/>
    <w:rsid w:val="744260A1"/>
    <w:rsid w:val="755469EE"/>
    <w:rsid w:val="77433384"/>
    <w:rsid w:val="78874D6A"/>
    <w:rsid w:val="791B2061"/>
    <w:rsid w:val="7AAD65DE"/>
    <w:rsid w:val="7B9A6B62"/>
    <w:rsid w:val="7BE10C35"/>
    <w:rsid w:val="7C207852"/>
    <w:rsid w:val="7D578DEA"/>
    <w:rsid w:val="7D821FA4"/>
    <w:rsid w:val="7DE92023"/>
    <w:rsid w:val="7FA2692E"/>
    <w:rsid w:val="F2BFA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XTM</Company>
  <Pages>8</Pages>
  <Words>1356</Words>
  <Characters>1374</Characters>
  <Lines>138</Lines>
  <Paragraphs>39</Paragraphs>
  <TotalTime>10</TotalTime>
  <ScaleCrop>false</ScaleCrop>
  <LinksUpToDate>false</LinksUpToDate>
  <CharactersWithSpaces>1376</CharactersWithSpaces>
  <Application>WPS Office_11.8.2.1126_F1E327BC-269C-435d-A152-05C5408002CA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2020-11-14T01:52:00Z</dcterms:created>
  <dc:creator>XTM</dc:creator>
  <cp:lastModifiedBy>user</cp:lastModifiedBy>
  <dcterms:modified xsi:type="dcterms:W3CDTF">2025-02-21T17:44:47Z</dcterms:modified>
  <cp:revision>380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2052-11.8.2.1126</vt:lpwstr>
  </property>
  <property fmtid="{D5CDD505-2E9C-101B-9397-08002B2CF9AE}" pid="3" name="ICV">
    <vt:lpwstr>9CC1E8C0123D473BB3F8A36CC0CADA76_13</vt:lpwstr>
  </property>
  <property fmtid="{D5CDD505-2E9C-101B-9397-08002B2CF9AE}" pid="4" name="KSOTemplateDocerSaveRecord">
    <vt:lpwstr>eyJoZGlkIjoiNTFhMzMzNDUyMTViNWUwMWNkOWU5YWZmNDk2Yzg0OWQifQ==</vt:lpwstr>
  </property>
</Properties>
</file>