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9</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bookmarkStart w:id="20" w:name="_GoBack"/>
      <w:bookmarkEnd w:id="20"/>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1019.18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984.62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31019.18</w:t>
            </w:r>
          </w:p>
        </w:tc>
        <w:tc>
          <w:tcPr>
            <w:tcW w:w="4535" w:type="dxa"/>
            <w:vAlign w:val="center"/>
          </w:tcPr>
          <w:p>
            <w:pPr>
              <w:pStyle w:val="16"/>
            </w:pPr>
            <w:r>
              <w:t>本年支出合计</w:t>
            </w:r>
          </w:p>
        </w:tc>
        <w:tc>
          <w:tcPr>
            <w:tcW w:w="2126" w:type="dxa"/>
            <w:vAlign w:val="center"/>
          </w:tcPr>
          <w:p>
            <w:pPr>
              <w:pStyle w:val="17"/>
            </w:pPr>
            <w:r>
              <w:t>31026.18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31026.18</w:t>
            </w:r>
          </w:p>
        </w:tc>
        <w:tc>
          <w:tcPr>
            <w:tcW w:w="4535" w:type="dxa"/>
            <w:vAlign w:val="center"/>
          </w:tcPr>
          <w:p>
            <w:pPr>
              <w:pStyle w:val="16"/>
            </w:pPr>
            <w:r>
              <w:t>支出总计</w:t>
            </w:r>
          </w:p>
        </w:tc>
        <w:tc>
          <w:tcPr>
            <w:tcW w:w="2126" w:type="dxa"/>
            <w:vAlign w:val="center"/>
          </w:tcPr>
          <w:p>
            <w:pPr>
              <w:pStyle w:val="17"/>
            </w:pPr>
            <w:r>
              <w:t>31026.18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31026.18</w:t>
            </w:r>
          </w:p>
        </w:tc>
        <w:tc>
          <w:tcPr>
            <w:tcW w:w="1134" w:type="dxa"/>
            <w:vAlign w:val="center"/>
          </w:tcPr>
          <w:p>
            <w:pPr>
              <w:pStyle w:val="17"/>
            </w:pPr>
            <w:r>
              <w:t>31019.18</w:t>
            </w:r>
          </w:p>
        </w:tc>
        <w:tc>
          <w:tcPr>
            <w:tcW w:w="1134" w:type="dxa"/>
            <w:vAlign w:val="center"/>
          </w:tcPr>
          <w:p>
            <w:pPr>
              <w:pStyle w:val="17"/>
            </w:pPr>
            <w:r>
              <w:t>31019.18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22.06</w:t>
            </w:r>
          </w:p>
        </w:tc>
        <w:tc>
          <w:tcPr>
            <w:tcW w:w="1134" w:type="dxa"/>
            <w:vAlign w:val="center"/>
          </w:tcPr>
          <w:p>
            <w:pPr>
              <w:pStyle w:val="13"/>
            </w:pPr>
            <w:r>
              <w:t>22.06</w:t>
            </w:r>
          </w:p>
        </w:tc>
        <w:tc>
          <w:tcPr>
            <w:tcW w:w="1134" w:type="dxa"/>
            <w:vAlign w:val="center"/>
          </w:tcPr>
          <w:p>
            <w:pPr>
              <w:pStyle w:val="13"/>
            </w:pPr>
            <w:r>
              <w:t>22.06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22.06</w:t>
            </w:r>
          </w:p>
        </w:tc>
        <w:tc>
          <w:tcPr>
            <w:tcW w:w="1134" w:type="dxa"/>
            <w:vAlign w:val="center"/>
          </w:tcPr>
          <w:p>
            <w:pPr>
              <w:pStyle w:val="13"/>
            </w:pPr>
            <w:r>
              <w:t>22.06</w:t>
            </w:r>
          </w:p>
        </w:tc>
        <w:tc>
          <w:tcPr>
            <w:tcW w:w="1134" w:type="dxa"/>
            <w:vAlign w:val="center"/>
          </w:tcPr>
          <w:p>
            <w:pPr>
              <w:pStyle w:val="13"/>
            </w:pPr>
            <w:r>
              <w:t>22.06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2120802</w:t>
            </w:r>
          </w:p>
        </w:tc>
        <w:tc>
          <w:tcPr>
            <w:tcW w:w="1559" w:type="dxa"/>
            <w:vAlign w:val="center"/>
          </w:tcPr>
          <w:p>
            <w:pPr>
              <w:pStyle w:val="14"/>
            </w:pPr>
            <w:r>
              <w:t>土地开发支出</w:t>
            </w:r>
          </w:p>
        </w:tc>
        <w:tc>
          <w:tcPr>
            <w:tcW w:w="1134" w:type="dxa"/>
            <w:vAlign w:val="center"/>
          </w:tcPr>
          <w:p>
            <w:pPr>
              <w:pStyle w:val="13"/>
            </w:pPr>
            <w:r>
              <w:t>29474.06</w:t>
            </w:r>
          </w:p>
        </w:tc>
        <w:tc>
          <w:tcPr>
            <w:tcW w:w="1134" w:type="dxa"/>
            <w:vAlign w:val="center"/>
          </w:tcPr>
          <w:p>
            <w:pPr>
              <w:pStyle w:val="13"/>
            </w:pPr>
            <w:r>
              <w:t>29474.06</w:t>
            </w:r>
          </w:p>
        </w:tc>
        <w:tc>
          <w:tcPr>
            <w:tcW w:w="1134" w:type="dxa"/>
            <w:vAlign w:val="center"/>
          </w:tcPr>
          <w:p>
            <w:pPr>
              <w:pStyle w:val="13"/>
            </w:pPr>
            <w:r>
              <w:t>29474.06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525.94</w:t>
            </w:r>
          </w:p>
        </w:tc>
        <w:tc>
          <w:tcPr>
            <w:tcW w:w="1134" w:type="dxa"/>
            <w:vAlign w:val="center"/>
          </w:tcPr>
          <w:p>
            <w:pPr>
              <w:pStyle w:val="13"/>
            </w:pPr>
            <w:r>
              <w:t>525.94</w:t>
            </w:r>
          </w:p>
        </w:tc>
        <w:tc>
          <w:tcPr>
            <w:tcW w:w="1134" w:type="dxa"/>
            <w:vAlign w:val="center"/>
          </w:tcPr>
          <w:p>
            <w:pPr>
              <w:pStyle w:val="13"/>
            </w:pPr>
            <w:r>
              <w:t>525.94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984.62</w:t>
            </w:r>
          </w:p>
        </w:tc>
        <w:tc>
          <w:tcPr>
            <w:tcW w:w="1134" w:type="dxa"/>
            <w:vAlign w:val="center"/>
          </w:tcPr>
          <w:p>
            <w:pPr>
              <w:pStyle w:val="13"/>
            </w:pPr>
            <w:r>
              <w:t>977.62</w:t>
            </w:r>
          </w:p>
        </w:tc>
        <w:tc>
          <w:tcPr>
            <w:tcW w:w="1134" w:type="dxa"/>
            <w:vAlign w:val="center"/>
          </w:tcPr>
          <w:p>
            <w:pPr>
              <w:pStyle w:val="13"/>
            </w:pPr>
            <w:r>
              <w:t>977.62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984.62</w:t>
            </w:r>
          </w:p>
        </w:tc>
        <w:tc>
          <w:tcPr>
            <w:tcW w:w="1134" w:type="dxa"/>
            <w:vAlign w:val="center"/>
          </w:tcPr>
          <w:p>
            <w:pPr>
              <w:pStyle w:val="13"/>
            </w:pPr>
            <w:r>
              <w:t>977.62</w:t>
            </w:r>
          </w:p>
        </w:tc>
        <w:tc>
          <w:tcPr>
            <w:tcW w:w="1134" w:type="dxa"/>
            <w:vAlign w:val="center"/>
          </w:tcPr>
          <w:p>
            <w:pPr>
              <w:pStyle w:val="13"/>
            </w:pPr>
            <w:r>
              <w:t>977.62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713.12</w:t>
            </w:r>
          </w:p>
        </w:tc>
        <w:tc>
          <w:tcPr>
            <w:tcW w:w="1134" w:type="dxa"/>
            <w:vAlign w:val="center"/>
          </w:tcPr>
          <w:p>
            <w:pPr>
              <w:pStyle w:val="13"/>
            </w:pPr>
            <w:r>
              <w:t>713.12</w:t>
            </w:r>
          </w:p>
        </w:tc>
        <w:tc>
          <w:tcPr>
            <w:tcW w:w="1134" w:type="dxa"/>
            <w:vAlign w:val="center"/>
          </w:tcPr>
          <w:p>
            <w:pPr>
              <w:pStyle w:val="13"/>
            </w:pPr>
            <w:r>
              <w:t>713.12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2200106</w:t>
            </w:r>
          </w:p>
        </w:tc>
        <w:tc>
          <w:tcPr>
            <w:tcW w:w="1559" w:type="dxa"/>
            <w:vAlign w:val="center"/>
          </w:tcPr>
          <w:p>
            <w:pPr>
              <w:pStyle w:val="14"/>
            </w:pPr>
            <w:r>
              <w:t>自然资源利用与保护</w:t>
            </w:r>
          </w:p>
        </w:tc>
        <w:tc>
          <w:tcPr>
            <w:tcW w:w="1134" w:type="dxa"/>
            <w:vAlign w:val="center"/>
          </w:tcPr>
          <w:p>
            <w:pPr>
              <w:pStyle w:val="13"/>
            </w:pPr>
            <w:r>
              <w:t>271.50</w:t>
            </w:r>
          </w:p>
        </w:tc>
        <w:tc>
          <w:tcPr>
            <w:tcW w:w="1134" w:type="dxa"/>
            <w:vAlign w:val="center"/>
          </w:tcPr>
          <w:p>
            <w:pPr>
              <w:pStyle w:val="13"/>
            </w:pPr>
            <w:r>
              <w:t>264.50</w:t>
            </w:r>
          </w:p>
        </w:tc>
        <w:tc>
          <w:tcPr>
            <w:tcW w:w="1134" w:type="dxa"/>
            <w:vAlign w:val="center"/>
          </w:tcPr>
          <w:p>
            <w:pPr>
              <w:pStyle w:val="13"/>
            </w:pPr>
            <w:r>
              <w:t>264.50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31026.18</w:t>
            </w:r>
          </w:p>
        </w:tc>
        <w:tc>
          <w:tcPr>
            <w:tcW w:w="1361" w:type="dxa"/>
            <w:vAlign w:val="center"/>
          </w:tcPr>
          <w:p>
            <w:pPr>
              <w:pStyle w:val="17"/>
            </w:pPr>
            <w:r>
              <w:t>154.18</w:t>
            </w:r>
          </w:p>
        </w:tc>
        <w:tc>
          <w:tcPr>
            <w:tcW w:w="1361" w:type="dxa"/>
            <w:vAlign w:val="center"/>
          </w:tcPr>
          <w:p>
            <w:pPr>
              <w:pStyle w:val="17"/>
            </w:pPr>
            <w:r>
              <w:t>30872.00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22.06</w:t>
            </w:r>
          </w:p>
        </w:tc>
        <w:tc>
          <w:tcPr>
            <w:tcW w:w="1361" w:type="dxa"/>
            <w:vAlign w:val="center"/>
          </w:tcPr>
          <w:p>
            <w:pPr>
              <w:pStyle w:val="13"/>
            </w:pPr>
            <w:r>
              <w:t>22.06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22.06</w:t>
            </w:r>
          </w:p>
        </w:tc>
        <w:tc>
          <w:tcPr>
            <w:tcW w:w="1361" w:type="dxa"/>
            <w:vAlign w:val="center"/>
          </w:tcPr>
          <w:p>
            <w:pPr>
              <w:pStyle w:val="13"/>
            </w:pPr>
            <w:r>
              <w:t>22.06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10.06</w:t>
            </w:r>
          </w:p>
        </w:tc>
        <w:tc>
          <w:tcPr>
            <w:tcW w:w="1361" w:type="dxa"/>
            <w:vAlign w:val="center"/>
          </w:tcPr>
          <w:p>
            <w:pPr>
              <w:pStyle w:val="13"/>
            </w:pPr>
            <w:r>
              <w:t>10.06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9.50</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9.50</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9.50</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2120802</w:t>
            </w:r>
          </w:p>
        </w:tc>
        <w:tc>
          <w:tcPr>
            <w:tcW w:w="4535" w:type="dxa"/>
            <w:vAlign w:val="center"/>
          </w:tcPr>
          <w:p>
            <w:pPr>
              <w:pStyle w:val="14"/>
            </w:pPr>
            <w:r>
              <w:t>土地开发支出</w:t>
            </w:r>
          </w:p>
        </w:tc>
        <w:tc>
          <w:tcPr>
            <w:tcW w:w="1361" w:type="dxa"/>
            <w:vAlign w:val="center"/>
          </w:tcPr>
          <w:p>
            <w:pPr>
              <w:pStyle w:val="13"/>
            </w:pPr>
            <w:r>
              <w:t>29474.06</w:t>
            </w:r>
          </w:p>
        </w:tc>
        <w:tc>
          <w:tcPr>
            <w:tcW w:w="1361" w:type="dxa"/>
            <w:vAlign w:val="center"/>
          </w:tcPr>
          <w:p>
            <w:pPr>
              <w:pStyle w:val="13"/>
            </w:pPr>
          </w:p>
        </w:tc>
        <w:tc>
          <w:tcPr>
            <w:tcW w:w="1361" w:type="dxa"/>
            <w:vAlign w:val="center"/>
          </w:tcPr>
          <w:p>
            <w:pPr>
              <w:pStyle w:val="13"/>
            </w:pPr>
            <w:r>
              <w:t>29474.06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525.94</w:t>
            </w:r>
          </w:p>
        </w:tc>
        <w:tc>
          <w:tcPr>
            <w:tcW w:w="1361" w:type="dxa"/>
            <w:vAlign w:val="center"/>
          </w:tcPr>
          <w:p>
            <w:pPr>
              <w:pStyle w:val="13"/>
            </w:pPr>
          </w:p>
        </w:tc>
        <w:tc>
          <w:tcPr>
            <w:tcW w:w="1361" w:type="dxa"/>
            <w:vAlign w:val="center"/>
          </w:tcPr>
          <w:p>
            <w:pPr>
              <w:pStyle w:val="13"/>
            </w:pPr>
            <w:r>
              <w:t>525.94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984.62</w:t>
            </w:r>
          </w:p>
        </w:tc>
        <w:tc>
          <w:tcPr>
            <w:tcW w:w="1361" w:type="dxa"/>
            <w:vAlign w:val="center"/>
          </w:tcPr>
          <w:p>
            <w:pPr>
              <w:pStyle w:val="13"/>
            </w:pPr>
            <w:r>
              <w:t>112.62</w:t>
            </w:r>
          </w:p>
        </w:tc>
        <w:tc>
          <w:tcPr>
            <w:tcW w:w="1361" w:type="dxa"/>
            <w:vAlign w:val="center"/>
          </w:tcPr>
          <w:p>
            <w:pPr>
              <w:pStyle w:val="13"/>
            </w:pPr>
            <w:r>
              <w:t>872.00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984.62</w:t>
            </w:r>
          </w:p>
        </w:tc>
        <w:tc>
          <w:tcPr>
            <w:tcW w:w="1361" w:type="dxa"/>
            <w:vAlign w:val="center"/>
          </w:tcPr>
          <w:p>
            <w:pPr>
              <w:pStyle w:val="13"/>
            </w:pPr>
            <w:r>
              <w:t>112.62</w:t>
            </w:r>
          </w:p>
        </w:tc>
        <w:tc>
          <w:tcPr>
            <w:tcW w:w="1361" w:type="dxa"/>
            <w:vAlign w:val="center"/>
          </w:tcPr>
          <w:p>
            <w:pPr>
              <w:pStyle w:val="13"/>
            </w:pPr>
            <w:r>
              <w:t>872.00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713.12</w:t>
            </w:r>
          </w:p>
        </w:tc>
        <w:tc>
          <w:tcPr>
            <w:tcW w:w="1361" w:type="dxa"/>
            <w:vAlign w:val="center"/>
          </w:tcPr>
          <w:p>
            <w:pPr>
              <w:pStyle w:val="13"/>
            </w:pPr>
            <w:r>
              <w:t>112.62</w:t>
            </w:r>
          </w:p>
        </w:tc>
        <w:tc>
          <w:tcPr>
            <w:tcW w:w="1361" w:type="dxa"/>
            <w:vAlign w:val="center"/>
          </w:tcPr>
          <w:p>
            <w:pPr>
              <w:pStyle w:val="13"/>
            </w:pPr>
            <w:r>
              <w:t>600.50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2200106</w:t>
            </w:r>
          </w:p>
        </w:tc>
        <w:tc>
          <w:tcPr>
            <w:tcW w:w="4535" w:type="dxa"/>
            <w:vAlign w:val="center"/>
          </w:tcPr>
          <w:p>
            <w:pPr>
              <w:pStyle w:val="14"/>
            </w:pPr>
            <w:r>
              <w:t>自然资源利用与保护</w:t>
            </w:r>
          </w:p>
        </w:tc>
        <w:tc>
          <w:tcPr>
            <w:tcW w:w="1361" w:type="dxa"/>
            <w:vAlign w:val="center"/>
          </w:tcPr>
          <w:p>
            <w:pPr>
              <w:pStyle w:val="13"/>
            </w:pPr>
            <w:r>
              <w:t>271.50</w:t>
            </w:r>
          </w:p>
        </w:tc>
        <w:tc>
          <w:tcPr>
            <w:tcW w:w="1361" w:type="dxa"/>
            <w:vAlign w:val="center"/>
          </w:tcPr>
          <w:p>
            <w:pPr>
              <w:pStyle w:val="13"/>
            </w:pPr>
          </w:p>
        </w:tc>
        <w:tc>
          <w:tcPr>
            <w:tcW w:w="1361" w:type="dxa"/>
            <w:vAlign w:val="center"/>
          </w:tcPr>
          <w:p>
            <w:pPr>
              <w:pStyle w:val="13"/>
            </w:pPr>
            <w:r>
              <w:t>271.50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10.00</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10.00</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10.00</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1019.18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22.06</w:t>
            </w:r>
          </w:p>
        </w:tc>
        <w:tc>
          <w:tcPr>
            <w:tcW w:w="1474" w:type="dxa"/>
            <w:vAlign w:val="center"/>
          </w:tcPr>
          <w:p>
            <w:pPr>
              <w:pStyle w:val="13"/>
            </w:pPr>
            <w:r>
              <w:t>22.06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9.50</w:t>
            </w:r>
          </w:p>
        </w:tc>
        <w:tc>
          <w:tcPr>
            <w:tcW w:w="1474" w:type="dxa"/>
            <w:vAlign w:val="center"/>
          </w:tcPr>
          <w:p>
            <w:pPr>
              <w:pStyle w:val="13"/>
            </w:pPr>
            <w:r>
              <w:t>9.50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30000.00</w:t>
            </w:r>
          </w:p>
        </w:tc>
        <w:tc>
          <w:tcPr>
            <w:tcW w:w="1474" w:type="dxa"/>
            <w:vAlign w:val="center"/>
          </w:tcPr>
          <w:p>
            <w:pPr>
              <w:pStyle w:val="13"/>
            </w:pPr>
          </w:p>
        </w:tc>
        <w:tc>
          <w:tcPr>
            <w:tcW w:w="1474" w:type="dxa"/>
            <w:vAlign w:val="center"/>
          </w:tcPr>
          <w:p>
            <w:pPr>
              <w:pStyle w:val="13"/>
            </w:pPr>
            <w:r>
              <w:t>30000.00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984.62</w:t>
            </w:r>
          </w:p>
        </w:tc>
        <w:tc>
          <w:tcPr>
            <w:tcW w:w="1474" w:type="dxa"/>
            <w:vAlign w:val="center"/>
          </w:tcPr>
          <w:p>
            <w:pPr>
              <w:pStyle w:val="13"/>
            </w:pPr>
            <w:r>
              <w:t>984.62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10.00</w:t>
            </w:r>
          </w:p>
        </w:tc>
        <w:tc>
          <w:tcPr>
            <w:tcW w:w="1474" w:type="dxa"/>
            <w:vAlign w:val="center"/>
          </w:tcPr>
          <w:p>
            <w:pPr>
              <w:pStyle w:val="13"/>
            </w:pPr>
            <w:r>
              <w:t>10.00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31019.18</w:t>
            </w:r>
          </w:p>
        </w:tc>
        <w:tc>
          <w:tcPr>
            <w:tcW w:w="3402" w:type="dxa"/>
            <w:vAlign w:val="center"/>
          </w:tcPr>
          <w:p>
            <w:pPr>
              <w:pStyle w:val="16"/>
            </w:pPr>
            <w:r>
              <w:t>本年支出合计</w:t>
            </w:r>
          </w:p>
        </w:tc>
        <w:tc>
          <w:tcPr>
            <w:tcW w:w="1474" w:type="dxa"/>
            <w:vAlign w:val="center"/>
          </w:tcPr>
          <w:p>
            <w:pPr>
              <w:pStyle w:val="17"/>
            </w:pPr>
            <w:r>
              <w:t>31026.18</w:t>
            </w:r>
          </w:p>
        </w:tc>
        <w:tc>
          <w:tcPr>
            <w:tcW w:w="1474" w:type="dxa"/>
            <w:vAlign w:val="center"/>
          </w:tcPr>
          <w:p>
            <w:pPr>
              <w:pStyle w:val="17"/>
            </w:pPr>
            <w:r>
              <w:t>1026.18</w:t>
            </w:r>
          </w:p>
        </w:tc>
        <w:tc>
          <w:tcPr>
            <w:tcW w:w="1474" w:type="dxa"/>
            <w:vAlign w:val="center"/>
          </w:tcPr>
          <w:p>
            <w:pPr>
              <w:pStyle w:val="17"/>
            </w:pPr>
            <w:r>
              <w:t>30000.00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31026.18</w:t>
            </w:r>
          </w:p>
        </w:tc>
        <w:tc>
          <w:tcPr>
            <w:tcW w:w="3402" w:type="dxa"/>
            <w:vAlign w:val="center"/>
          </w:tcPr>
          <w:p>
            <w:pPr>
              <w:pStyle w:val="16"/>
            </w:pPr>
            <w:r>
              <w:t>支出总计</w:t>
            </w:r>
          </w:p>
        </w:tc>
        <w:tc>
          <w:tcPr>
            <w:tcW w:w="1474" w:type="dxa"/>
            <w:vAlign w:val="center"/>
          </w:tcPr>
          <w:p>
            <w:pPr>
              <w:pStyle w:val="17"/>
            </w:pPr>
            <w:r>
              <w:t>31026.18</w:t>
            </w:r>
          </w:p>
        </w:tc>
        <w:tc>
          <w:tcPr>
            <w:tcW w:w="1474" w:type="dxa"/>
            <w:vAlign w:val="center"/>
          </w:tcPr>
          <w:p>
            <w:pPr>
              <w:pStyle w:val="17"/>
            </w:pPr>
            <w:r>
              <w:t>1026.18</w:t>
            </w:r>
          </w:p>
        </w:tc>
        <w:tc>
          <w:tcPr>
            <w:tcW w:w="1474" w:type="dxa"/>
            <w:vAlign w:val="center"/>
          </w:tcPr>
          <w:p>
            <w:pPr>
              <w:pStyle w:val="17"/>
            </w:pPr>
            <w:r>
              <w:t>30000.00</w:t>
            </w: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1026.18</w:t>
            </w:r>
          </w:p>
        </w:tc>
        <w:tc>
          <w:tcPr>
            <w:tcW w:w="2551" w:type="dxa"/>
            <w:vAlign w:val="center"/>
          </w:tcPr>
          <w:p>
            <w:pPr>
              <w:pStyle w:val="17"/>
            </w:pPr>
            <w:r>
              <w:t>154.18</w:t>
            </w:r>
          </w:p>
        </w:tc>
        <w:tc>
          <w:tcPr>
            <w:tcW w:w="2551" w:type="dxa"/>
            <w:vAlign w:val="center"/>
          </w:tcPr>
          <w:p>
            <w:pPr>
              <w:pStyle w:val="17"/>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22.06</w:t>
            </w:r>
          </w:p>
        </w:tc>
        <w:tc>
          <w:tcPr>
            <w:tcW w:w="2551" w:type="dxa"/>
            <w:vAlign w:val="center"/>
          </w:tcPr>
          <w:p>
            <w:pPr>
              <w:pStyle w:val="13"/>
            </w:pPr>
            <w:r>
              <w:t>22.06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22.06</w:t>
            </w:r>
          </w:p>
        </w:tc>
        <w:tc>
          <w:tcPr>
            <w:tcW w:w="2551" w:type="dxa"/>
            <w:vAlign w:val="center"/>
          </w:tcPr>
          <w:p>
            <w:pPr>
              <w:pStyle w:val="13"/>
            </w:pPr>
            <w:r>
              <w:t>22.06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9.50</w:t>
            </w:r>
          </w:p>
        </w:tc>
        <w:tc>
          <w:tcPr>
            <w:tcW w:w="2551" w:type="dxa"/>
            <w:vAlign w:val="center"/>
          </w:tcPr>
          <w:p>
            <w:pPr>
              <w:pStyle w:val="13"/>
            </w:pPr>
            <w:r>
              <w:t>9.50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9.50</w:t>
            </w:r>
          </w:p>
        </w:tc>
        <w:tc>
          <w:tcPr>
            <w:tcW w:w="2551" w:type="dxa"/>
            <w:vAlign w:val="center"/>
          </w:tcPr>
          <w:p>
            <w:pPr>
              <w:pStyle w:val="13"/>
            </w:pPr>
            <w:r>
              <w:t>9.50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9.50</w:t>
            </w:r>
          </w:p>
        </w:tc>
        <w:tc>
          <w:tcPr>
            <w:tcW w:w="2551" w:type="dxa"/>
            <w:vAlign w:val="center"/>
          </w:tcPr>
          <w:p>
            <w:pPr>
              <w:pStyle w:val="13"/>
            </w:pPr>
            <w:r>
              <w:t>9.50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984.62</w:t>
            </w:r>
          </w:p>
        </w:tc>
        <w:tc>
          <w:tcPr>
            <w:tcW w:w="2551" w:type="dxa"/>
            <w:vAlign w:val="center"/>
          </w:tcPr>
          <w:p>
            <w:pPr>
              <w:pStyle w:val="13"/>
            </w:pPr>
            <w:r>
              <w:t>112.62</w:t>
            </w:r>
          </w:p>
        </w:tc>
        <w:tc>
          <w:tcPr>
            <w:tcW w:w="2551" w:type="dxa"/>
            <w:vAlign w:val="center"/>
          </w:tcPr>
          <w:p>
            <w:pPr>
              <w:pStyle w:val="13"/>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984.62</w:t>
            </w:r>
          </w:p>
        </w:tc>
        <w:tc>
          <w:tcPr>
            <w:tcW w:w="2551" w:type="dxa"/>
            <w:vAlign w:val="center"/>
          </w:tcPr>
          <w:p>
            <w:pPr>
              <w:pStyle w:val="13"/>
            </w:pPr>
            <w:r>
              <w:t>112.62</w:t>
            </w:r>
          </w:p>
        </w:tc>
        <w:tc>
          <w:tcPr>
            <w:tcW w:w="2551" w:type="dxa"/>
            <w:vAlign w:val="center"/>
          </w:tcPr>
          <w:p>
            <w:pPr>
              <w:pStyle w:val="13"/>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713.12</w:t>
            </w:r>
          </w:p>
        </w:tc>
        <w:tc>
          <w:tcPr>
            <w:tcW w:w="2551" w:type="dxa"/>
            <w:vAlign w:val="center"/>
          </w:tcPr>
          <w:p>
            <w:pPr>
              <w:pStyle w:val="13"/>
            </w:pPr>
            <w:r>
              <w:t>112.62</w:t>
            </w:r>
          </w:p>
        </w:tc>
        <w:tc>
          <w:tcPr>
            <w:tcW w:w="2551" w:type="dxa"/>
            <w:vAlign w:val="center"/>
          </w:tcPr>
          <w:p>
            <w:pPr>
              <w:pStyle w:val="13"/>
            </w:pPr>
            <w:r>
              <w:t>600.50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271.50</w:t>
            </w:r>
          </w:p>
        </w:tc>
        <w:tc>
          <w:tcPr>
            <w:tcW w:w="2551" w:type="dxa"/>
            <w:vAlign w:val="center"/>
          </w:tcPr>
          <w:p>
            <w:pPr>
              <w:pStyle w:val="13"/>
            </w:pPr>
          </w:p>
        </w:tc>
        <w:tc>
          <w:tcPr>
            <w:tcW w:w="2551" w:type="dxa"/>
            <w:vAlign w:val="center"/>
          </w:tcPr>
          <w:p>
            <w:pPr>
              <w:pStyle w:val="13"/>
            </w:pPr>
            <w:r>
              <w:t>271.50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154.18</w:t>
            </w:r>
          </w:p>
        </w:tc>
        <w:tc>
          <w:tcPr>
            <w:tcW w:w="2551" w:type="dxa"/>
            <w:vAlign w:val="center"/>
          </w:tcPr>
          <w:p>
            <w:pPr>
              <w:pStyle w:val="17"/>
            </w:pPr>
            <w:r>
              <w:t>124.50</w:t>
            </w:r>
          </w:p>
        </w:tc>
        <w:tc>
          <w:tcPr>
            <w:tcW w:w="2551" w:type="dxa"/>
            <w:vAlign w:val="center"/>
          </w:tcPr>
          <w:p>
            <w:pPr>
              <w:pStyle w:val="17"/>
            </w:pPr>
            <w:r>
              <w:t>29.68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114.44</w:t>
            </w:r>
          </w:p>
        </w:tc>
        <w:tc>
          <w:tcPr>
            <w:tcW w:w="2551" w:type="dxa"/>
            <w:vAlign w:val="center"/>
          </w:tcPr>
          <w:p>
            <w:pPr>
              <w:pStyle w:val="13"/>
            </w:pPr>
            <w:r>
              <w:t>114.44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114.44</w:t>
            </w:r>
          </w:p>
        </w:tc>
        <w:tc>
          <w:tcPr>
            <w:tcW w:w="2551" w:type="dxa"/>
            <w:vAlign w:val="center"/>
          </w:tcPr>
          <w:p>
            <w:pPr>
              <w:pStyle w:val="13"/>
            </w:pPr>
            <w:r>
              <w:t>114.44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29.68</w:t>
            </w:r>
          </w:p>
        </w:tc>
        <w:tc>
          <w:tcPr>
            <w:tcW w:w="2551" w:type="dxa"/>
            <w:vAlign w:val="center"/>
          </w:tcPr>
          <w:p>
            <w:pPr>
              <w:pStyle w:val="13"/>
            </w:pPr>
          </w:p>
        </w:tc>
        <w:tc>
          <w:tcPr>
            <w:tcW w:w="2551" w:type="dxa"/>
            <w:vAlign w:val="center"/>
          </w:tcPr>
          <w:p>
            <w:pPr>
              <w:pStyle w:val="13"/>
            </w:pPr>
            <w:r>
              <w:t>29.68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7.50</w:t>
            </w:r>
          </w:p>
        </w:tc>
        <w:tc>
          <w:tcPr>
            <w:tcW w:w="2551" w:type="dxa"/>
            <w:vAlign w:val="center"/>
          </w:tcPr>
          <w:p>
            <w:pPr>
              <w:pStyle w:val="13"/>
            </w:pPr>
          </w:p>
        </w:tc>
        <w:tc>
          <w:tcPr>
            <w:tcW w:w="2551" w:type="dxa"/>
            <w:vAlign w:val="center"/>
          </w:tcPr>
          <w:p>
            <w:pPr>
              <w:pStyle w:val="13"/>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2120802</w:t>
            </w:r>
          </w:p>
        </w:tc>
        <w:tc>
          <w:tcPr>
            <w:tcW w:w="4535" w:type="dxa"/>
            <w:vAlign w:val="center"/>
          </w:tcPr>
          <w:p>
            <w:pPr>
              <w:pStyle w:val="14"/>
            </w:pPr>
            <w:r>
              <w:t>土地开发支出</w:t>
            </w:r>
          </w:p>
        </w:tc>
        <w:tc>
          <w:tcPr>
            <w:tcW w:w="2551" w:type="dxa"/>
            <w:vAlign w:val="center"/>
          </w:tcPr>
          <w:p>
            <w:pPr>
              <w:pStyle w:val="13"/>
            </w:pPr>
            <w:r>
              <w:t>29474.06</w:t>
            </w:r>
          </w:p>
        </w:tc>
        <w:tc>
          <w:tcPr>
            <w:tcW w:w="2551" w:type="dxa"/>
            <w:vAlign w:val="center"/>
          </w:tcPr>
          <w:p>
            <w:pPr>
              <w:pStyle w:val="13"/>
            </w:pPr>
          </w:p>
        </w:tc>
        <w:tc>
          <w:tcPr>
            <w:tcW w:w="2551" w:type="dxa"/>
            <w:vAlign w:val="center"/>
          </w:tcPr>
          <w:p>
            <w:pPr>
              <w:pStyle w:val="13"/>
            </w:pPr>
            <w:r>
              <w:t>29474.06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525.94</w:t>
            </w:r>
          </w:p>
        </w:tc>
        <w:tc>
          <w:tcPr>
            <w:tcW w:w="2551" w:type="dxa"/>
            <w:vAlign w:val="center"/>
          </w:tcPr>
          <w:p>
            <w:pPr>
              <w:pStyle w:val="13"/>
            </w:pPr>
          </w:p>
        </w:tc>
        <w:tc>
          <w:tcPr>
            <w:tcW w:w="2551" w:type="dxa"/>
            <w:vAlign w:val="center"/>
          </w:tcPr>
          <w:p>
            <w:pPr>
              <w:pStyle w:val="13"/>
            </w:pPr>
            <w:r>
              <w:t>525.94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1.50</w:t>
            </w:r>
          </w:p>
        </w:tc>
        <w:tc>
          <w:tcPr>
            <w:tcW w:w="2381" w:type="dxa"/>
            <w:vAlign w:val="center"/>
          </w:tcPr>
          <w:p>
            <w:pPr>
              <w:pStyle w:val="17"/>
            </w:pPr>
            <w:r>
              <w:t>1.50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唐山市自然资源和规划局海港经济开发区分局2025年部门预算信息公开情况说明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唐山市自然资源和规划局海港经济开发区分局2025年部门预算信息公开情况说明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按照《中华人民共和国预算法》、《地方预决算公开操作规程》和《关于进一步推进预算公开工作的实施意见》规定，现将唐山市自然资源和规划局海港经济开发区分局2025年部门预算公开如下：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唐山市自然资源和规划局海港经济开发区分局（简称自然资源和规划局）为唐山市自然资源和规划局派出机构，机构规格正科级，由市自然资源和规划局和海港经济开发区管委会双重管理，以市自然资源和规划局管理为主。主要职责是：</w:t>
      </w:r>
    </w:p>
    <w:p>
      <w:pPr>
        <w:pStyle w:val="19"/>
      </w:pPr>
      <w:r>
        <w:t>（一）履行全民所有土地、矿产、湿地、水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pPr>
        <w:pStyle w:val="19"/>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9"/>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pStyle w:val="19"/>
      </w:pPr>
      <w:r>
        <w:t>（四）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pStyle w:val="19"/>
      </w:pPr>
      <w:r>
        <w:t>（五）负责辖区自然资源的合理开发利用。参与拟订自然资源发展规划和战略，贯彻国家和省、市自然资源开发利用标准，建立政府公示自然资源价格体系，组织开展自然资源分等定级价格评估和自然资源利用评价考核，节约集约利用自然资源。负责自然资源市场监管。组织落实自然资源管理涉及宏观调控、区域协调和城乡统筹的政策措施。</w:t>
      </w:r>
    </w:p>
    <w:p>
      <w:pPr>
        <w:pStyle w:val="19"/>
      </w:pPr>
      <w:r>
        <w:t>（六）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 生态空间布局。贯彻执行国土空间用途管制制度，贯彻执行城乡规划法律法规和相关政策。负责土地、海洋等自然资源年度利用计划管理工作。负责土地、海域等国土空间用途转用工作。负责土地征收征用管理，负责建设工程规划管理，核发选址意见书、建设用地规划许可证、建设工程规划许可证及乡村建设规划许可证；负责对已批项目实施跟踪管理，对建设工程进行规划条件核实。</w:t>
      </w:r>
    </w:p>
    <w:p>
      <w:pPr>
        <w:pStyle w:val="19"/>
      </w:pPr>
      <w:r>
        <w:t>（七）负责统筹全辖区国土空间生态修复。牵头组织国土空间生态修复规划并实施有关生态修复重大工程。负责国土空间综合整治、土地整理复垦、矿山地质环境修复、工矿废弃地复垦利用、海洋生态、海域海岸线等工作。牵头建立和实施生态保护补偿制度，参与制定合理利用社会资金进行生态修复的政策措施并组织实施，提出备选项目。</w:t>
      </w:r>
    </w:p>
    <w:p>
      <w:pPr>
        <w:pStyle w:val="19"/>
      </w:pPr>
      <w:r>
        <w:t>（八）负责组织实施最严格的耕地保护制度。牵头落实</w:t>
      </w:r>
    </w:p>
    <w:p>
      <w:pPr>
        <w:pStyle w:val="19"/>
      </w:pPr>
      <w:r>
        <w:t>施耕地保护政策，负责耕地数量、质量、生态保护。组织实施耕地保护责任目标考核和永久基本农田特殊保护。落实耕地占补平衡制度。</w:t>
      </w:r>
    </w:p>
    <w:p>
      <w:pPr>
        <w:pStyle w:val="19"/>
      </w:pPr>
      <w:r>
        <w:t>（九）负责管辖区域地质勘查行业和地质工作。编制地质勘查规划并监督检查执行情况。管理地质勘察项目。组织实施地质矿产勘查专项。负责古生物化石的监督管理。</w:t>
      </w:r>
    </w:p>
    <w:p>
      <w:pPr>
        <w:pStyle w:val="19"/>
      </w:pPr>
      <w:r>
        <w:t>（十）负责辖区地质灾害预防和治理。负责落实综合防灾减灾规划相关要求，组织实施地质灾害防治规划和防护标准。组织开展群测群防、专业监测和预报预警等工作，指导开展地质灾害工程治理工作。承担地质灾害应急救援的技术支撑工作。监督管理地下水过量开采及引发的地面沉降等地质问题。</w:t>
      </w:r>
    </w:p>
    <w:p>
      <w:pPr>
        <w:pStyle w:val="19"/>
      </w:pPr>
      <w:r>
        <w:t>（十一）负责辖区矿产资源管理工作。负责矿产资源储量及压覆矿产资源管理测绘地理信息管理工作。会同有关部门负责落实保护性开采的特定矿种、优势矿产的调控及相关管理工作。监督指导矿产资源合理利用和保护。</w:t>
      </w:r>
    </w:p>
    <w:p>
      <w:pPr>
        <w:pStyle w:val="19"/>
      </w:pPr>
      <w:r>
        <w:t>（十二）负责组织实施辖区海洋战略规划。参与制定海洋发展战略并监督实施。参与拟订海岸线综合保护利用等规划和政策并监督实施。负责辖区海洋开发利用和保护的监督管理工作。负责海域使用和海岛保护利用管理。参与拟订海域海岛保护利用规划并监督实施。负责无居民海岛地名管理工作。负责海洋观测预报、预警监测和减灾工作，参与海洋灾害应急处置。</w:t>
      </w:r>
    </w:p>
    <w:p>
      <w:pPr>
        <w:pStyle w:val="19"/>
      </w:pPr>
      <w:r>
        <w:t>（十三）负责辖区测绘地理信息管理工作。负责基础测绘和测绘行业管理。负责测绘资质资格与信用管理，监督管理地理信息安全和市场秩序。负责地理信息公共服务管理。负责测量标志保护。</w:t>
      </w:r>
    </w:p>
    <w:p>
      <w:pPr>
        <w:pStyle w:val="19"/>
      </w:pPr>
      <w:r>
        <w:t>（十四）查处辖区自然资源开发利用和国土空间规划及测绘违法案件。负责有关行政执法工作。</w:t>
      </w:r>
    </w:p>
    <w:p>
      <w:pPr>
        <w:pStyle w:val="19"/>
      </w:pPr>
      <w:r>
        <w:t>（十五）推动辖区自然资源和规划领域科技发展。参与拟订并实施自然资源和规划领域科技创新发展和人才培养战略、规划和计划。参与拟订技术标准、规程规范并监督实施。组织实施科技工程及创新能力建设，推荐自然资源信息化和信息资料的公共服务。</w:t>
      </w:r>
    </w:p>
    <w:p>
      <w:pPr>
        <w:pStyle w:val="19"/>
      </w:pPr>
      <w:r>
        <w:t>（十六）完成市局及党工委、管委会交办的其他任务。 唐山市自然资源和规划局海港经济开发区分局（简称自然资源和规划局）为唐山市自然资源和规划局派出机构，机构规格正科级，由市自然资源和规划局和海港经济开发区管委会双重管理，以市自然资源和规划局管理为主。主要职责是：</w:t>
      </w:r>
    </w:p>
    <w:p>
      <w:pPr>
        <w:pStyle w:val="19"/>
      </w:pPr>
      <w:r>
        <w:t>（一）履行全民所有土地、矿产、湿地、水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pPr>
        <w:pStyle w:val="19"/>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9"/>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pStyle w:val="19"/>
      </w:pPr>
      <w:r>
        <w:t>（四）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pStyle w:val="19"/>
      </w:pPr>
      <w:r>
        <w:t>（五）负责辖区自然资源的合理开发利用。参与拟订自然资源发展规划和战略，贯彻国家和省、市自然资源开发利用标准，建立政府公示自然资源价格体系，组织开展自然资源分等定级价格评估和自然资源利用评价考核，节约集约利用自然资源。负责自然资源市场监管。组织落实自然资源管理涉及宏观调控、区域协调和城乡统筹的政策措施。</w:t>
      </w:r>
    </w:p>
    <w:p>
      <w:pPr>
        <w:pStyle w:val="19"/>
      </w:pPr>
      <w:r>
        <w:t>（六）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 生态空间布局。贯彻执行国土空间用途管制制度，贯彻执行城乡规划法律法规和相关政策。负责土地、海洋等自然资源年度利用计划管理工作。负责土地、海域等国土空间用途转用工作。负责土地征收征用管理，负责建设工程规划管理，核发选址意见书、建设用地规划许可证、建设工程规划许可证及乡村建设规划许可证；负责对已批项目实施跟踪管理，对建设工程进行规划条件核实。</w:t>
      </w:r>
    </w:p>
    <w:p>
      <w:pPr>
        <w:pStyle w:val="19"/>
      </w:pPr>
      <w:r>
        <w:t>（七）负责统筹全辖区国土空间生态修复。牵头组织国土空间生态修复规划并实施有关生态修复重大工程。负责国土空间综合整治、土地整理复垦、矿山地质环境修复、工矿废弃地复垦利用、海洋生态、海域海岸线等工作。牵头建立和实施生态保护补偿制度，参与制定合理利用社会资金进行生态修复的政策措施并组织实施，提出备选项目。</w:t>
      </w:r>
    </w:p>
    <w:p>
      <w:pPr>
        <w:pStyle w:val="19"/>
      </w:pPr>
      <w:r>
        <w:t>（八）负责组织实施最严格的耕地保护制度。牵头落实</w:t>
      </w:r>
    </w:p>
    <w:p>
      <w:pPr>
        <w:pStyle w:val="19"/>
      </w:pPr>
      <w:r>
        <w:t>施耕地保护政策，负责耕地数量、质量、生态保护。组织实施耕地保护责任目标考核和永久基本农田特殊保护。落实耕地占补平衡制度。</w:t>
      </w:r>
    </w:p>
    <w:p>
      <w:pPr>
        <w:pStyle w:val="19"/>
      </w:pPr>
      <w:r>
        <w:t>（九）负责管辖区域地质勘查行业和地质工作。编制地质勘查规划并监督检查执行情况。管理地质勘察项目。组织实施地质矿产勘查专项。负责古生物化石的监督管理。</w:t>
      </w:r>
    </w:p>
    <w:p>
      <w:pPr>
        <w:pStyle w:val="19"/>
      </w:pPr>
      <w:r>
        <w:t>（十）负责辖区地质灾害预防和治理。负责落实综合防灾减灾规划相关要求，组织实施地质灾害防治规划和防护标准。组织开展群测群防、专业监测和预报预警等工作，指导开展地质灾害工程治理工作。承担地质灾害应急救援的技术支撑工作。监督管理地下水过量开采及引发的地面沉降等地质问题。</w:t>
      </w:r>
    </w:p>
    <w:p>
      <w:pPr>
        <w:pStyle w:val="19"/>
      </w:pPr>
      <w:r>
        <w:t>（十一）负责辖区矿产资源管理工作。负责矿产资源储量及压覆矿产资源管理测绘地理信息管理工作。会同有关部门负责落实保护性开采的特定矿种、优势矿产的调控及相关管理工作。监督指导矿产资源合理利用和保护。</w:t>
      </w:r>
    </w:p>
    <w:p>
      <w:pPr>
        <w:pStyle w:val="19"/>
      </w:pPr>
      <w:r>
        <w:t>（十二）负责组织实施辖区海洋战略规划。参与制定海洋发展战略并监督实施。参与拟订海岸线综合保护利用等规划和政策并监督实施。负责辖区海洋开发利用和保护的监督管理工作。负责海域使用和海岛保护利用管理。参与拟订海域海岛保护利用规划并监督实施。负责无居民海岛地名管理工作。负责海洋观测预报、预警监测和减灾工作，参与海洋灾害应急处置。</w:t>
      </w:r>
    </w:p>
    <w:p>
      <w:pPr>
        <w:pStyle w:val="19"/>
      </w:pPr>
      <w:r>
        <w:t>（十三）负责辖区测绘地理信息管理工作。负责基础测绘和测绘行业管理。负责测绘资质资格与信用管理，监督管理地理信息安全和市场秩序。负责地理信息公共服务管理。负责测量标志保护。</w:t>
      </w:r>
    </w:p>
    <w:p>
      <w:pPr>
        <w:pStyle w:val="19"/>
      </w:pPr>
      <w:r>
        <w:t>（十四）查处辖区自然资源开发利用和国土空间规划及测绘违法案件。负责有关行政执法工作。</w:t>
      </w:r>
    </w:p>
    <w:p>
      <w:pPr>
        <w:pStyle w:val="19"/>
      </w:pPr>
      <w:r>
        <w:t>（十五）推动辖区自然资源和规划领域科技发展。参与拟订并实施自然资源和规划领域科技创新发展和人才培养战略、规划和计划。参与拟订技术标准、规程规范并监督实施。组织实施科技工程及创新能力建设，推荐自然资源信息化和信息资料的公共服务。</w:t>
      </w:r>
    </w:p>
    <w:p>
      <w:pPr>
        <w:pStyle w:val="19"/>
      </w:pPr>
      <w:r>
        <w:t>（十六）完成市局及党工委、管委会交办的其他任务。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唐山市自然资源和规划局海港经济开发区分局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按照预算管理有关规定，目前部门预算的编制实行综合预算管理，即全部收入和支出都反映在预算中。唐山市自然资源和规划局海港经济开发区分局机关及所属事业单位的收支包含在部门预算中。</w:t>
      </w:r>
    </w:p>
    <w:p>
      <w:pPr>
        <w:pStyle w:val="20"/>
      </w:pPr>
      <w:r>
        <w:t>1、收入说明</w:t>
      </w:r>
    </w:p>
    <w:p>
      <w:pPr>
        <w:pStyle w:val="20"/>
      </w:pPr>
      <w:r>
        <w:t>反映本部门当年全部收入。2025年预算收入31026.18万元，其中：一般公共预算收入1019.18万元，基金预算收入30000.00万元，国有资本经营预算收入0.00万元，财政专户核拨收入0.00万元，单位资金收入0.00万元，上年结转结余7.00万元。</w:t>
      </w:r>
    </w:p>
    <w:p>
      <w:pPr>
        <w:pStyle w:val="20"/>
      </w:pPr>
      <w:r>
        <w:t>2、支出说明</w:t>
      </w:r>
    </w:p>
    <w:p>
      <w:pPr>
        <w:pStyle w:val="20"/>
      </w:pPr>
      <w:r>
        <w:t>收支预算总表支出栏、基本支出表、项目支出表按经济分类和支出功能分类科目编制，反映唐山市自然资源和规划局海港经济开发区分局年度部门预算中支出预算的总体情况。2025年支出预算31026.18万元，其中基本支出154.18万元，包括人员经费124.50万元和日常公用经费29.68万元；项目支出30872.00万元，主要为自然资源管理工作经费300.00万元，自然资源日常管理工作经费100.00万元，劳务派遣人员工资465.00万元，缴纳2023年度耕地保护考核奖惩基金525.936万元，补偿款29474.064万元，2023年度耕地资源质量分类年度更新与监测工作7.00万元。</w:t>
      </w:r>
    </w:p>
    <w:p>
      <w:pPr>
        <w:pStyle w:val="20"/>
      </w:pPr>
      <w:r>
        <w:t>3、比上年增减情况</w:t>
      </w:r>
    </w:p>
    <w:p>
      <w:pPr>
        <w:pStyle w:val="20"/>
      </w:pPr>
      <w:r>
        <w:t>2025年预算收支安排31026.18万元，较2024年预算增加252.10万元，其中：基本支出减少106.90万元，主要为2025年公用支出减少，部分公用支出列入项目支出。项目支出增加359.00万元，主要为根据实际工作需要，2025年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1.50万元，其中因公出国（境）费0.00万元；公务用车购置及运维费0.00万元（其中：公务用车购置费为0.00万元，公务用车运维费0.00万元)；公务接待费1.50万元。与2024年相比增加0.00万元，增减变化的主要原因是与上年持平，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
        <w:bidi w:val="0"/>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我局根据管委会工作部署，结合年度工作计划，针对主要职责、重点工作，制定如下绩效目标</w:t>
      </w:r>
      <w:r>
        <w:rPr>
          <w:rFonts w:hint="eastAsia" w:ascii="Times New Roman" w:hAnsi="Times New Roman" w:eastAsia="方正仿宋_GBK" w:cs="Times New Roman"/>
          <w:sz w:val="28"/>
          <w:szCs w:val="24"/>
          <w:lang w:val="en-US" w:eastAsia="zh-CN" w:bidi="ar-SA"/>
        </w:rPr>
        <w:t>：</w:t>
      </w:r>
    </w:p>
    <w:p>
      <w:pPr>
        <w:bidi w:val="0"/>
        <w:ind w:firstLine="560" w:firstLineChars="200"/>
      </w:pPr>
      <w:r>
        <w:rPr>
          <w:rFonts w:ascii="Times New Roman" w:hAnsi="Times New Roman" w:eastAsia="方正仿宋_GBK" w:cs="Times New Roman"/>
          <w:sz w:val="28"/>
          <w:szCs w:val="24"/>
          <w:lang w:val="en-US" w:eastAsia="uk-UA" w:bidi="ar-SA"/>
        </w:rPr>
        <w:t>深入推进党风廉政建设和反腐败工作，建立健全有关规章制度</w:t>
      </w:r>
      <w:r>
        <w:rPr>
          <w:rFonts w:hint="eastAsia" w:ascii="Times New Roman" w:hAnsi="Times New Roman" w:eastAsia="方正仿宋_GBK" w:cs="Times New Roman"/>
          <w:sz w:val="28"/>
          <w:szCs w:val="24"/>
          <w:lang w:val="en-US" w:eastAsia="zh-CN" w:bidi="ar-SA"/>
        </w:rPr>
        <w:t>；贯彻执行自然资源和国土空间规划</w:t>
      </w:r>
      <w:r>
        <w:rPr>
          <w:rFonts w:hint="eastAsia" w:ascii="Times New Roman" w:hAnsi="Times New Roman" w:eastAsia="方正仿宋_GBK" w:cs="Times New Roman"/>
          <w:sz w:val="28"/>
          <w:szCs w:val="24"/>
          <w:lang w:val="en-US" w:eastAsia="uk-UA" w:bidi="ar-SA"/>
        </w:rPr>
        <w:t>及测绘等</w:t>
      </w:r>
      <w:r>
        <w:rPr>
          <w:rFonts w:hint="eastAsia" w:ascii="Times New Roman" w:hAnsi="Times New Roman" w:eastAsia="方正仿宋_GBK" w:cs="Times New Roman"/>
          <w:sz w:val="28"/>
          <w:szCs w:val="24"/>
          <w:lang w:val="en-US" w:eastAsia="zh-CN" w:bidi="ar-SA"/>
        </w:rPr>
        <w:t>地方规范性文件和自然资源保护、开发利用规划，</w:t>
      </w:r>
      <w:r>
        <w:rPr>
          <w:rFonts w:hint="eastAsia" w:ascii="Times New Roman" w:hAnsi="Times New Roman" w:eastAsia="方正仿宋_GBK" w:cs="Times New Roman"/>
          <w:sz w:val="28"/>
          <w:szCs w:val="24"/>
          <w:lang w:val="en-US" w:eastAsia="uk-UA" w:bidi="ar-SA"/>
        </w:rPr>
        <w:t>建立</w:t>
      </w:r>
      <w:r>
        <w:rPr>
          <w:rFonts w:hint="eastAsia" w:ascii="Times New Roman" w:hAnsi="Times New Roman" w:eastAsia="方正仿宋_GBK" w:cs="Times New Roman"/>
          <w:sz w:val="28"/>
          <w:szCs w:val="24"/>
          <w:lang w:val="en-US" w:eastAsia="zh-CN" w:bidi="ar-SA"/>
        </w:rPr>
        <w:t>辖区</w:t>
      </w:r>
      <w:r>
        <w:rPr>
          <w:rFonts w:hint="eastAsia" w:ascii="Times New Roman" w:hAnsi="Times New Roman" w:eastAsia="方正仿宋_GBK" w:cs="Times New Roman"/>
          <w:sz w:val="28"/>
          <w:szCs w:val="24"/>
          <w:lang w:val="en-US" w:eastAsia="uk-UA" w:bidi="ar-SA"/>
        </w:rPr>
        <w:t>空间规划体系并监督实施</w:t>
      </w:r>
      <w:r>
        <w:rPr>
          <w:rFonts w:hint="eastAsia" w:ascii="Times New Roman" w:hAnsi="Times New Roman" w:eastAsia="方正仿宋_GBK" w:cs="Times New Roman"/>
          <w:sz w:val="28"/>
          <w:szCs w:val="24"/>
          <w:lang w:val="en-US" w:eastAsia="zh-CN" w:bidi="ar-SA"/>
        </w:rPr>
        <w:t>；做好辖区内</w:t>
      </w:r>
      <w:r>
        <w:rPr>
          <w:rFonts w:hint="eastAsia" w:ascii="Times New Roman" w:hAnsi="Times New Roman" w:eastAsia="方正仿宋_GBK" w:cs="Times New Roman"/>
          <w:sz w:val="28"/>
          <w:szCs w:val="24"/>
          <w:lang w:val="en-US" w:eastAsia="uk-UA" w:bidi="ar-SA"/>
        </w:rPr>
        <w:t>自然资源调查监测评</w:t>
      </w:r>
      <w:r>
        <w:rPr>
          <w:rFonts w:hint="eastAsia" w:ascii="Times New Roman" w:hAnsi="Times New Roman" w:eastAsia="方正仿宋_GBK" w:cs="Times New Roman"/>
          <w:sz w:val="28"/>
          <w:szCs w:val="24"/>
          <w:lang w:val="en-US" w:eastAsia="zh-CN" w:bidi="ar-SA"/>
        </w:rPr>
        <w:t>价，</w:t>
      </w:r>
      <w:r>
        <w:rPr>
          <w:rFonts w:hint="eastAsia" w:ascii="Times New Roman" w:hAnsi="Times New Roman" w:eastAsia="方正仿宋_GBK" w:cs="Times New Roman"/>
          <w:sz w:val="28"/>
          <w:szCs w:val="24"/>
          <w:lang w:val="en-US" w:eastAsia="uk-UA" w:bidi="ar-SA"/>
        </w:rPr>
        <w:t>自然资源统一确权登记工作</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自然资源合理开发利用</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做好项目建设用地服务和保障</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组织实施耕地保护制度</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切实加强耕地保护</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强化自然资源执法监察</w:t>
      </w:r>
      <w:r>
        <w:rPr>
          <w:rFonts w:hint="eastAsia" w:ascii="Times New Roman" w:hAnsi="Times New Roman" w:eastAsia="方正仿宋_GBK" w:cs="Times New Roman"/>
          <w:sz w:val="28"/>
          <w:szCs w:val="24"/>
          <w:lang w:val="en-US" w:eastAsia="zh-CN" w:bidi="ar-SA"/>
        </w:rPr>
        <w:t>，查处辖区自然资源开发利用和国土空间规划及测绘违法案件；</w:t>
      </w:r>
      <w:r>
        <w:rPr>
          <w:rFonts w:ascii="Times New Roman" w:hAnsi="Times New Roman" w:eastAsia="方正仿宋_GBK" w:cs="Times New Roman"/>
          <w:sz w:val="28"/>
          <w:szCs w:val="24"/>
          <w:lang w:val="en-US" w:eastAsia="uk-UA" w:bidi="ar-SA"/>
        </w:rPr>
        <w:t>着力抓好改革创新</w:t>
      </w:r>
      <w:r>
        <w:rPr>
          <w:rFonts w:hint="eastAsia" w:ascii="Times New Roman" w:hAnsi="Times New Roman" w:eastAsia="方正仿宋_GBK" w:cs="Times New Roman"/>
          <w:sz w:val="28"/>
          <w:szCs w:val="24"/>
          <w:lang w:val="en-US" w:eastAsia="zh-CN" w:bidi="ar-SA"/>
        </w:rPr>
        <w:t>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bidi w:val="0"/>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深入推进党风廉政建设和反腐败工作，建立健全有关规章制度</w:t>
      </w:r>
    </w:p>
    <w:p>
      <w:pPr>
        <w:bidi w:val="0"/>
        <w:ind w:firstLine="560" w:firstLineChars="200"/>
        <w:rPr>
          <w:rFonts w:hint="eastAsia"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zh-CN" w:bidi="ar-SA"/>
        </w:rPr>
        <w:t>绩效目标：</w:t>
      </w:r>
      <w:r>
        <w:rPr>
          <w:rFonts w:hint="eastAsia" w:ascii="Times New Roman" w:hAnsi="Times New Roman" w:eastAsia="方正仿宋_GBK" w:cs="Times New Roman"/>
          <w:sz w:val="28"/>
          <w:szCs w:val="24"/>
          <w:lang w:val="en-US" w:eastAsia="uk-UA" w:bidi="ar-SA"/>
        </w:rPr>
        <w:t>强化政治理论和业务学习培训，提高干部职工队伍素质。</w:t>
      </w:r>
    </w:p>
    <w:p>
      <w:pPr>
        <w:bidi w:val="0"/>
        <w:ind w:firstLine="560" w:firstLineChars="2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绩效指标：建立学习型组织，更好的应对新环境的挑战，实现创新和进步。</w:t>
      </w:r>
    </w:p>
    <w:p>
      <w:pPr>
        <w:bidi w:val="0"/>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2、贯彻执行自然资源和国土空间规划</w:t>
      </w:r>
      <w:r>
        <w:rPr>
          <w:rFonts w:hint="eastAsia" w:ascii="Times New Roman" w:hAnsi="Times New Roman" w:eastAsia="方正仿宋_GBK" w:cs="Times New Roman"/>
          <w:sz w:val="28"/>
          <w:szCs w:val="24"/>
          <w:lang w:val="en-US" w:eastAsia="uk-UA" w:bidi="ar-SA"/>
        </w:rPr>
        <w:t>及测绘等</w:t>
      </w:r>
      <w:r>
        <w:rPr>
          <w:rFonts w:hint="eastAsia" w:ascii="Times New Roman" w:hAnsi="Times New Roman" w:eastAsia="方正仿宋_GBK" w:cs="Times New Roman"/>
          <w:sz w:val="28"/>
          <w:szCs w:val="24"/>
          <w:lang w:val="en-US" w:eastAsia="zh-CN" w:bidi="ar-SA"/>
        </w:rPr>
        <w:t>地方规范性文件和自然资源保护、开发利用规划，</w:t>
      </w:r>
      <w:r>
        <w:rPr>
          <w:rFonts w:hint="eastAsia" w:ascii="Times New Roman" w:hAnsi="Times New Roman" w:eastAsia="方正仿宋_GBK" w:cs="Times New Roman"/>
          <w:sz w:val="28"/>
          <w:szCs w:val="24"/>
          <w:lang w:val="en-US" w:eastAsia="uk-UA" w:bidi="ar-SA"/>
        </w:rPr>
        <w:t>建立</w:t>
      </w:r>
      <w:r>
        <w:rPr>
          <w:rFonts w:hint="eastAsia" w:ascii="Times New Roman" w:hAnsi="Times New Roman" w:eastAsia="方正仿宋_GBK" w:cs="Times New Roman"/>
          <w:sz w:val="28"/>
          <w:szCs w:val="24"/>
          <w:lang w:val="en-US" w:eastAsia="zh-CN" w:bidi="ar-SA"/>
        </w:rPr>
        <w:t>辖区</w:t>
      </w:r>
      <w:r>
        <w:rPr>
          <w:rFonts w:hint="eastAsia" w:ascii="Times New Roman" w:hAnsi="Times New Roman" w:eastAsia="方正仿宋_GBK" w:cs="Times New Roman"/>
          <w:sz w:val="28"/>
          <w:szCs w:val="24"/>
          <w:lang w:val="en-US" w:eastAsia="uk-UA" w:bidi="ar-SA"/>
        </w:rPr>
        <w:t>空间规划体系并监督实施</w:t>
      </w:r>
    </w:p>
    <w:p>
      <w:pPr>
        <w:bidi w:val="0"/>
        <w:ind w:firstLine="560" w:firstLineChars="200"/>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zh-CN" w:bidi="ar-SA"/>
        </w:rPr>
        <w:t>绩效目标：</w:t>
      </w:r>
      <w:r>
        <w:rPr>
          <w:rFonts w:hint="eastAsia" w:ascii="Times New Roman" w:hAnsi="Times New Roman" w:eastAsia="方正仿宋_GBK" w:cs="Times New Roman"/>
          <w:sz w:val="28"/>
          <w:szCs w:val="24"/>
          <w:lang w:val="en-US" w:eastAsia="zh-CN" w:bidi="ar-SA"/>
        </w:rPr>
        <w:t>提高开发区自然资源资源利用效率，全方位拓展优化生产空间、生活空间和生态空间，把握发展规律，推动以人为核心的新型城镇化，有效化解各种“城市病”。</w:t>
      </w:r>
    </w:p>
    <w:p>
      <w:pPr>
        <w:bidi w:val="0"/>
        <w:ind w:firstLine="560" w:firstLineChars="200"/>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zh-CN" w:bidi="ar-SA"/>
        </w:rPr>
        <w:t>绩效指标：</w:t>
      </w:r>
      <w:r>
        <w:rPr>
          <w:rFonts w:hint="eastAsia" w:ascii="Times New Roman" w:hAnsi="Times New Roman" w:eastAsia="方正仿宋_GBK" w:cs="Times New Roman"/>
          <w:sz w:val="28"/>
          <w:szCs w:val="24"/>
          <w:lang w:val="en-US" w:eastAsia="zh-CN" w:bidi="ar-SA"/>
        </w:rPr>
        <w:t>完成开发区国土空间规划，</w:t>
      </w:r>
      <w:r>
        <w:rPr>
          <w:rFonts w:hint="eastAsia" w:ascii="Times New Roman" w:hAnsi="Times New Roman" w:eastAsia="方正仿宋_GBK" w:cs="Times New Roman"/>
          <w:sz w:val="28"/>
          <w:szCs w:val="24"/>
          <w:lang w:val="en-US" w:eastAsia="uk-UA" w:bidi="ar-SA"/>
        </w:rPr>
        <w:t>指导开展镇国土空间总体规划及村庄规划</w:t>
      </w:r>
      <w:r>
        <w:rPr>
          <w:rFonts w:hint="eastAsia" w:ascii="Times New Roman" w:hAnsi="Times New Roman" w:eastAsia="方正仿宋_GBK" w:cs="Times New Roman"/>
          <w:sz w:val="28"/>
          <w:szCs w:val="24"/>
          <w:lang w:val="en-US" w:eastAsia="zh-CN" w:bidi="ar-SA"/>
        </w:rPr>
        <w:t>。</w:t>
      </w:r>
    </w:p>
    <w:p>
      <w:pPr>
        <w:bidi w:val="0"/>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3、做好辖区内</w:t>
      </w:r>
      <w:r>
        <w:rPr>
          <w:rFonts w:hint="eastAsia" w:ascii="Times New Roman" w:hAnsi="Times New Roman" w:eastAsia="方正仿宋_GBK" w:cs="Times New Roman"/>
          <w:sz w:val="28"/>
          <w:szCs w:val="24"/>
          <w:lang w:val="en-US" w:eastAsia="uk-UA" w:bidi="ar-SA"/>
        </w:rPr>
        <w:t>自然资源调查监测评</w:t>
      </w:r>
      <w:r>
        <w:rPr>
          <w:rFonts w:hint="eastAsia" w:ascii="Times New Roman" w:hAnsi="Times New Roman" w:eastAsia="方正仿宋_GBK" w:cs="Times New Roman"/>
          <w:sz w:val="28"/>
          <w:szCs w:val="24"/>
          <w:lang w:val="en-US" w:eastAsia="zh-CN" w:bidi="ar-SA"/>
        </w:rPr>
        <w:t>价，</w:t>
      </w:r>
      <w:r>
        <w:rPr>
          <w:rFonts w:hint="eastAsia" w:ascii="Times New Roman" w:hAnsi="Times New Roman" w:eastAsia="方正仿宋_GBK" w:cs="Times New Roman"/>
          <w:sz w:val="28"/>
          <w:szCs w:val="24"/>
          <w:lang w:val="en-US" w:eastAsia="uk-UA" w:bidi="ar-SA"/>
        </w:rPr>
        <w:t>自然资源统一确权登记工作</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自然资源合理开发利用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做好项目建设用地服务和保障</w:t>
      </w:r>
      <w:r>
        <w:rPr>
          <w:rFonts w:hint="eastAsia" w:ascii="Times New Roman" w:hAnsi="Times New Roman" w:eastAsia="方正仿宋_GBK" w:cs="Times New Roman"/>
          <w:sz w:val="28"/>
          <w:szCs w:val="24"/>
          <w:lang w:val="en-US" w:eastAsia="zh-CN" w:bidi="ar-SA"/>
        </w:rPr>
        <w:t>。</w:t>
      </w:r>
    </w:p>
    <w:p>
      <w:pPr>
        <w:bidi w:val="0"/>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绩效目标：充分利用国土调查成果和自然资源专项调查成果，推进登记法制化，为建立国土空间规划体系并监督实施，统一行使全面所有自然资源资产所有者职责，统一行使所有国土空间用途管制和生态保护修复职责，提供基础支撑和产权保障。加</w:t>
      </w:r>
      <w:r>
        <w:rPr>
          <w:rFonts w:hint="eastAsia" w:ascii="Times New Roman" w:hAnsi="Times New Roman" w:eastAsia="方正仿宋_GBK" w:cs="Times New Roman"/>
          <w:sz w:val="28"/>
          <w:szCs w:val="24"/>
          <w:lang w:val="en-US" w:eastAsia="uk-UA" w:bidi="ar-SA"/>
        </w:rPr>
        <w:t>大对耕地保护目标责任制落实情况的监督检查力度，确保全区耕地和基本农田保护目标实现。继续做好土地开发整理工作</w:t>
      </w:r>
      <w:r>
        <w:rPr>
          <w:rFonts w:hint="eastAsia" w:ascii="Times New Roman" w:hAnsi="Times New Roman" w:eastAsia="方正仿宋_GBK" w:cs="Times New Roman"/>
          <w:sz w:val="28"/>
          <w:szCs w:val="24"/>
          <w:lang w:val="en-US" w:eastAsia="zh-CN" w:bidi="ar-SA"/>
        </w:rPr>
        <w:t>。</w:t>
      </w:r>
    </w:p>
    <w:p>
      <w:pPr>
        <w:bidi w:val="0"/>
        <w:ind w:firstLine="560" w:firstLineChars="20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绩效指标：</w:t>
      </w:r>
      <w:r>
        <w:rPr>
          <w:rFonts w:hint="eastAsia" w:ascii="Times New Roman" w:hAnsi="Times New Roman" w:eastAsia="方正仿宋_GBK" w:cs="Times New Roman"/>
          <w:sz w:val="28"/>
          <w:szCs w:val="24"/>
          <w:lang w:val="en-US" w:eastAsia="zh-CN" w:bidi="ar-SA"/>
        </w:rPr>
        <w:t>保障全区土地合理利用，为国土资源“批供用补查”日常管理及经济社会发展提供基础资料。</w:t>
      </w:r>
    </w:p>
    <w:p>
      <w:pPr>
        <w:bidi w:val="0"/>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强化自然资源执法监察</w:t>
      </w:r>
      <w:r>
        <w:rPr>
          <w:rFonts w:hint="eastAsia" w:ascii="Times New Roman" w:hAnsi="Times New Roman" w:eastAsia="方正仿宋_GBK" w:cs="Times New Roman"/>
          <w:sz w:val="28"/>
          <w:szCs w:val="24"/>
          <w:lang w:val="en-US" w:eastAsia="zh-CN" w:bidi="ar-SA"/>
        </w:rPr>
        <w:t>，查处辖区自然资源开发利用和国土空间规划及测绘违法案件</w:t>
      </w:r>
    </w:p>
    <w:p>
      <w:pPr>
        <w:bidi w:val="0"/>
        <w:ind w:firstLine="560" w:firstLineChars="200"/>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zh-CN" w:bidi="ar-SA"/>
        </w:rPr>
        <w:t>绩效目标：</w:t>
      </w:r>
      <w:r>
        <w:rPr>
          <w:rFonts w:hint="eastAsia" w:ascii="Times New Roman" w:hAnsi="Times New Roman" w:eastAsia="方正仿宋_GBK" w:cs="Times New Roman"/>
          <w:sz w:val="28"/>
          <w:szCs w:val="24"/>
          <w:lang w:val="en-US" w:eastAsia="zh-CN" w:bidi="ar-SA"/>
        </w:rPr>
        <w:t>对违法违规用地及时发现、及时制止及时查处，有效遏制新增违法用地问题发生。</w:t>
      </w:r>
    </w:p>
    <w:p>
      <w:pPr>
        <w:bidi w:val="0"/>
        <w:ind w:firstLine="560" w:firstLineChars="20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绩效指标：</w:t>
      </w:r>
      <w:r>
        <w:rPr>
          <w:rFonts w:hint="eastAsia" w:ascii="Times New Roman" w:hAnsi="Times New Roman" w:eastAsia="方正仿宋_GBK" w:cs="Times New Roman"/>
          <w:sz w:val="28"/>
          <w:szCs w:val="24"/>
          <w:lang w:val="en-US" w:eastAsia="uk-UA" w:bidi="ar-SA"/>
        </w:rPr>
        <w:t>结合卫片执法和土地例行督察，进一步加大巡查检查力度，打击各类违法行</w:t>
      </w:r>
      <w:r>
        <w:rPr>
          <w:rFonts w:hint="eastAsia" w:ascii="Times New Roman" w:hAnsi="Times New Roman" w:eastAsia="方正仿宋_GBK" w:cs="Times New Roman"/>
          <w:sz w:val="28"/>
          <w:szCs w:val="24"/>
          <w:lang w:val="en-US" w:eastAsia="zh-CN" w:bidi="ar-SA"/>
        </w:rPr>
        <w:t>。</w:t>
      </w:r>
    </w:p>
    <w:p>
      <w:pPr>
        <w:bidi w:val="0"/>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着力抓好改革创新</w:t>
      </w:r>
      <w:r>
        <w:rPr>
          <w:rFonts w:hint="eastAsia" w:ascii="Times New Roman" w:hAnsi="Times New Roman" w:eastAsia="方正仿宋_GBK" w:cs="Times New Roman"/>
          <w:sz w:val="28"/>
          <w:szCs w:val="24"/>
          <w:lang w:val="en-US" w:eastAsia="zh-CN" w:bidi="ar-SA"/>
        </w:rPr>
        <w:t>工作</w:t>
      </w:r>
    </w:p>
    <w:p>
      <w:pPr>
        <w:bidi w:val="0"/>
        <w:ind w:firstLine="560" w:firstLineChars="20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w:t>
      </w:r>
      <w:r>
        <w:rPr>
          <w:rFonts w:hint="eastAsia" w:ascii="Times New Roman" w:hAnsi="Times New Roman" w:eastAsia="方正仿宋_GBK" w:cs="Times New Roman"/>
          <w:sz w:val="28"/>
          <w:szCs w:val="24"/>
          <w:lang w:val="en-US" w:eastAsia="uk-UA" w:bidi="ar-SA"/>
        </w:rPr>
        <w:t>扎实推进审批制度改革，优化合并审批流程，压缩审批时限</w:t>
      </w:r>
      <w:r>
        <w:rPr>
          <w:rFonts w:hint="eastAsia" w:ascii="Times New Roman" w:hAnsi="Times New Roman" w:eastAsia="方正仿宋_GBK" w:cs="Times New Roman"/>
          <w:sz w:val="28"/>
          <w:szCs w:val="24"/>
          <w:lang w:val="en-US" w:eastAsia="zh-CN" w:bidi="ar-SA"/>
        </w:rPr>
        <w:t>。</w:t>
      </w:r>
    </w:p>
    <w:p>
      <w:pPr>
        <w:bidi w:val="0"/>
        <w:ind w:firstLine="560" w:firstLineChars="200"/>
      </w:pPr>
      <w:r>
        <w:rPr>
          <w:rFonts w:hint="default" w:ascii="Times New Roman" w:hAnsi="Times New Roman" w:eastAsia="方正仿宋_GBK" w:cs="Times New Roman"/>
          <w:sz w:val="28"/>
          <w:szCs w:val="24"/>
          <w:lang w:val="en-US" w:eastAsia="zh-CN" w:bidi="ar-SA"/>
        </w:rPr>
        <w:t>绩效指标：</w:t>
      </w:r>
      <w:r>
        <w:rPr>
          <w:rFonts w:hint="eastAsia" w:ascii="Times New Roman" w:hAnsi="Times New Roman" w:eastAsia="方正仿宋_GBK" w:cs="Times New Roman"/>
          <w:sz w:val="28"/>
          <w:szCs w:val="24"/>
          <w:lang w:val="en-US" w:eastAsia="uk-UA" w:bidi="ar-SA"/>
        </w:rPr>
        <w:t>提高办事服务效率</w:t>
      </w:r>
      <w:r>
        <w:rPr>
          <w:rFonts w:hint="eastAsia" w:ascii="Times New Roman" w:hAnsi="Times New Roman" w:eastAsia="方正仿宋_GBK" w:cs="Times New Roman"/>
          <w:sz w:val="28"/>
          <w:szCs w:val="24"/>
          <w:lang w:val="en-US" w:eastAsia="zh-CN" w:bidi="ar-SA"/>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bidi w:val="0"/>
        <w:ind w:firstLine="560" w:firstLineChars="2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 1、</w:t>
      </w:r>
      <w:r>
        <w:rPr>
          <w:rFonts w:hint="default" w:ascii="Times New Roman" w:hAnsi="Times New Roman" w:eastAsia="方正仿宋_GBK" w:cs="Times New Roman"/>
          <w:sz w:val="28"/>
          <w:szCs w:val="24"/>
          <w:lang w:val="en-US" w:eastAsia="uk-UA" w:bidi="ar-SA"/>
        </w:rPr>
        <w:t>完善制度建设。制定完善预算绩效管理制度、资金管理办法、工作保障制度等，为全年预算绩效目标的实现奠定制度基础。</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default" w:ascii="Times New Roman" w:hAnsi="Times New Roman" w:eastAsia="方正仿宋_GBK" w:cs="Times New Roman"/>
          <w:sz w:val="28"/>
          <w:szCs w:val="24"/>
          <w:lang w:val="en-US" w:eastAsia="uk-UA" w:bidi="ar-SA"/>
        </w:rPr>
        <w:t>加强支出管理。</w:t>
      </w:r>
      <w:r>
        <w:rPr>
          <w:rFonts w:hint="default" w:ascii="Times New Roman" w:hAnsi="Times New Roman" w:eastAsia="方正仿宋_GBK" w:cs="Times New Roman"/>
          <w:sz w:val="28"/>
          <w:szCs w:val="24"/>
          <w:lang w:val="en-US" w:eastAsia="zh-CN" w:bidi="ar-SA"/>
        </w:rPr>
        <w:t>通过</w:t>
      </w:r>
      <w:r>
        <w:rPr>
          <w:rFonts w:hint="default" w:ascii="Times New Roman" w:hAnsi="Times New Roman" w:eastAsia="方正仿宋_GBK" w:cs="Times New Roman"/>
          <w:sz w:val="28"/>
          <w:szCs w:val="24"/>
          <w:lang w:val="en-US" w:eastAsia="uk-UA" w:bidi="ar-SA"/>
        </w:rPr>
        <w:t>优化支出结构、编细编实预算、加快履行政府采购手续、尽快启动项目、及时支付资金。</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default" w:ascii="Times New Roman" w:hAnsi="Times New Roman" w:eastAsia="方正仿宋_GBK" w:cs="Times New Roman"/>
          <w:sz w:val="28"/>
          <w:szCs w:val="24"/>
          <w:lang w:val="en-US" w:eastAsia="uk-UA" w:bidi="ar-SA"/>
        </w:rPr>
        <w:t>加强绩效运行监控。按要求开展绩效运行监控，发现问题及时采取措施，确保绩效目标如期保质实现。</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default" w:ascii="Times New Roman" w:hAnsi="Times New Roman" w:eastAsia="方正仿宋_GBK" w:cs="Times New Roman"/>
          <w:sz w:val="28"/>
          <w:szCs w:val="24"/>
          <w:lang w:val="en-US" w:eastAsia="uk-UA" w:bidi="ar-SA"/>
        </w:rPr>
        <w:t>做好绩效自评。按要求开展上年度部门预算绩效评价工作，对评价中发现的问题及时整改，调整优化支出结构，提高财政资金使用效益。</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default" w:ascii="Times New Roman" w:hAnsi="Times New Roman" w:eastAsia="方正仿宋_GBK" w:cs="Times New Roman"/>
          <w:sz w:val="28"/>
          <w:szCs w:val="24"/>
          <w:lang w:val="en-US" w:eastAsia="uk-UA" w:bidi="ar-SA"/>
        </w:rPr>
        <w:t>规范财务资产管理。完善财务管理制度，做到支出合理，物尽其用。</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w:t>
      </w:r>
      <w:r>
        <w:rPr>
          <w:rFonts w:hint="default" w:ascii="Times New Roman" w:hAnsi="Times New Roman" w:eastAsia="方正仿宋_GBK" w:cs="Times New Roman"/>
          <w:sz w:val="28"/>
          <w:szCs w:val="24"/>
          <w:lang w:val="en-US" w:eastAsia="uk-UA" w:bidi="ar-SA"/>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7、</w:t>
      </w:r>
      <w:r>
        <w:rPr>
          <w:rFonts w:hint="default" w:ascii="Times New Roman" w:hAnsi="Times New Roman" w:eastAsia="方正仿宋_GBK" w:cs="Times New Roman"/>
          <w:sz w:val="28"/>
          <w:szCs w:val="24"/>
          <w:lang w:val="en-US" w:eastAsia="uk-UA" w:bidi="ar-SA"/>
        </w:rPr>
        <w:t>加强宣传培训调研。加强人员培训，提高</w:t>
      </w:r>
      <w:r>
        <w:rPr>
          <w:rFonts w:hint="eastAsia" w:ascii="Times New Roman" w:hAnsi="Times New Roman" w:eastAsia="方正仿宋_GBK" w:cs="Times New Roman"/>
          <w:sz w:val="28"/>
          <w:szCs w:val="24"/>
          <w:lang w:val="en-US" w:eastAsia="zh-CN" w:bidi="ar-SA"/>
        </w:rPr>
        <w:t>我单位</w:t>
      </w:r>
      <w:r>
        <w:rPr>
          <w:rFonts w:hint="default" w:ascii="Times New Roman" w:hAnsi="Times New Roman" w:eastAsia="方正仿宋_GBK" w:cs="Times New Roman"/>
          <w:sz w:val="28"/>
          <w:szCs w:val="24"/>
          <w:lang w:val="en-US" w:eastAsia="uk-UA" w:bidi="ar-SA"/>
        </w:rPr>
        <w:t>职工业务素质；加大宣传力度，强化预算绩效管理意识，促进预算绩效管理水平进一步提升。</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8、</w:t>
      </w:r>
      <w:r>
        <w:rPr>
          <w:rFonts w:hint="default" w:ascii="Times New Roman" w:hAnsi="Times New Roman" w:eastAsia="方正仿宋_GBK" w:cs="Times New Roman"/>
          <w:sz w:val="28"/>
          <w:szCs w:val="24"/>
          <w:lang w:val="en-US" w:eastAsia="uk-UA" w:bidi="ar-SA"/>
        </w:rPr>
        <w:t>加强预算执行管理。</w:t>
      </w:r>
      <w:r>
        <w:rPr>
          <w:rFonts w:hint="default" w:ascii="Times New Roman" w:hAnsi="Times New Roman" w:eastAsia="方正仿宋_GBK" w:cs="Times New Roman"/>
          <w:sz w:val="28"/>
          <w:szCs w:val="24"/>
          <w:lang w:val="en-US" w:eastAsia="zh-CN" w:bidi="ar-SA"/>
        </w:rPr>
        <w:t>牢固树立过“紧日子”思想，坚持</w:t>
      </w:r>
      <w:r>
        <w:rPr>
          <w:rFonts w:hint="default" w:ascii="Times New Roman" w:hAnsi="Times New Roman" w:eastAsia="方正仿宋_GBK" w:cs="Times New Roman"/>
          <w:sz w:val="28"/>
          <w:szCs w:val="24"/>
          <w:lang w:val="en-US" w:eastAsia="uk-UA" w:bidi="ar-SA"/>
        </w:rPr>
        <w:t>厉行节约，压减支出，统筹资金</w:t>
      </w:r>
      <w:r>
        <w:rPr>
          <w:rFonts w:hint="default" w:ascii="Times New Roman" w:hAnsi="Times New Roman" w:eastAsia="方正仿宋_GBK" w:cs="Times New Roman"/>
          <w:sz w:val="28"/>
          <w:szCs w:val="24"/>
          <w:lang w:val="en-US" w:eastAsia="zh-CN" w:bidi="ar-SA"/>
        </w:rPr>
        <w:t>用于做好“六稳”、“六保”工作</w:t>
      </w:r>
      <w:r>
        <w:rPr>
          <w:rFonts w:hint="default" w:ascii="Times New Roman" w:hAnsi="Times New Roman" w:eastAsia="方正仿宋_GBK" w:cs="Times New Roman"/>
          <w:sz w:val="28"/>
          <w:szCs w:val="24"/>
          <w:lang w:val="en-US" w:eastAsia="uk-UA" w:bidi="ar-SA"/>
        </w:rPr>
        <w:t>。强化部门支出责任，确保各项重点支出及时高效。</w:t>
      </w:r>
    </w:p>
    <w:p>
      <w:pPr>
        <w:bidi w:val="0"/>
        <w:ind w:firstLine="840" w:firstLineChars="300"/>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w:t>
      </w:r>
      <w:r>
        <w:rPr>
          <w:rFonts w:hint="default" w:ascii="Times New Roman" w:hAnsi="Times New Roman" w:eastAsia="方正仿宋_GBK" w:cs="Times New Roman"/>
          <w:sz w:val="28"/>
          <w:szCs w:val="24"/>
          <w:lang w:val="en-US" w:eastAsia="uk-UA" w:bidi="ar-SA"/>
        </w:rPr>
        <w:t>加大预算公开透明力度。进一步加强预算公开，规范预</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uk-UA" w:bidi="ar-SA"/>
        </w:rPr>
        <w:t>决算公开操作规程，严格落实公开要求，主动接受人大和社会监督，提资金使用管理透明度。</w:t>
      </w:r>
    </w:p>
    <w:p>
      <w:pPr>
        <w:pStyle w:val="25"/>
        <w:sectPr>
          <w:pgSz w:w="16840" w:h="11900" w:orient="landscape"/>
          <w:pgMar w:top="1361" w:right="1020" w:bottom="1361" w:left="1020" w:header="720" w:footer="720" w:gutter="0"/>
        </w:sectPr>
      </w:pPr>
      <w:r>
        <w:rPr>
          <w:rFonts w:hint="eastAsia" w:ascii="Times New Roman" w:hAnsi="Times New Roman" w:eastAsia="方正仿宋_GBK" w:cs="Times New Roman"/>
          <w:sz w:val="28"/>
          <w:szCs w:val="24"/>
          <w:lang w:val="en-US" w:eastAsia="zh-CN" w:bidi="ar-SA"/>
        </w:rPr>
        <w:t>10、</w:t>
      </w:r>
      <w:r>
        <w:rPr>
          <w:rFonts w:hint="default" w:ascii="Times New Roman" w:hAnsi="Times New Roman" w:eastAsia="方正仿宋_GBK" w:cs="Times New Roman"/>
          <w:sz w:val="28"/>
          <w:szCs w:val="24"/>
          <w:lang w:val="en-US" w:eastAsia="uk-UA" w:bidi="ar-SA"/>
        </w:rPr>
        <w:t>大力推进党风廉政建设。认真落实党风廉政</w:t>
      </w:r>
      <w:r>
        <w:rPr>
          <w:rFonts w:hint="eastAsia" w:ascii="Times New Roman" w:hAnsi="Times New Roman" w:eastAsia="方正仿宋_GBK" w:cs="Times New Roman"/>
          <w:sz w:val="28"/>
          <w:szCs w:val="24"/>
          <w:lang w:val="en-US" w:eastAsia="zh-CN" w:bidi="ar-SA"/>
        </w:rPr>
        <w:t>建设主体责任</w:t>
      </w:r>
      <w:r>
        <w:rPr>
          <w:rFonts w:hint="default" w:ascii="Times New Roman" w:hAnsi="Times New Roman" w:eastAsia="方正仿宋_GBK" w:cs="Times New Roman"/>
          <w:sz w:val="28"/>
          <w:szCs w:val="24"/>
          <w:lang w:val="en-US" w:eastAsia="uk-UA" w:bidi="ar-SA"/>
        </w:rPr>
        <w:t>，切实履行“一岗双责”。加强财政廉政风险控制，抓好财政内控制度落实，狠抓重点领域、关键岗位和重要环节，做到早发现、早提醒、早纠正。做到严于律己，自觉筑牢反腐倡廉思想防线。</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ind w:firstLine="1120" w:firstLineChars="400"/>
        <w:rPr>
          <w:rFonts w:ascii="黑体" w:hAnsi="黑体" w:eastAsia="黑体" w:cs="黑体"/>
          <w:color w:val="000000"/>
          <w:sz w:val="32"/>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无相关内容</w:t>
      </w:r>
    </w:p>
    <w:p>
      <w:pPr>
        <w:spacing w:before="10" w:after="10" w:line="360" w:lineRule="auto"/>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1、2023年度耕地资源质量分类年度更新与监测工作绩效目标表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13021224P00060110001A</w:t>
            </w:r>
          </w:p>
        </w:tc>
        <w:tc>
          <w:tcPr>
            <w:tcW w:w="2835" w:type="dxa"/>
            <w:vAlign w:val="center"/>
          </w:tcPr>
          <w:p>
            <w:pPr>
              <w:pStyle w:val="12"/>
            </w:pPr>
            <w:r>
              <w:t>项目名称</w:t>
            </w:r>
          </w:p>
        </w:tc>
        <w:tc>
          <w:tcPr>
            <w:tcW w:w="6095" w:type="dxa"/>
            <w:gridSpan w:val="3"/>
            <w:vAlign w:val="center"/>
          </w:tcPr>
          <w:p>
            <w:pPr>
              <w:pStyle w:val="14"/>
            </w:pPr>
            <w:r>
              <w:t>2023年度耕地资源质量分类年度更新与监测工作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用于拨付2023年度耕地资源质量分类年度更新与监测工作经费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30%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1.全面掌握年度内耕地现状变化及耕地质量建设引起的耕地质量变化情况，保护耕地质量分类数据的现势性，为落实耕地数量、质量、生态“三位一体”保护提供支撑。</w:t>
            </w:r>
          </w:p>
          <w:p>
            <w:pPr>
              <w:pStyle w:val="14"/>
            </w:pPr>
            <w:r>
              <w:t>2.全面掌握年度内耕地现状变化及耕地质量建设引起的耕地质量变化情况，保护耕地质量分类数据的现势性，为落实耕地数量、质量、生态“三位一体”保护提供支撑。</w:t>
            </w:r>
          </w:p>
          <w:p>
            <w:pPr>
              <w:pStyle w:val="14"/>
            </w:pPr>
            <w:r>
              <w:t>3.全面掌握年度内耕地现状变化及耕地质量建设引起的耕地质量变化情况，保护耕地质量分类数据的现势性，为落实耕地数量、质量、生态“三位一体”保护提供支撑。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编制县级耕地资源质量分类年度更新成果</w:t>
            </w:r>
          </w:p>
        </w:tc>
        <w:tc>
          <w:tcPr>
            <w:tcW w:w="5386" w:type="dxa"/>
            <w:vAlign w:val="center"/>
          </w:tcPr>
          <w:p>
            <w:pPr>
              <w:pStyle w:val="14"/>
            </w:pPr>
            <w:r>
              <w:t>通过10个耕地指标，分析县级耕地资源质量状况。</w:t>
            </w:r>
          </w:p>
        </w:tc>
        <w:tc>
          <w:tcPr>
            <w:tcW w:w="2268" w:type="dxa"/>
            <w:vAlign w:val="center"/>
          </w:tcPr>
          <w:p>
            <w:pPr>
              <w:pStyle w:val="14"/>
            </w:pPr>
            <w:r>
              <w:t>10个</w:t>
            </w:r>
          </w:p>
        </w:tc>
        <w:tc>
          <w:tcPr>
            <w:tcW w:w="1276" w:type="dxa"/>
            <w:vAlign w:val="center"/>
          </w:tcPr>
          <w:p>
            <w:pPr>
              <w:pStyle w:val="14"/>
            </w:pPr>
            <w:r>
              <w:t>根据《河北省耕地资源质量质量分类年度更新与监测工作实施方案（2023年度适用》中确定10个指标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5386" w:type="dxa"/>
            <w:vAlign w:val="center"/>
          </w:tcPr>
          <w:p>
            <w:pPr>
              <w:pStyle w:val="14"/>
            </w:pPr>
            <w:r>
              <w:t>已通过省级审核</w:t>
            </w:r>
          </w:p>
        </w:tc>
        <w:tc>
          <w:tcPr>
            <w:tcW w:w="2268" w:type="dxa"/>
            <w:vAlign w:val="center"/>
          </w:tcPr>
          <w:p>
            <w:pPr>
              <w:pStyle w:val="14"/>
            </w:pPr>
            <w:r>
              <w:t>100%</w:t>
            </w:r>
          </w:p>
        </w:tc>
        <w:tc>
          <w:tcPr>
            <w:tcW w:w="1276" w:type="dxa"/>
            <w:vAlign w:val="center"/>
          </w:tcPr>
          <w:p>
            <w:pPr>
              <w:pStyle w:val="14"/>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5386" w:type="dxa"/>
            <w:vAlign w:val="center"/>
          </w:tcPr>
          <w:p>
            <w:pPr>
              <w:pStyle w:val="14"/>
            </w:pPr>
            <w:r>
              <w:t>根据工作计划在规定时间内提交成果</w:t>
            </w:r>
          </w:p>
        </w:tc>
        <w:tc>
          <w:tcPr>
            <w:tcW w:w="2268" w:type="dxa"/>
            <w:vAlign w:val="center"/>
          </w:tcPr>
          <w:p>
            <w:pPr>
              <w:pStyle w:val="14"/>
            </w:pPr>
            <w:r>
              <w:t>2025年度12月31日前</w:t>
            </w:r>
          </w:p>
        </w:tc>
        <w:tc>
          <w:tcPr>
            <w:tcW w:w="1276" w:type="dxa"/>
            <w:vAlign w:val="center"/>
          </w:tcPr>
          <w:p>
            <w:pPr>
              <w:pStyle w:val="14"/>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5386" w:type="dxa"/>
            <w:vAlign w:val="center"/>
          </w:tcPr>
          <w:p>
            <w:pPr>
              <w:pStyle w:val="14"/>
            </w:pPr>
            <w:r>
              <w:t>实际支出占预算的百分比</w:t>
            </w:r>
          </w:p>
        </w:tc>
        <w:tc>
          <w:tcPr>
            <w:tcW w:w="2268" w:type="dxa"/>
            <w:vAlign w:val="center"/>
          </w:tcPr>
          <w:p>
            <w:pPr>
              <w:pStyle w:val="14"/>
            </w:pPr>
            <w:r>
              <w:t>≥95%</w:t>
            </w:r>
          </w:p>
        </w:tc>
        <w:tc>
          <w:tcPr>
            <w:tcW w:w="1276" w:type="dxa"/>
            <w:vAlign w:val="center"/>
          </w:tcPr>
          <w:p>
            <w:pPr>
              <w:pStyle w:val="14"/>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形成完整的县级耕地资源分类成果</w:t>
            </w:r>
          </w:p>
        </w:tc>
        <w:tc>
          <w:tcPr>
            <w:tcW w:w="5386" w:type="dxa"/>
            <w:vAlign w:val="center"/>
          </w:tcPr>
          <w:p>
            <w:pPr>
              <w:pStyle w:val="14"/>
            </w:pPr>
            <w:r>
              <w:t>形成县级耕地资源质量分类年度分析报告，建立成果数据库。</w:t>
            </w:r>
          </w:p>
        </w:tc>
        <w:tc>
          <w:tcPr>
            <w:tcW w:w="2268" w:type="dxa"/>
            <w:vAlign w:val="center"/>
          </w:tcPr>
          <w:p>
            <w:pPr>
              <w:pStyle w:val="14"/>
            </w:pPr>
            <w:r>
              <w:t>形成成果</w:t>
            </w:r>
          </w:p>
        </w:tc>
        <w:tc>
          <w:tcPr>
            <w:tcW w:w="1276" w:type="dxa"/>
            <w:vAlign w:val="center"/>
          </w:tcPr>
          <w:p>
            <w:pPr>
              <w:pStyle w:val="14"/>
            </w:pPr>
            <w:r>
              <w:t>根据《河北省耕地资源质量质量分类年度更新与监测工作实施方案（2023年度适用》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耕地数量、质量、生态“三位一体”保护</w:t>
            </w:r>
          </w:p>
        </w:tc>
        <w:tc>
          <w:tcPr>
            <w:tcW w:w="5386" w:type="dxa"/>
            <w:vAlign w:val="center"/>
          </w:tcPr>
          <w:p>
            <w:pPr>
              <w:pStyle w:val="14"/>
            </w:pPr>
            <w:r>
              <w:t>为落实耕地数量、质量、生态“三位一体”保护提供支撑</w:t>
            </w:r>
          </w:p>
        </w:tc>
        <w:tc>
          <w:tcPr>
            <w:tcW w:w="2268" w:type="dxa"/>
            <w:vAlign w:val="center"/>
          </w:tcPr>
          <w:p>
            <w:pPr>
              <w:pStyle w:val="14"/>
            </w:pPr>
            <w:r>
              <w:t>有效保护</w:t>
            </w:r>
          </w:p>
        </w:tc>
        <w:tc>
          <w:tcPr>
            <w:tcW w:w="1276" w:type="dxa"/>
            <w:vAlign w:val="center"/>
          </w:tcPr>
          <w:p>
            <w:pPr>
              <w:pStyle w:val="14"/>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《河北省自然资源厅关于开展2023年度耕地资源质量分类年度更新与监测工作的通知》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2、补偿款绩效目标表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13021225P00000410002Y</w:t>
            </w:r>
          </w:p>
        </w:tc>
        <w:tc>
          <w:tcPr>
            <w:tcW w:w="2835" w:type="dxa"/>
            <w:vAlign w:val="center"/>
          </w:tcPr>
          <w:p>
            <w:pPr>
              <w:pStyle w:val="12"/>
            </w:pPr>
            <w:r>
              <w:t>项目名称</w:t>
            </w:r>
          </w:p>
        </w:tc>
        <w:tc>
          <w:tcPr>
            <w:tcW w:w="6095" w:type="dxa"/>
            <w:gridSpan w:val="3"/>
            <w:vAlign w:val="center"/>
          </w:tcPr>
          <w:p>
            <w:pPr>
              <w:pStyle w:val="14"/>
            </w:pPr>
            <w:r>
              <w:t>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29474.06</w:t>
            </w:r>
          </w:p>
        </w:tc>
        <w:tc>
          <w:tcPr>
            <w:tcW w:w="2835" w:type="dxa"/>
            <w:vAlign w:val="center"/>
          </w:tcPr>
          <w:p>
            <w:pPr>
              <w:pStyle w:val="12"/>
            </w:pPr>
            <w:r>
              <w:t>其中：财政    资金</w:t>
            </w:r>
          </w:p>
        </w:tc>
        <w:tc>
          <w:tcPr>
            <w:tcW w:w="2551" w:type="dxa"/>
            <w:vAlign w:val="center"/>
          </w:tcPr>
          <w:p>
            <w:pPr>
              <w:pStyle w:val="14"/>
            </w:pPr>
            <w:r>
              <w:t>29474.06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用于拨付补偿款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1.按程序完成土地收储工作，为开发区项目建设提供用地保障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收储面积</w:t>
            </w:r>
          </w:p>
        </w:tc>
        <w:tc>
          <w:tcPr>
            <w:tcW w:w="5386" w:type="dxa"/>
            <w:vAlign w:val="center"/>
          </w:tcPr>
          <w:p>
            <w:pPr>
              <w:pStyle w:val="14"/>
            </w:pPr>
            <w:r>
              <w:t>收储土地及地上附着物</w:t>
            </w:r>
          </w:p>
        </w:tc>
        <w:tc>
          <w:tcPr>
            <w:tcW w:w="2268" w:type="dxa"/>
            <w:vAlign w:val="center"/>
          </w:tcPr>
          <w:p>
            <w:pPr>
              <w:pStyle w:val="14"/>
            </w:pPr>
            <w:r>
              <w:t>2992.65亩</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按约定拨付补偿款</w:t>
            </w:r>
          </w:p>
        </w:tc>
        <w:tc>
          <w:tcPr>
            <w:tcW w:w="5386" w:type="dxa"/>
            <w:vAlign w:val="center"/>
          </w:tcPr>
          <w:p>
            <w:pPr>
              <w:pStyle w:val="14"/>
            </w:pPr>
            <w:r>
              <w:t>达到条件，向区财政申请拨付补偿款</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项目资金拨付</w:t>
            </w:r>
          </w:p>
        </w:tc>
        <w:tc>
          <w:tcPr>
            <w:tcW w:w="5386" w:type="dxa"/>
            <w:vAlign w:val="center"/>
          </w:tcPr>
          <w:p>
            <w:pPr>
              <w:pStyle w:val="14"/>
            </w:pPr>
            <w:r>
              <w:t>区财政审核无误后，及时拨付补偿款</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土地补偿价格</w:t>
            </w:r>
          </w:p>
        </w:tc>
        <w:tc>
          <w:tcPr>
            <w:tcW w:w="5386" w:type="dxa"/>
            <w:vAlign w:val="center"/>
          </w:tcPr>
          <w:p>
            <w:pPr>
              <w:pStyle w:val="14"/>
            </w:pPr>
            <w:r>
              <w:t>按照评估结果确定土地补偿价格</w:t>
            </w:r>
          </w:p>
        </w:tc>
        <w:tc>
          <w:tcPr>
            <w:tcW w:w="2268" w:type="dxa"/>
            <w:vAlign w:val="center"/>
          </w:tcPr>
          <w:p>
            <w:pPr>
              <w:pStyle w:val="14"/>
            </w:pPr>
            <w:r>
              <w:t>30000万元</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加快全区经济建设</w:t>
            </w:r>
          </w:p>
        </w:tc>
        <w:tc>
          <w:tcPr>
            <w:tcW w:w="5386" w:type="dxa"/>
            <w:vAlign w:val="center"/>
          </w:tcPr>
          <w:p>
            <w:pPr>
              <w:pStyle w:val="14"/>
            </w:pPr>
            <w:r>
              <w:t>为海港区项目建设提供用地保证，增加财政收入</w:t>
            </w:r>
          </w:p>
        </w:tc>
        <w:tc>
          <w:tcPr>
            <w:tcW w:w="2268" w:type="dxa"/>
            <w:vAlign w:val="center"/>
          </w:tcPr>
          <w:p>
            <w:pPr>
              <w:pStyle w:val="14"/>
            </w:pPr>
            <w:r>
              <w:t>长期</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盘活土地，有效带动全区发展</w:t>
            </w:r>
          </w:p>
        </w:tc>
        <w:tc>
          <w:tcPr>
            <w:tcW w:w="5386" w:type="dxa"/>
            <w:vAlign w:val="center"/>
          </w:tcPr>
          <w:p>
            <w:pPr>
              <w:pStyle w:val="14"/>
            </w:pPr>
            <w:r>
              <w:t>为土地出让提供保障</w:t>
            </w:r>
          </w:p>
        </w:tc>
        <w:tc>
          <w:tcPr>
            <w:tcW w:w="2268" w:type="dxa"/>
            <w:vAlign w:val="center"/>
          </w:tcPr>
          <w:p>
            <w:pPr>
              <w:pStyle w:val="14"/>
            </w:pPr>
            <w:r>
              <w:t>长期</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生态平衡</w:t>
            </w:r>
          </w:p>
        </w:tc>
        <w:tc>
          <w:tcPr>
            <w:tcW w:w="5386" w:type="dxa"/>
            <w:vAlign w:val="center"/>
          </w:tcPr>
          <w:p>
            <w:pPr>
              <w:pStyle w:val="14"/>
            </w:pPr>
            <w:r>
              <w:t>有利于强化自然资源管理秩序，优化土地资源配置</w:t>
            </w:r>
          </w:p>
        </w:tc>
        <w:tc>
          <w:tcPr>
            <w:tcW w:w="2268" w:type="dxa"/>
            <w:vAlign w:val="center"/>
          </w:tcPr>
          <w:p>
            <w:pPr>
              <w:pStyle w:val="14"/>
            </w:pPr>
            <w:r>
              <w:t>长期</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走向市场化，切实维护企业利益</w:t>
            </w:r>
          </w:p>
        </w:tc>
        <w:tc>
          <w:tcPr>
            <w:tcW w:w="5386" w:type="dxa"/>
            <w:vAlign w:val="center"/>
          </w:tcPr>
          <w:p>
            <w:pPr>
              <w:pStyle w:val="14"/>
            </w:pPr>
            <w:r>
              <w:t>增加本区可供出让土地面积</w:t>
            </w:r>
          </w:p>
        </w:tc>
        <w:tc>
          <w:tcPr>
            <w:tcW w:w="2268" w:type="dxa"/>
            <w:vAlign w:val="center"/>
          </w:tcPr>
          <w:p>
            <w:pPr>
              <w:pStyle w:val="14"/>
            </w:pPr>
            <w:r>
              <w:t>长期</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被收储单位的满意度</w:t>
            </w:r>
          </w:p>
        </w:tc>
        <w:tc>
          <w:tcPr>
            <w:tcW w:w="5386" w:type="dxa"/>
            <w:vAlign w:val="center"/>
          </w:tcPr>
          <w:p>
            <w:pPr>
              <w:pStyle w:val="14"/>
            </w:pPr>
            <w:r>
              <w:t>被收储单位的满意度</w:t>
            </w:r>
          </w:p>
        </w:tc>
        <w:tc>
          <w:tcPr>
            <w:tcW w:w="2268" w:type="dxa"/>
            <w:vAlign w:val="center"/>
          </w:tcPr>
          <w:p>
            <w:pPr>
              <w:pStyle w:val="14"/>
            </w:pPr>
            <w:r>
              <w:t>≥95%</w:t>
            </w:r>
          </w:p>
        </w:tc>
        <w:tc>
          <w:tcPr>
            <w:tcW w:w="127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3、缴纳2023年度耕地保护考核奖惩基金绩效目标表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13021225P00005310001R</w:t>
            </w:r>
          </w:p>
        </w:tc>
        <w:tc>
          <w:tcPr>
            <w:tcW w:w="2835" w:type="dxa"/>
            <w:vAlign w:val="center"/>
          </w:tcPr>
          <w:p>
            <w:pPr>
              <w:pStyle w:val="12"/>
            </w:pPr>
            <w:r>
              <w:t>项目名称</w:t>
            </w:r>
          </w:p>
        </w:tc>
        <w:tc>
          <w:tcPr>
            <w:tcW w:w="6095" w:type="dxa"/>
            <w:gridSpan w:val="3"/>
            <w:vAlign w:val="center"/>
          </w:tcPr>
          <w:p>
            <w:pPr>
              <w:pStyle w:val="14"/>
            </w:pPr>
            <w:r>
              <w:t>缴纳2023年度耕地保护考核奖惩基金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525.94</w:t>
            </w:r>
          </w:p>
        </w:tc>
        <w:tc>
          <w:tcPr>
            <w:tcW w:w="2835" w:type="dxa"/>
            <w:vAlign w:val="center"/>
          </w:tcPr>
          <w:p>
            <w:pPr>
              <w:pStyle w:val="12"/>
            </w:pPr>
            <w:r>
              <w:t>其中：财政    资金</w:t>
            </w:r>
          </w:p>
        </w:tc>
        <w:tc>
          <w:tcPr>
            <w:tcW w:w="2551" w:type="dxa"/>
            <w:vAlign w:val="center"/>
          </w:tcPr>
          <w:p>
            <w:pPr>
              <w:pStyle w:val="14"/>
            </w:pPr>
            <w:r>
              <w:t>525.94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用于缴纳2023年度耕地保护考核奖惩基金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1.及时缴纳2023年度耕地保护考核奖惩基金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项目预期目标完成情况</w:t>
            </w:r>
          </w:p>
        </w:tc>
        <w:tc>
          <w:tcPr>
            <w:tcW w:w="5386" w:type="dxa"/>
            <w:vAlign w:val="center"/>
          </w:tcPr>
          <w:p>
            <w:pPr>
              <w:pStyle w:val="14"/>
            </w:pPr>
            <w:r>
              <w:t>项目预期目标完成情况</w:t>
            </w:r>
          </w:p>
        </w:tc>
        <w:tc>
          <w:tcPr>
            <w:tcW w:w="2268" w:type="dxa"/>
            <w:vAlign w:val="center"/>
          </w:tcPr>
          <w:p>
            <w:pPr>
              <w:pStyle w:val="14"/>
            </w:pPr>
            <w:r>
              <w:t>完成</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足额缴纳罚款</w:t>
            </w:r>
          </w:p>
        </w:tc>
        <w:tc>
          <w:tcPr>
            <w:tcW w:w="5386" w:type="dxa"/>
            <w:vAlign w:val="center"/>
          </w:tcPr>
          <w:p>
            <w:pPr>
              <w:pStyle w:val="14"/>
            </w:pPr>
            <w:r>
              <w:t>足额缴纳罚款</w:t>
            </w:r>
          </w:p>
        </w:tc>
        <w:tc>
          <w:tcPr>
            <w:tcW w:w="2268" w:type="dxa"/>
            <w:vAlign w:val="center"/>
          </w:tcPr>
          <w:p>
            <w:pPr>
              <w:pStyle w:val="14"/>
            </w:pPr>
            <w:r>
              <w:t>100%</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项目预期目标完成及时性</w:t>
            </w:r>
          </w:p>
        </w:tc>
        <w:tc>
          <w:tcPr>
            <w:tcW w:w="5386" w:type="dxa"/>
            <w:vAlign w:val="center"/>
          </w:tcPr>
          <w:p>
            <w:pPr>
              <w:pStyle w:val="14"/>
            </w:pPr>
            <w:r>
              <w:t>项目预期目标完成及时性</w:t>
            </w:r>
          </w:p>
        </w:tc>
        <w:tc>
          <w:tcPr>
            <w:tcW w:w="2268" w:type="dxa"/>
            <w:vAlign w:val="center"/>
          </w:tcPr>
          <w:p>
            <w:pPr>
              <w:pStyle w:val="14"/>
            </w:pPr>
            <w:r>
              <w:t>及时</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100%</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对全区经济发展贡献</w:t>
            </w:r>
          </w:p>
        </w:tc>
        <w:tc>
          <w:tcPr>
            <w:tcW w:w="5386" w:type="dxa"/>
            <w:vAlign w:val="center"/>
          </w:tcPr>
          <w:p>
            <w:pPr>
              <w:pStyle w:val="14"/>
            </w:pPr>
            <w:r>
              <w:t>对全区经济发展贡献</w:t>
            </w:r>
          </w:p>
        </w:tc>
        <w:tc>
          <w:tcPr>
            <w:tcW w:w="2268" w:type="dxa"/>
            <w:vAlign w:val="center"/>
          </w:tcPr>
          <w:p>
            <w:pPr>
              <w:pStyle w:val="14"/>
            </w:pPr>
            <w:r>
              <w:t>显著</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项目实施社会影响力</w:t>
            </w:r>
          </w:p>
        </w:tc>
        <w:tc>
          <w:tcPr>
            <w:tcW w:w="5386" w:type="dxa"/>
            <w:vAlign w:val="center"/>
          </w:tcPr>
          <w:p>
            <w:pPr>
              <w:pStyle w:val="14"/>
            </w:pPr>
            <w:r>
              <w:t>项目实施社会影响力</w:t>
            </w:r>
          </w:p>
        </w:tc>
        <w:tc>
          <w:tcPr>
            <w:tcW w:w="2268" w:type="dxa"/>
            <w:vAlign w:val="center"/>
          </w:tcPr>
          <w:p>
            <w:pPr>
              <w:pStyle w:val="14"/>
            </w:pPr>
            <w:r>
              <w:t>显著</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有效促进自然资源生态保护</w:t>
            </w:r>
          </w:p>
        </w:tc>
        <w:tc>
          <w:tcPr>
            <w:tcW w:w="5386" w:type="dxa"/>
            <w:vAlign w:val="center"/>
          </w:tcPr>
          <w:p>
            <w:pPr>
              <w:pStyle w:val="14"/>
            </w:pPr>
            <w:r>
              <w:t>有效促进自然资源生态保护</w:t>
            </w:r>
          </w:p>
        </w:tc>
        <w:tc>
          <w:tcPr>
            <w:tcW w:w="2268" w:type="dxa"/>
            <w:vAlign w:val="center"/>
          </w:tcPr>
          <w:p>
            <w:pPr>
              <w:pStyle w:val="14"/>
            </w:pPr>
            <w:r>
              <w:t>显著</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≥0.9%</w:t>
            </w:r>
          </w:p>
        </w:tc>
        <w:tc>
          <w:tcPr>
            <w:tcW w:w="1276" w:type="dxa"/>
            <w:vAlign w:val="center"/>
          </w:tcPr>
          <w:p>
            <w:pPr>
              <w:pStyle w:val="14"/>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≥0.9%</w:t>
            </w:r>
          </w:p>
        </w:tc>
        <w:tc>
          <w:tcPr>
            <w:tcW w:w="1276" w:type="dxa"/>
            <w:vAlign w:val="center"/>
          </w:tcPr>
          <w:p>
            <w:pPr>
              <w:pStyle w:val="14"/>
            </w:pPr>
            <w:r>
              <w:t>根据年初工作计划安排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4、劳务派遣人员工资绩效目标表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13021225P000002100037</w:t>
            </w:r>
          </w:p>
        </w:tc>
        <w:tc>
          <w:tcPr>
            <w:tcW w:w="2835" w:type="dxa"/>
            <w:vAlign w:val="center"/>
          </w:tcPr>
          <w:p>
            <w:pPr>
              <w:pStyle w:val="12"/>
            </w:pPr>
            <w:r>
              <w:t>项目名称</w:t>
            </w:r>
          </w:p>
        </w:tc>
        <w:tc>
          <w:tcPr>
            <w:tcW w:w="6095" w:type="dxa"/>
            <w:gridSpan w:val="3"/>
            <w:vAlign w:val="center"/>
          </w:tcPr>
          <w:p>
            <w:pPr>
              <w:pStyle w:val="14"/>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465.00</w:t>
            </w:r>
          </w:p>
        </w:tc>
        <w:tc>
          <w:tcPr>
            <w:tcW w:w="2835" w:type="dxa"/>
            <w:vAlign w:val="center"/>
          </w:tcPr>
          <w:p>
            <w:pPr>
              <w:pStyle w:val="12"/>
            </w:pPr>
            <w:r>
              <w:t>其中：财政    资金</w:t>
            </w:r>
          </w:p>
        </w:tc>
        <w:tc>
          <w:tcPr>
            <w:tcW w:w="2551" w:type="dxa"/>
            <w:vAlign w:val="center"/>
          </w:tcPr>
          <w:p>
            <w:pPr>
              <w:pStyle w:val="14"/>
            </w:pPr>
            <w:r>
              <w:t>465.00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用于拨付派遣人员工资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1.保障单位劳务派遣人员用工需要及劳务派遣人员的工资保险等。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提高安全性保障</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5、自然资源管理工作经费绩效目标表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13021225P000003100029</w:t>
            </w:r>
          </w:p>
        </w:tc>
        <w:tc>
          <w:tcPr>
            <w:tcW w:w="2835" w:type="dxa"/>
            <w:vAlign w:val="center"/>
          </w:tcPr>
          <w:p>
            <w:pPr>
              <w:pStyle w:val="12"/>
            </w:pPr>
            <w:r>
              <w:t>项目名称</w:t>
            </w:r>
          </w:p>
        </w:tc>
        <w:tc>
          <w:tcPr>
            <w:tcW w:w="6095" w:type="dxa"/>
            <w:gridSpan w:val="3"/>
            <w:vAlign w:val="center"/>
          </w:tcPr>
          <w:p>
            <w:pPr>
              <w:pStyle w:val="14"/>
            </w:pPr>
            <w:r>
              <w:t>自然资源管理工作经费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用于支付自然资源管理工作经费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1.根据自然资源和规划管理工作安排支出，保障自然资源和规划管理工作及时完成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项目预期目标完成情况</w:t>
            </w:r>
          </w:p>
        </w:tc>
        <w:tc>
          <w:tcPr>
            <w:tcW w:w="5386" w:type="dxa"/>
            <w:vAlign w:val="center"/>
          </w:tcPr>
          <w:p>
            <w:pPr>
              <w:pStyle w:val="14"/>
            </w:pPr>
            <w:r>
              <w:t>项目预期目标完成情况</w:t>
            </w:r>
          </w:p>
        </w:tc>
        <w:tc>
          <w:tcPr>
            <w:tcW w:w="2268" w:type="dxa"/>
            <w:vAlign w:val="center"/>
          </w:tcPr>
          <w:p>
            <w:pPr>
              <w:pStyle w:val="14"/>
            </w:pPr>
            <w:r>
              <w:t>完成</w:t>
            </w:r>
          </w:p>
        </w:tc>
        <w:tc>
          <w:tcPr>
            <w:tcW w:w="1276" w:type="dxa"/>
            <w:vAlign w:val="center"/>
          </w:tcPr>
          <w:p>
            <w:pPr>
              <w:pStyle w:val="14"/>
            </w:pPr>
            <w:r>
              <w:t>项目预期目标完成情况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5386" w:type="dxa"/>
            <w:vAlign w:val="center"/>
          </w:tcPr>
          <w:p>
            <w:pPr>
              <w:pStyle w:val="14"/>
            </w:pPr>
            <w:r>
              <w:t>项目验收通过率</w:t>
            </w:r>
          </w:p>
        </w:tc>
        <w:tc>
          <w:tcPr>
            <w:tcW w:w="2268" w:type="dxa"/>
            <w:vAlign w:val="center"/>
          </w:tcPr>
          <w:p>
            <w:pPr>
              <w:pStyle w:val="14"/>
            </w:pPr>
            <w:r>
              <w:t>≥80%</w:t>
            </w:r>
          </w:p>
        </w:tc>
        <w:tc>
          <w:tcPr>
            <w:tcW w:w="1276" w:type="dxa"/>
            <w:vAlign w:val="center"/>
          </w:tcPr>
          <w:p>
            <w:pPr>
              <w:pStyle w:val="14"/>
            </w:pPr>
            <w:r>
              <w:t>项目验收通过率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项目预期目标完成及时性</w:t>
            </w:r>
          </w:p>
        </w:tc>
        <w:tc>
          <w:tcPr>
            <w:tcW w:w="5386" w:type="dxa"/>
            <w:vAlign w:val="center"/>
          </w:tcPr>
          <w:p>
            <w:pPr>
              <w:pStyle w:val="14"/>
            </w:pPr>
            <w:r>
              <w:t>项目预期目标完成及时性</w:t>
            </w:r>
          </w:p>
        </w:tc>
        <w:tc>
          <w:tcPr>
            <w:tcW w:w="2268" w:type="dxa"/>
            <w:vAlign w:val="center"/>
          </w:tcPr>
          <w:p>
            <w:pPr>
              <w:pStyle w:val="14"/>
            </w:pPr>
            <w:r>
              <w:t>及时</w:t>
            </w:r>
          </w:p>
        </w:tc>
        <w:tc>
          <w:tcPr>
            <w:tcW w:w="1276" w:type="dxa"/>
            <w:vAlign w:val="center"/>
          </w:tcPr>
          <w:p>
            <w:pPr>
              <w:pStyle w:val="14"/>
            </w:pPr>
            <w:r>
              <w:t>项目预期目标完成及时性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符合相关价格成本标准</w:t>
            </w:r>
          </w:p>
        </w:tc>
        <w:tc>
          <w:tcPr>
            <w:tcW w:w="5386" w:type="dxa"/>
            <w:vAlign w:val="center"/>
          </w:tcPr>
          <w:p>
            <w:pPr>
              <w:pStyle w:val="14"/>
            </w:pPr>
            <w:r>
              <w:t>符合相关价格成本标准</w:t>
            </w:r>
          </w:p>
        </w:tc>
        <w:tc>
          <w:tcPr>
            <w:tcW w:w="2268" w:type="dxa"/>
            <w:vAlign w:val="center"/>
          </w:tcPr>
          <w:p>
            <w:pPr>
              <w:pStyle w:val="14"/>
            </w:pPr>
            <w:r>
              <w:t>符合</w:t>
            </w:r>
          </w:p>
        </w:tc>
        <w:tc>
          <w:tcPr>
            <w:tcW w:w="1276" w:type="dxa"/>
            <w:vAlign w:val="center"/>
          </w:tcPr>
          <w:p>
            <w:pPr>
              <w:pStyle w:val="14"/>
            </w:pPr>
            <w:r>
              <w:t>符合相关价格成本标准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对全区经济发展贡献</w:t>
            </w:r>
          </w:p>
        </w:tc>
        <w:tc>
          <w:tcPr>
            <w:tcW w:w="5386" w:type="dxa"/>
            <w:vAlign w:val="center"/>
          </w:tcPr>
          <w:p>
            <w:pPr>
              <w:pStyle w:val="14"/>
            </w:pPr>
            <w:r>
              <w:t>对全区经济发展贡献</w:t>
            </w:r>
          </w:p>
        </w:tc>
        <w:tc>
          <w:tcPr>
            <w:tcW w:w="2268" w:type="dxa"/>
            <w:vAlign w:val="center"/>
          </w:tcPr>
          <w:p>
            <w:pPr>
              <w:pStyle w:val="14"/>
            </w:pPr>
            <w:r>
              <w:t>显著</w:t>
            </w:r>
          </w:p>
        </w:tc>
        <w:tc>
          <w:tcPr>
            <w:tcW w:w="1276" w:type="dxa"/>
            <w:vAlign w:val="center"/>
          </w:tcPr>
          <w:p>
            <w:pPr>
              <w:pStyle w:val="14"/>
            </w:pPr>
            <w:r>
              <w:t>对全区经济发展贡献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项目实施社会影响力</w:t>
            </w:r>
          </w:p>
        </w:tc>
        <w:tc>
          <w:tcPr>
            <w:tcW w:w="5386" w:type="dxa"/>
            <w:vAlign w:val="center"/>
          </w:tcPr>
          <w:p>
            <w:pPr>
              <w:pStyle w:val="14"/>
            </w:pPr>
            <w:r>
              <w:t>项目实施社会影响力</w:t>
            </w:r>
          </w:p>
        </w:tc>
        <w:tc>
          <w:tcPr>
            <w:tcW w:w="2268" w:type="dxa"/>
            <w:vAlign w:val="center"/>
          </w:tcPr>
          <w:p>
            <w:pPr>
              <w:pStyle w:val="14"/>
            </w:pPr>
            <w:r>
              <w:t>显著</w:t>
            </w:r>
          </w:p>
        </w:tc>
        <w:tc>
          <w:tcPr>
            <w:tcW w:w="1276" w:type="dxa"/>
            <w:vAlign w:val="center"/>
          </w:tcPr>
          <w:p>
            <w:pPr>
              <w:pStyle w:val="14"/>
            </w:pPr>
            <w:r>
              <w:t>项目实施社会影响力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有效促进自然资源生态保护</w:t>
            </w:r>
          </w:p>
        </w:tc>
        <w:tc>
          <w:tcPr>
            <w:tcW w:w="5386" w:type="dxa"/>
            <w:vAlign w:val="center"/>
          </w:tcPr>
          <w:p>
            <w:pPr>
              <w:pStyle w:val="14"/>
            </w:pPr>
            <w:r>
              <w:t>有效促进自然资源生态保护</w:t>
            </w:r>
          </w:p>
        </w:tc>
        <w:tc>
          <w:tcPr>
            <w:tcW w:w="2268" w:type="dxa"/>
            <w:vAlign w:val="center"/>
          </w:tcPr>
          <w:p>
            <w:pPr>
              <w:pStyle w:val="14"/>
            </w:pPr>
            <w:r>
              <w:t>显著</w:t>
            </w:r>
          </w:p>
        </w:tc>
        <w:tc>
          <w:tcPr>
            <w:tcW w:w="1276" w:type="dxa"/>
            <w:vAlign w:val="center"/>
          </w:tcPr>
          <w:p>
            <w:pPr>
              <w:pStyle w:val="14"/>
            </w:pPr>
            <w:r>
              <w:t>有效促进自然资源生态保护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5386" w:type="dxa"/>
            <w:vAlign w:val="center"/>
          </w:tcPr>
          <w:p>
            <w:pPr>
              <w:pStyle w:val="14"/>
            </w:pPr>
            <w:r>
              <w:t>综合利用率</w:t>
            </w:r>
          </w:p>
        </w:tc>
        <w:tc>
          <w:tcPr>
            <w:tcW w:w="2268" w:type="dxa"/>
            <w:vAlign w:val="center"/>
          </w:tcPr>
          <w:p>
            <w:pPr>
              <w:pStyle w:val="14"/>
            </w:pPr>
            <w:r>
              <w:t>≥90%</w:t>
            </w:r>
          </w:p>
        </w:tc>
        <w:tc>
          <w:tcPr>
            <w:tcW w:w="1276" w:type="dxa"/>
            <w:vAlign w:val="center"/>
          </w:tcPr>
          <w:p>
            <w:pPr>
              <w:pStyle w:val="14"/>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受益群体满意度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6、自然资源日常管理工作经费绩效目标表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13021225P00000110002X</w:t>
            </w:r>
          </w:p>
        </w:tc>
        <w:tc>
          <w:tcPr>
            <w:tcW w:w="2835" w:type="dxa"/>
            <w:vAlign w:val="center"/>
          </w:tcPr>
          <w:p>
            <w:pPr>
              <w:pStyle w:val="12"/>
            </w:pPr>
            <w:r>
              <w:t>项目名称</w:t>
            </w:r>
          </w:p>
        </w:tc>
        <w:tc>
          <w:tcPr>
            <w:tcW w:w="6095" w:type="dxa"/>
            <w:gridSpan w:val="3"/>
            <w:vAlign w:val="center"/>
          </w:tcPr>
          <w:p>
            <w:pPr>
              <w:pStyle w:val="14"/>
            </w:pPr>
            <w:r>
              <w:t>自然资源日常管理工作经费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及时拨付自然资源日常管理工作经费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1.做好日常经费支出，保障单位正常运行。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日常经费执行率</w:t>
            </w:r>
          </w:p>
        </w:tc>
        <w:tc>
          <w:tcPr>
            <w:tcW w:w="5386" w:type="dxa"/>
            <w:vAlign w:val="center"/>
          </w:tcPr>
          <w:p>
            <w:pPr>
              <w:pStyle w:val="14"/>
            </w:pPr>
            <w:r>
              <w:t>日常经费执行率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保障工作正常运转率</w:t>
            </w:r>
          </w:p>
        </w:tc>
        <w:tc>
          <w:tcPr>
            <w:tcW w:w="5386" w:type="dxa"/>
            <w:vAlign w:val="center"/>
          </w:tcPr>
          <w:p>
            <w:pPr>
              <w:pStyle w:val="14"/>
            </w:pPr>
            <w:r>
              <w:t>保障工作正常运转率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5386" w:type="dxa"/>
            <w:vAlign w:val="center"/>
          </w:tcPr>
          <w:p>
            <w:pPr>
              <w:pStyle w:val="14"/>
            </w:pPr>
            <w:r>
              <w:t>满足业务开展需求</w:t>
            </w:r>
          </w:p>
        </w:tc>
        <w:tc>
          <w:tcPr>
            <w:tcW w:w="2268" w:type="dxa"/>
            <w:vAlign w:val="center"/>
          </w:tcPr>
          <w:p>
            <w:pPr>
              <w:pStyle w:val="14"/>
            </w:pPr>
            <w:r>
              <w:t>满足业务开展需求</w:t>
            </w:r>
          </w:p>
        </w:tc>
        <w:tc>
          <w:tcPr>
            <w:tcW w:w="127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唐山市自然资源和规划局海港经济开发区分局（含所属单位）上年末固定资产金额为1574.16万元（详见下表）。本年度拟购置固定资产总额为7.90万元，已按要求列入政府采购预算，详见政府采购预算表。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136唐山市自然资源和规划局海港经济开发区分局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1574.16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5674.60</w:t>
            </w:r>
          </w:p>
        </w:tc>
        <w:tc>
          <w:tcPr>
            <w:tcW w:w="2835" w:type="dxa"/>
            <w:vAlign w:val="center"/>
          </w:tcPr>
          <w:p>
            <w:pPr>
              <w:pStyle w:val="13"/>
            </w:pPr>
            <w:r>
              <w:t>651.76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1599</w:t>
            </w:r>
          </w:p>
        </w:tc>
        <w:tc>
          <w:tcPr>
            <w:tcW w:w="2835" w:type="dxa"/>
            <w:vAlign w:val="center"/>
          </w:tcPr>
          <w:p>
            <w:pPr>
              <w:pStyle w:val="13"/>
            </w:pPr>
            <w:r>
              <w:t>183.65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108.81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r>
              <w:t>4</w:t>
            </w:r>
          </w:p>
        </w:tc>
        <w:tc>
          <w:tcPr>
            <w:tcW w:w="2835" w:type="dxa"/>
            <w:vAlign w:val="center"/>
          </w:tcPr>
          <w:p>
            <w:pPr>
              <w:pStyle w:val="13"/>
            </w:pPr>
            <w:r>
              <w:t>499.92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661</w:t>
            </w:r>
          </w:p>
        </w:tc>
        <w:tc>
          <w:tcPr>
            <w:tcW w:w="2835" w:type="dxa"/>
            <w:vAlign w:val="center"/>
          </w:tcPr>
          <w:p>
            <w:pPr>
              <w:pStyle w:val="13"/>
            </w:pPr>
            <w:r>
              <w:t>313.67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80D78"/>
    <w:rsid w:val="12E9015F"/>
    <w:rsid w:val="207F5260"/>
    <w:rsid w:val="25CE7BFC"/>
    <w:rsid w:val="46BD1C62"/>
    <w:rsid w:val="59C51381"/>
    <w:rsid w:val="60CF6123"/>
    <w:rsid w:val="6A1F7EAE"/>
    <w:rsid w:val="6C6666B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10</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2025-02-12T08:44:00Z</dcterms:created>
  <dc:creator>Administrator.PC-20200417LVXS</dc:creator>
  <cp:lastModifiedBy>Administrator</cp:lastModifiedBy>
  <cp:lastPrinted>2025-02-12T00:51:19Z</cp:lastPrinted>
  <dcterms:modified xsi:type="dcterms:W3CDTF">2025-02-12T01:56:08Z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