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bookmarkStart w:id="1" w:name="_GoBack"/>
      <w:bookmarkEnd w:id="1"/>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fldChar w:fldCharType="begin"/>
      </w:r>
      <w:r>
        <w:instrText xml:space="preserve">TOC \o "4-4" \h \z \u</w:instrText>
      </w:r>
      <w:r>
        <w:fldChar w:fldCharType="separate"/>
      </w:r>
      <w:r>
        <w:rPr>
          <w:rFonts w:hint="eastAsia" w:eastAsia="宋体"/>
          <w:lang w:eastAsia="zh-CN"/>
        </w:rPr>
        <w:t>一、</w:t>
      </w:r>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rPr>
          <w:rFonts w:hint="eastAsia" w:eastAsia="方正仿宋_GBK"/>
          <w:lang w:val="en-US" w:eastAsia="zh-CN"/>
        </w:rPr>
      </w:pPr>
      <w:r>
        <w:rPr>
          <w:rFonts w:hint="eastAsia"/>
          <w:lang w:val="en-US" w:eastAsia="zh-CN"/>
        </w:rPr>
        <w:t>1、</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end"/>
      </w:r>
      <w:r>
        <w:rPr>
          <w:rFonts w:hint="eastAsia"/>
          <w:lang w:val="en-US" w:eastAsia="zh-CN"/>
        </w:rPr>
        <w:t>1</w:t>
      </w:r>
    </w:p>
    <w:p>
      <w:pPr>
        <w:pStyle w:val="2"/>
        <w:tabs>
          <w:tab w:val="right" w:leader="dot" w:pos="14562"/>
        </w:tabs>
        <w:rPr>
          <w:rFonts w:hint="eastAsia" w:eastAsia="方正仿宋_GBK"/>
          <w:lang w:val="en-US" w:eastAsia="zh-CN"/>
        </w:rPr>
      </w:pPr>
      <w:r>
        <w:rPr>
          <w:rFonts w:hint="eastAsia"/>
          <w:lang w:val="en-US" w:eastAsia="zh-CN"/>
        </w:rPr>
        <w:t>2、</w:t>
      </w: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end"/>
      </w:r>
      <w:r>
        <w:rPr>
          <w:rFonts w:hint="eastAsia"/>
          <w:lang w:val="en-US" w:eastAsia="zh-CN"/>
        </w:rPr>
        <w:t>3</w:t>
      </w:r>
    </w:p>
    <w:p>
      <w:pPr>
        <w:pStyle w:val="2"/>
        <w:tabs>
          <w:tab w:val="right" w:leader="dot" w:pos="14562"/>
        </w:tabs>
        <w:rPr>
          <w:rFonts w:hint="default" w:eastAsia="方正仿宋_GBK"/>
          <w:lang w:val="en-US" w:eastAsia="zh-CN"/>
        </w:rPr>
      </w:pPr>
      <w:r>
        <w:rPr>
          <w:rFonts w:hint="eastAsia"/>
          <w:lang w:val="en-US" w:eastAsia="zh-CN"/>
        </w:rPr>
        <w:t>3、</w:t>
      </w: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end"/>
      </w:r>
      <w:r>
        <w:rPr>
          <w:rFonts w:hint="eastAsia"/>
          <w:lang w:val="en-US" w:eastAsia="zh-CN"/>
        </w:rPr>
        <w:t>5</w:t>
      </w:r>
    </w:p>
    <w:p>
      <w:pPr>
        <w:pStyle w:val="2"/>
        <w:tabs>
          <w:tab w:val="right" w:leader="dot" w:pos="14562"/>
        </w:tabs>
        <w:rPr>
          <w:rFonts w:hint="default" w:eastAsia="方正仿宋_GBK"/>
          <w:lang w:val="en-US" w:eastAsia="zh-CN"/>
        </w:rPr>
      </w:pPr>
      <w:r>
        <w:rPr>
          <w:rFonts w:hint="eastAsia"/>
          <w:lang w:val="en-US" w:eastAsia="zh-CN"/>
        </w:rPr>
        <w:t>4、</w:t>
      </w: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end"/>
      </w:r>
      <w:r>
        <w:rPr>
          <w:rFonts w:hint="eastAsia"/>
          <w:lang w:val="en-US" w:eastAsia="zh-CN"/>
        </w:rPr>
        <w:t>7</w:t>
      </w:r>
    </w:p>
    <w:p>
      <w:pPr>
        <w:pStyle w:val="2"/>
        <w:tabs>
          <w:tab w:val="right" w:leader="dot" w:pos="14562"/>
        </w:tabs>
        <w:rPr>
          <w:rFonts w:hint="default" w:eastAsia="方正仿宋_GBK"/>
          <w:lang w:val="en-US" w:eastAsia="zh-CN"/>
        </w:rPr>
      </w:pPr>
      <w:r>
        <w:rPr>
          <w:rFonts w:hint="eastAsia"/>
          <w:lang w:val="en-US" w:eastAsia="zh-CN"/>
        </w:rPr>
        <w:t>5、</w:t>
      </w: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end"/>
      </w:r>
      <w:r>
        <w:rPr>
          <w:rFonts w:hint="eastAsia"/>
          <w:lang w:val="en-US" w:eastAsia="zh-CN"/>
        </w:rPr>
        <w:t>10</w:t>
      </w:r>
    </w:p>
    <w:p>
      <w:pPr>
        <w:pStyle w:val="2"/>
        <w:tabs>
          <w:tab w:val="right" w:leader="dot" w:pos="14562"/>
        </w:tabs>
        <w:rPr>
          <w:rFonts w:hint="default" w:eastAsia="方正仿宋_GBK"/>
          <w:lang w:val="en-US" w:eastAsia="zh-CN"/>
        </w:rPr>
      </w:pPr>
      <w:r>
        <w:rPr>
          <w:rFonts w:hint="eastAsia"/>
          <w:lang w:val="en-US" w:eastAsia="zh-CN"/>
        </w:rPr>
        <w:t>6、</w:t>
      </w: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end"/>
      </w:r>
      <w:r>
        <w:rPr>
          <w:rFonts w:hint="eastAsia"/>
          <w:lang w:val="en-US" w:eastAsia="zh-CN"/>
        </w:rPr>
        <w:t>11</w:t>
      </w:r>
    </w:p>
    <w:p>
      <w:pPr>
        <w:pStyle w:val="2"/>
        <w:tabs>
          <w:tab w:val="right" w:leader="dot" w:pos="14562"/>
        </w:tabs>
        <w:rPr>
          <w:rFonts w:hint="default" w:eastAsia="方正仿宋_GBK"/>
          <w:lang w:val="en-US" w:eastAsia="zh-CN"/>
        </w:rPr>
      </w:pPr>
      <w:r>
        <w:rPr>
          <w:rFonts w:hint="eastAsia"/>
          <w:lang w:val="en-US" w:eastAsia="zh-CN"/>
        </w:rPr>
        <w:t>7、</w:t>
      </w: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end"/>
      </w:r>
      <w:r>
        <w:rPr>
          <w:rFonts w:hint="eastAsia"/>
          <w:lang w:val="en-US" w:eastAsia="zh-CN"/>
        </w:rPr>
        <w:t>12</w:t>
      </w:r>
    </w:p>
    <w:p>
      <w:pPr>
        <w:pStyle w:val="2"/>
        <w:tabs>
          <w:tab w:val="right" w:leader="dot" w:pos="14562"/>
        </w:tabs>
        <w:rPr>
          <w:rFonts w:hint="default" w:eastAsia="方正仿宋_GBK"/>
          <w:lang w:val="en-US" w:eastAsia="zh-CN"/>
        </w:rPr>
      </w:pPr>
      <w:r>
        <w:rPr>
          <w:rFonts w:hint="eastAsia"/>
          <w:lang w:val="en-US" w:eastAsia="zh-CN"/>
        </w:rPr>
        <w:t>8、</w:t>
      </w: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end"/>
      </w:r>
      <w:r>
        <w:rPr>
          <w:rFonts w:hint="eastAsia"/>
          <w:lang w:val="en-US" w:eastAsia="zh-CN"/>
        </w:rPr>
        <w:t>13</w:t>
      </w:r>
    </w:p>
    <w:p>
      <w:pPr>
        <w:pStyle w:val="2"/>
        <w:tabs>
          <w:tab w:val="right" w:leader="dot" w:pos="14562"/>
        </w:tabs>
        <w:rPr>
          <w:rFonts w:hint="eastAsia" w:eastAsia="方正仿宋_GBK"/>
          <w:lang w:val="en-US" w:eastAsia="zh-CN"/>
        </w:rPr>
      </w:pPr>
      <w:r>
        <w:rPr>
          <w:rFonts w:hint="eastAsia"/>
          <w:lang w:val="en-US" w:eastAsia="zh-CN"/>
        </w:rPr>
        <w:t>9、</w:t>
      </w: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4</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二、单位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lang w:val="en-US" w:eastAsia="zh-CN"/>
        </w:rPr>
        <w:t>1</w:t>
      </w:r>
      <w:r>
        <w:t>、</w:t>
      </w:r>
      <w:r>
        <w:rPr>
          <w:rFonts w:hint="eastAsia"/>
          <w:lang w:eastAsia="zh-CN"/>
        </w:rPr>
        <w:t>单位</w:t>
      </w:r>
      <w:r>
        <w:t>职责及机构设置情况</w:t>
      </w:r>
      <w:r>
        <w:tab/>
      </w:r>
      <w:r>
        <w:fldChar w:fldCharType="end"/>
      </w:r>
      <w:r>
        <w:rPr>
          <w:rFonts w:hint="eastAsia"/>
          <w:lang w:val="en-US" w:eastAsia="zh-CN"/>
        </w:rPr>
        <w:t>15</w:t>
      </w:r>
    </w:p>
    <w:p>
      <w:pPr>
        <w:pStyle w:val="2"/>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rPr>
          <w:rFonts w:hint="eastAsia"/>
          <w:lang w:val="en-US" w:eastAsia="zh-CN"/>
        </w:rPr>
        <w:t>2</w:t>
      </w:r>
      <w:r>
        <w:t>、</w:t>
      </w:r>
      <w:r>
        <w:rPr>
          <w:rFonts w:hint="eastAsia"/>
          <w:lang w:eastAsia="zh-CN"/>
        </w:rPr>
        <w:t>单位</w:t>
      </w:r>
      <w:r>
        <w:t>预算安排的总体情况</w:t>
      </w:r>
      <w:r>
        <w:tab/>
      </w:r>
      <w:r>
        <w:fldChar w:fldCharType="end"/>
      </w:r>
      <w:r>
        <w:rPr>
          <w:rFonts w:hint="eastAsia"/>
          <w:lang w:val="en-US" w:eastAsia="zh-CN"/>
        </w:rPr>
        <w:t>21</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rPr>
          <w:rFonts w:hint="eastAsia"/>
          <w:lang w:val="en-US" w:eastAsia="zh-CN"/>
        </w:rPr>
        <w:t>3</w:t>
      </w:r>
      <w:r>
        <w:t>、机关运行经费安排情况</w:t>
      </w:r>
      <w:r>
        <w:tab/>
      </w:r>
      <w:r>
        <w:rPr>
          <w:rFonts w:hint="eastAsia"/>
          <w:lang w:val="en-US" w:eastAsia="zh-CN"/>
        </w:rPr>
        <w:t>2</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rPr>
          <w:rFonts w:hint="eastAsia"/>
          <w:lang w:val="en-US" w:eastAsia="zh-CN"/>
        </w:rPr>
        <w:t>4</w:t>
      </w:r>
      <w:r>
        <w:t>、财政拨款“三公”经费预算情况及增减变化原因</w:t>
      </w:r>
      <w:r>
        <w:tab/>
      </w:r>
      <w:r>
        <w:rPr>
          <w:rFonts w:hint="eastAsia"/>
          <w:lang w:val="en-US" w:eastAsia="zh-CN"/>
        </w:rPr>
        <w:t>2</w:t>
      </w:r>
      <w:r>
        <w:fldChar w:fldCharType="end"/>
      </w:r>
      <w:r>
        <w:rPr>
          <w:rFonts w:hint="eastAsia"/>
          <w:lang w:val="en-US" w:eastAsia="zh-CN"/>
        </w:rPr>
        <w:t>2</w:t>
      </w:r>
    </w:p>
    <w:p>
      <w:pPr>
        <w:pStyle w:val="2"/>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rPr>
          <w:rFonts w:hint="eastAsia"/>
          <w:lang w:val="en-US" w:eastAsia="zh-CN"/>
        </w:rPr>
        <w:t>5</w:t>
      </w:r>
      <w:r>
        <w:t>、</w:t>
      </w:r>
      <w:r>
        <w:rPr>
          <w:rFonts w:hint="eastAsia"/>
          <w:lang w:eastAsia="zh-CN"/>
        </w:rPr>
        <w:t>单位</w:t>
      </w:r>
      <w:r>
        <w:t>项目预算安排情况及绩效目标</w:t>
      </w:r>
      <w:r>
        <w:tab/>
      </w:r>
      <w:r>
        <w:fldChar w:fldCharType="end"/>
      </w:r>
      <w:r>
        <w:rPr>
          <w:rFonts w:hint="eastAsia"/>
          <w:lang w:val="en-US" w:eastAsia="zh-CN"/>
        </w:rPr>
        <w:t>22</w:t>
      </w:r>
    </w:p>
    <w:p>
      <w:pPr>
        <w:pStyle w:val="2"/>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rPr>
          <w:rFonts w:hint="eastAsia"/>
          <w:lang w:val="en-US" w:eastAsia="zh-CN"/>
        </w:rPr>
        <w:t>6</w:t>
      </w:r>
      <w:r>
        <w:t>、政府采购预算情况</w:t>
      </w:r>
      <w:r>
        <w:tab/>
      </w:r>
      <w:r>
        <w:fldChar w:fldCharType="end"/>
      </w:r>
      <w:r>
        <w:rPr>
          <w:rFonts w:hint="eastAsia"/>
          <w:lang w:val="en-US" w:eastAsia="zh-CN"/>
        </w:rPr>
        <w:t>35</w:t>
      </w:r>
    </w:p>
    <w:p>
      <w:pPr>
        <w:pStyle w:val="2"/>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rPr>
          <w:rFonts w:hint="eastAsia"/>
          <w:lang w:val="en-US" w:eastAsia="zh-CN"/>
        </w:rPr>
        <w:t>7</w:t>
      </w:r>
      <w:r>
        <w:t>、国有资产信息</w:t>
      </w:r>
      <w:r>
        <w:tab/>
      </w:r>
      <w:r>
        <w:fldChar w:fldCharType="end"/>
      </w:r>
      <w:r>
        <w:rPr>
          <w:rFonts w:hint="eastAsia"/>
          <w:lang w:val="en-US" w:eastAsia="zh-CN"/>
        </w:rPr>
        <w:t>35</w:t>
      </w:r>
    </w:p>
    <w:p>
      <w:pPr>
        <w:pStyle w:val="2"/>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rPr>
          <w:rFonts w:hint="eastAsia"/>
          <w:lang w:val="en-US" w:eastAsia="zh-CN"/>
        </w:rPr>
        <w:t>8</w:t>
      </w:r>
      <w:r>
        <w:t>、名词解释</w:t>
      </w:r>
      <w:r>
        <w:tab/>
      </w:r>
      <w:r>
        <w:fldChar w:fldCharType="end"/>
      </w:r>
      <w:r>
        <w:rPr>
          <w:rFonts w:hint="eastAsia"/>
          <w:lang w:val="en-US" w:eastAsia="zh-CN"/>
        </w:rPr>
        <w:t>36</w:t>
      </w:r>
    </w:p>
    <w:p>
      <w:pPr>
        <w:pStyle w:val="2"/>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rPr>
          <w:rFonts w:hint="eastAsia"/>
          <w:lang w:val="en-US" w:eastAsia="zh-CN"/>
        </w:rPr>
        <w:t>9</w:t>
      </w:r>
      <w:r>
        <w:t>、其他需要说明的事项</w:t>
      </w:r>
      <w:r>
        <w:tab/>
      </w:r>
      <w:r>
        <w:fldChar w:fldCharType="end"/>
      </w:r>
      <w:r>
        <w:rPr>
          <w:rFonts w:hint="eastAsia"/>
          <w:lang w:val="en-US" w:eastAsia="zh-CN"/>
        </w:rPr>
        <w:t>37</w:t>
      </w:r>
    </w:p>
    <w:p>
      <w:pPr>
        <w:pStyle w:val="2"/>
        <w:tabs>
          <w:tab w:val="right" w:leader="dot" w:pos="14562"/>
        </w:tabs>
      </w:pPr>
      <w:r>
        <w:fldChar w:fldCharType="end"/>
      </w:r>
    </w:p>
    <w:p>
      <w:pPr>
        <w:pStyle w:val="2"/>
        <w:tabs>
          <w:tab w:val="right" w:leader="dot" w:pos="14562"/>
        </w:tabs>
      </w:pP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一、唐山市自然资源和规划局海港经济开发区分局收支预算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136001唐山市自然资源和规划局海港经济开发区分局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1019.18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30000.00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984.62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31019.18</w:t>
            </w:r>
          </w:p>
        </w:tc>
        <w:tc>
          <w:tcPr>
            <w:tcW w:w="4535" w:type="dxa"/>
            <w:vAlign w:val="center"/>
          </w:tcPr>
          <w:p>
            <w:pPr>
              <w:pStyle w:val="14"/>
            </w:pPr>
            <w:r>
              <w:t>本年支出合计</w:t>
            </w:r>
          </w:p>
        </w:tc>
        <w:tc>
          <w:tcPr>
            <w:tcW w:w="2126" w:type="dxa"/>
            <w:vAlign w:val="center"/>
          </w:tcPr>
          <w:p>
            <w:pPr>
              <w:pStyle w:val="15"/>
            </w:pPr>
            <w:r>
              <w:t>31026.18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7.00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31026.18</w:t>
            </w:r>
          </w:p>
        </w:tc>
        <w:tc>
          <w:tcPr>
            <w:tcW w:w="4535" w:type="dxa"/>
            <w:vAlign w:val="center"/>
          </w:tcPr>
          <w:p>
            <w:pPr>
              <w:pStyle w:val="14"/>
            </w:pPr>
            <w:r>
              <w:t>支出总计</w:t>
            </w:r>
          </w:p>
        </w:tc>
        <w:tc>
          <w:tcPr>
            <w:tcW w:w="2126" w:type="dxa"/>
            <w:vAlign w:val="center"/>
          </w:tcPr>
          <w:p>
            <w:pPr>
              <w:pStyle w:val="15"/>
            </w:pPr>
            <w:r>
              <w:t>31026.18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136001唐山市自然资源和规划局海港经济开发区分局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31026.18</w:t>
            </w:r>
          </w:p>
        </w:tc>
        <w:tc>
          <w:tcPr>
            <w:tcW w:w="1134" w:type="dxa"/>
            <w:vAlign w:val="center"/>
          </w:tcPr>
          <w:p>
            <w:pPr>
              <w:pStyle w:val="15"/>
            </w:pPr>
            <w:r>
              <w:t>31019.18</w:t>
            </w:r>
          </w:p>
        </w:tc>
        <w:tc>
          <w:tcPr>
            <w:tcW w:w="1134" w:type="dxa"/>
            <w:vAlign w:val="center"/>
          </w:tcPr>
          <w:p>
            <w:pPr>
              <w:pStyle w:val="15"/>
            </w:pPr>
            <w:r>
              <w:t>31019.18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22.06</w:t>
            </w:r>
          </w:p>
        </w:tc>
        <w:tc>
          <w:tcPr>
            <w:tcW w:w="1134" w:type="dxa"/>
            <w:vAlign w:val="center"/>
          </w:tcPr>
          <w:p>
            <w:pPr>
              <w:pStyle w:val="11"/>
            </w:pPr>
            <w:r>
              <w:t>22.06</w:t>
            </w:r>
          </w:p>
        </w:tc>
        <w:tc>
          <w:tcPr>
            <w:tcW w:w="1134" w:type="dxa"/>
            <w:vAlign w:val="center"/>
          </w:tcPr>
          <w:p>
            <w:pPr>
              <w:pStyle w:val="11"/>
            </w:pPr>
            <w:r>
              <w:t>22.06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22.06</w:t>
            </w:r>
          </w:p>
        </w:tc>
        <w:tc>
          <w:tcPr>
            <w:tcW w:w="1134" w:type="dxa"/>
            <w:vAlign w:val="center"/>
          </w:tcPr>
          <w:p>
            <w:pPr>
              <w:pStyle w:val="11"/>
            </w:pPr>
            <w:r>
              <w:t>22.06</w:t>
            </w:r>
          </w:p>
        </w:tc>
        <w:tc>
          <w:tcPr>
            <w:tcW w:w="1134" w:type="dxa"/>
            <w:vAlign w:val="center"/>
          </w:tcPr>
          <w:p>
            <w:pPr>
              <w:pStyle w:val="11"/>
            </w:pPr>
            <w:r>
              <w:t>22.06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10.06</w:t>
            </w:r>
          </w:p>
        </w:tc>
        <w:tc>
          <w:tcPr>
            <w:tcW w:w="1134" w:type="dxa"/>
            <w:vAlign w:val="center"/>
          </w:tcPr>
          <w:p>
            <w:pPr>
              <w:pStyle w:val="11"/>
            </w:pPr>
            <w:r>
              <w:t>10.06</w:t>
            </w:r>
          </w:p>
        </w:tc>
        <w:tc>
          <w:tcPr>
            <w:tcW w:w="1134" w:type="dxa"/>
            <w:vAlign w:val="center"/>
          </w:tcPr>
          <w:p>
            <w:pPr>
              <w:pStyle w:val="11"/>
            </w:pPr>
            <w:r>
              <w:t>10.06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9.50</w:t>
            </w:r>
          </w:p>
        </w:tc>
        <w:tc>
          <w:tcPr>
            <w:tcW w:w="1134" w:type="dxa"/>
            <w:vAlign w:val="center"/>
          </w:tcPr>
          <w:p>
            <w:pPr>
              <w:pStyle w:val="11"/>
            </w:pPr>
            <w:r>
              <w:t>9.50</w:t>
            </w:r>
          </w:p>
        </w:tc>
        <w:tc>
          <w:tcPr>
            <w:tcW w:w="1134" w:type="dxa"/>
            <w:vAlign w:val="center"/>
          </w:tcPr>
          <w:p>
            <w:pPr>
              <w:pStyle w:val="11"/>
            </w:pPr>
            <w:r>
              <w:t>9.50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9.50</w:t>
            </w:r>
          </w:p>
        </w:tc>
        <w:tc>
          <w:tcPr>
            <w:tcW w:w="1134" w:type="dxa"/>
            <w:vAlign w:val="center"/>
          </w:tcPr>
          <w:p>
            <w:pPr>
              <w:pStyle w:val="11"/>
            </w:pPr>
            <w:r>
              <w:t>9.50</w:t>
            </w:r>
          </w:p>
        </w:tc>
        <w:tc>
          <w:tcPr>
            <w:tcW w:w="1134" w:type="dxa"/>
            <w:vAlign w:val="center"/>
          </w:tcPr>
          <w:p>
            <w:pPr>
              <w:pStyle w:val="11"/>
            </w:pPr>
            <w:r>
              <w:t>9.50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9.50</w:t>
            </w:r>
          </w:p>
        </w:tc>
        <w:tc>
          <w:tcPr>
            <w:tcW w:w="1134" w:type="dxa"/>
            <w:vAlign w:val="center"/>
          </w:tcPr>
          <w:p>
            <w:pPr>
              <w:pStyle w:val="11"/>
            </w:pPr>
            <w:r>
              <w:t>9.50</w:t>
            </w:r>
          </w:p>
        </w:tc>
        <w:tc>
          <w:tcPr>
            <w:tcW w:w="1134" w:type="dxa"/>
            <w:vAlign w:val="center"/>
          </w:tcPr>
          <w:p>
            <w:pPr>
              <w:pStyle w:val="11"/>
            </w:pPr>
            <w:r>
              <w:t>9.50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30000.00</w:t>
            </w:r>
          </w:p>
        </w:tc>
        <w:tc>
          <w:tcPr>
            <w:tcW w:w="1134" w:type="dxa"/>
            <w:vAlign w:val="center"/>
          </w:tcPr>
          <w:p>
            <w:pPr>
              <w:pStyle w:val="11"/>
            </w:pPr>
            <w:r>
              <w:t>30000.00</w:t>
            </w:r>
          </w:p>
        </w:tc>
        <w:tc>
          <w:tcPr>
            <w:tcW w:w="1134" w:type="dxa"/>
            <w:vAlign w:val="center"/>
          </w:tcPr>
          <w:p>
            <w:pPr>
              <w:pStyle w:val="11"/>
            </w:pPr>
            <w:r>
              <w:t>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30000.00</w:t>
            </w:r>
          </w:p>
        </w:tc>
        <w:tc>
          <w:tcPr>
            <w:tcW w:w="1134" w:type="dxa"/>
            <w:vAlign w:val="center"/>
          </w:tcPr>
          <w:p>
            <w:pPr>
              <w:pStyle w:val="11"/>
            </w:pPr>
            <w:r>
              <w:t>30000.00</w:t>
            </w:r>
          </w:p>
        </w:tc>
        <w:tc>
          <w:tcPr>
            <w:tcW w:w="1134" w:type="dxa"/>
            <w:vAlign w:val="center"/>
          </w:tcPr>
          <w:p>
            <w:pPr>
              <w:pStyle w:val="11"/>
            </w:pPr>
            <w:r>
              <w:t>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2120802</w:t>
            </w:r>
          </w:p>
        </w:tc>
        <w:tc>
          <w:tcPr>
            <w:tcW w:w="1559" w:type="dxa"/>
            <w:vAlign w:val="center"/>
          </w:tcPr>
          <w:p>
            <w:pPr>
              <w:pStyle w:val="12"/>
            </w:pPr>
            <w:r>
              <w:t>土地开发支出</w:t>
            </w:r>
          </w:p>
        </w:tc>
        <w:tc>
          <w:tcPr>
            <w:tcW w:w="1134" w:type="dxa"/>
            <w:vAlign w:val="center"/>
          </w:tcPr>
          <w:p>
            <w:pPr>
              <w:pStyle w:val="11"/>
            </w:pPr>
            <w:r>
              <w:t>29474.06</w:t>
            </w:r>
          </w:p>
        </w:tc>
        <w:tc>
          <w:tcPr>
            <w:tcW w:w="1134" w:type="dxa"/>
            <w:vAlign w:val="center"/>
          </w:tcPr>
          <w:p>
            <w:pPr>
              <w:pStyle w:val="11"/>
            </w:pPr>
            <w:r>
              <w:t>29474.06</w:t>
            </w:r>
          </w:p>
        </w:tc>
        <w:tc>
          <w:tcPr>
            <w:tcW w:w="1134" w:type="dxa"/>
            <w:vAlign w:val="center"/>
          </w:tcPr>
          <w:p>
            <w:pPr>
              <w:pStyle w:val="11"/>
            </w:pPr>
            <w:r>
              <w:t>29474.06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525.94</w:t>
            </w:r>
          </w:p>
        </w:tc>
        <w:tc>
          <w:tcPr>
            <w:tcW w:w="1134" w:type="dxa"/>
            <w:vAlign w:val="center"/>
          </w:tcPr>
          <w:p>
            <w:pPr>
              <w:pStyle w:val="11"/>
            </w:pPr>
            <w:r>
              <w:t>525.94</w:t>
            </w:r>
          </w:p>
        </w:tc>
        <w:tc>
          <w:tcPr>
            <w:tcW w:w="1134" w:type="dxa"/>
            <w:vAlign w:val="center"/>
          </w:tcPr>
          <w:p>
            <w:pPr>
              <w:pStyle w:val="11"/>
            </w:pPr>
            <w:r>
              <w:t>525.94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984.62</w:t>
            </w:r>
          </w:p>
        </w:tc>
        <w:tc>
          <w:tcPr>
            <w:tcW w:w="1134" w:type="dxa"/>
            <w:vAlign w:val="center"/>
          </w:tcPr>
          <w:p>
            <w:pPr>
              <w:pStyle w:val="11"/>
            </w:pPr>
            <w:r>
              <w:t>977.62</w:t>
            </w:r>
          </w:p>
        </w:tc>
        <w:tc>
          <w:tcPr>
            <w:tcW w:w="1134" w:type="dxa"/>
            <w:vAlign w:val="center"/>
          </w:tcPr>
          <w:p>
            <w:pPr>
              <w:pStyle w:val="11"/>
            </w:pPr>
            <w:r>
              <w:t>977.62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984.62</w:t>
            </w:r>
          </w:p>
        </w:tc>
        <w:tc>
          <w:tcPr>
            <w:tcW w:w="1134" w:type="dxa"/>
            <w:vAlign w:val="center"/>
          </w:tcPr>
          <w:p>
            <w:pPr>
              <w:pStyle w:val="11"/>
            </w:pPr>
            <w:r>
              <w:t>977.62</w:t>
            </w:r>
          </w:p>
        </w:tc>
        <w:tc>
          <w:tcPr>
            <w:tcW w:w="1134" w:type="dxa"/>
            <w:vAlign w:val="center"/>
          </w:tcPr>
          <w:p>
            <w:pPr>
              <w:pStyle w:val="11"/>
            </w:pPr>
            <w:r>
              <w:t>977.62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2200101</w:t>
            </w:r>
          </w:p>
        </w:tc>
        <w:tc>
          <w:tcPr>
            <w:tcW w:w="1559" w:type="dxa"/>
            <w:vAlign w:val="center"/>
          </w:tcPr>
          <w:p>
            <w:pPr>
              <w:pStyle w:val="12"/>
            </w:pPr>
            <w:r>
              <w:t>行政运行</w:t>
            </w:r>
          </w:p>
        </w:tc>
        <w:tc>
          <w:tcPr>
            <w:tcW w:w="1134" w:type="dxa"/>
            <w:vAlign w:val="center"/>
          </w:tcPr>
          <w:p>
            <w:pPr>
              <w:pStyle w:val="11"/>
            </w:pPr>
            <w:r>
              <w:t>713.12</w:t>
            </w:r>
          </w:p>
        </w:tc>
        <w:tc>
          <w:tcPr>
            <w:tcW w:w="1134" w:type="dxa"/>
            <w:vAlign w:val="center"/>
          </w:tcPr>
          <w:p>
            <w:pPr>
              <w:pStyle w:val="11"/>
            </w:pPr>
            <w:r>
              <w:t>713.12</w:t>
            </w:r>
          </w:p>
        </w:tc>
        <w:tc>
          <w:tcPr>
            <w:tcW w:w="1134" w:type="dxa"/>
            <w:vAlign w:val="center"/>
          </w:tcPr>
          <w:p>
            <w:pPr>
              <w:pStyle w:val="11"/>
            </w:pPr>
            <w:r>
              <w:t>713.12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2200106</w:t>
            </w:r>
          </w:p>
        </w:tc>
        <w:tc>
          <w:tcPr>
            <w:tcW w:w="1559" w:type="dxa"/>
            <w:vAlign w:val="center"/>
          </w:tcPr>
          <w:p>
            <w:pPr>
              <w:pStyle w:val="12"/>
            </w:pPr>
            <w:r>
              <w:t>自然资源利用与保护</w:t>
            </w:r>
          </w:p>
        </w:tc>
        <w:tc>
          <w:tcPr>
            <w:tcW w:w="1134" w:type="dxa"/>
            <w:vAlign w:val="center"/>
          </w:tcPr>
          <w:p>
            <w:pPr>
              <w:pStyle w:val="11"/>
            </w:pPr>
            <w:r>
              <w:t>271.50</w:t>
            </w:r>
          </w:p>
        </w:tc>
        <w:tc>
          <w:tcPr>
            <w:tcW w:w="1134" w:type="dxa"/>
            <w:vAlign w:val="center"/>
          </w:tcPr>
          <w:p>
            <w:pPr>
              <w:pStyle w:val="11"/>
            </w:pPr>
            <w:r>
              <w:t>264.50</w:t>
            </w:r>
          </w:p>
        </w:tc>
        <w:tc>
          <w:tcPr>
            <w:tcW w:w="1134" w:type="dxa"/>
            <w:vAlign w:val="center"/>
          </w:tcPr>
          <w:p>
            <w:pPr>
              <w:pStyle w:val="11"/>
            </w:pPr>
            <w:r>
              <w:t>264.50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136001唐山市自然资源和规划局海港经济开发区分局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31026.18</w:t>
            </w:r>
          </w:p>
        </w:tc>
        <w:tc>
          <w:tcPr>
            <w:tcW w:w="1361" w:type="dxa"/>
            <w:vAlign w:val="center"/>
          </w:tcPr>
          <w:p>
            <w:pPr>
              <w:pStyle w:val="15"/>
            </w:pPr>
            <w:r>
              <w:t>154.18</w:t>
            </w:r>
          </w:p>
        </w:tc>
        <w:tc>
          <w:tcPr>
            <w:tcW w:w="1361" w:type="dxa"/>
            <w:vAlign w:val="center"/>
          </w:tcPr>
          <w:p>
            <w:pPr>
              <w:pStyle w:val="15"/>
            </w:pPr>
            <w:r>
              <w:t>30872.00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22.06</w:t>
            </w:r>
          </w:p>
        </w:tc>
        <w:tc>
          <w:tcPr>
            <w:tcW w:w="1361" w:type="dxa"/>
            <w:vAlign w:val="center"/>
          </w:tcPr>
          <w:p>
            <w:pPr>
              <w:pStyle w:val="11"/>
            </w:pPr>
            <w:r>
              <w:t>22.06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22.06</w:t>
            </w:r>
          </w:p>
        </w:tc>
        <w:tc>
          <w:tcPr>
            <w:tcW w:w="1361" w:type="dxa"/>
            <w:vAlign w:val="center"/>
          </w:tcPr>
          <w:p>
            <w:pPr>
              <w:pStyle w:val="11"/>
            </w:pPr>
            <w:r>
              <w:t>22.06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10.06</w:t>
            </w:r>
          </w:p>
        </w:tc>
        <w:tc>
          <w:tcPr>
            <w:tcW w:w="1361" w:type="dxa"/>
            <w:vAlign w:val="center"/>
          </w:tcPr>
          <w:p>
            <w:pPr>
              <w:pStyle w:val="11"/>
            </w:pPr>
            <w:r>
              <w:t>10.06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12.00</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9.50</w:t>
            </w:r>
          </w:p>
        </w:tc>
        <w:tc>
          <w:tcPr>
            <w:tcW w:w="1361" w:type="dxa"/>
            <w:vAlign w:val="center"/>
          </w:tcPr>
          <w:p>
            <w:pPr>
              <w:pStyle w:val="11"/>
            </w:pPr>
            <w:r>
              <w:t>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9.50</w:t>
            </w:r>
          </w:p>
        </w:tc>
        <w:tc>
          <w:tcPr>
            <w:tcW w:w="1361" w:type="dxa"/>
            <w:vAlign w:val="center"/>
          </w:tcPr>
          <w:p>
            <w:pPr>
              <w:pStyle w:val="11"/>
            </w:pPr>
            <w:r>
              <w:t>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9.50</w:t>
            </w:r>
          </w:p>
        </w:tc>
        <w:tc>
          <w:tcPr>
            <w:tcW w:w="1361" w:type="dxa"/>
            <w:vAlign w:val="center"/>
          </w:tcPr>
          <w:p>
            <w:pPr>
              <w:pStyle w:val="11"/>
            </w:pPr>
            <w:r>
              <w:t>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30000.00</w:t>
            </w:r>
          </w:p>
        </w:tc>
        <w:tc>
          <w:tcPr>
            <w:tcW w:w="1361" w:type="dxa"/>
            <w:vAlign w:val="center"/>
          </w:tcPr>
          <w:p>
            <w:pPr>
              <w:pStyle w:val="11"/>
            </w:pPr>
          </w:p>
        </w:tc>
        <w:tc>
          <w:tcPr>
            <w:tcW w:w="1361" w:type="dxa"/>
            <w:vAlign w:val="center"/>
          </w:tcPr>
          <w:p>
            <w:pPr>
              <w:pStyle w:val="11"/>
            </w:pPr>
            <w:r>
              <w:t>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30000.00</w:t>
            </w:r>
          </w:p>
        </w:tc>
        <w:tc>
          <w:tcPr>
            <w:tcW w:w="1361" w:type="dxa"/>
            <w:vAlign w:val="center"/>
          </w:tcPr>
          <w:p>
            <w:pPr>
              <w:pStyle w:val="11"/>
            </w:pPr>
          </w:p>
        </w:tc>
        <w:tc>
          <w:tcPr>
            <w:tcW w:w="1361" w:type="dxa"/>
            <w:vAlign w:val="center"/>
          </w:tcPr>
          <w:p>
            <w:pPr>
              <w:pStyle w:val="11"/>
            </w:pPr>
            <w:r>
              <w:t>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2120802</w:t>
            </w:r>
          </w:p>
        </w:tc>
        <w:tc>
          <w:tcPr>
            <w:tcW w:w="4535" w:type="dxa"/>
            <w:vAlign w:val="center"/>
          </w:tcPr>
          <w:p>
            <w:pPr>
              <w:pStyle w:val="12"/>
            </w:pPr>
            <w:r>
              <w:t>土地开发支出</w:t>
            </w:r>
          </w:p>
        </w:tc>
        <w:tc>
          <w:tcPr>
            <w:tcW w:w="1361" w:type="dxa"/>
            <w:vAlign w:val="center"/>
          </w:tcPr>
          <w:p>
            <w:pPr>
              <w:pStyle w:val="11"/>
            </w:pPr>
            <w:r>
              <w:t>29474.06</w:t>
            </w:r>
          </w:p>
        </w:tc>
        <w:tc>
          <w:tcPr>
            <w:tcW w:w="1361" w:type="dxa"/>
            <w:vAlign w:val="center"/>
          </w:tcPr>
          <w:p>
            <w:pPr>
              <w:pStyle w:val="11"/>
            </w:pPr>
          </w:p>
        </w:tc>
        <w:tc>
          <w:tcPr>
            <w:tcW w:w="1361" w:type="dxa"/>
            <w:vAlign w:val="center"/>
          </w:tcPr>
          <w:p>
            <w:pPr>
              <w:pStyle w:val="11"/>
            </w:pPr>
            <w:r>
              <w:t>29474.06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525.94</w:t>
            </w:r>
          </w:p>
        </w:tc>
        <w:tc>
          <w:tcPr>
            <w:tcW w:w="1361" w:type="dxa"/>
            <w:vAlign w:val="center"/>
          </w:tcPr>
          <w:p>
            <w:pPr>
              <w:pStyle w:val="11"/>
            </w:pPr>
          </w:p>
        </w:tc>
        <w:tc>
          <w:tcPr>
            <w:tcW w:w="1361" w:type="dxa"/>
            <w:vAlign w:val="center"/>
          </w:tcPr>
          <w:p>
            <w:pPr>
              <w:pStyle w:val="11"/>
            </w:pPr>
            <w:r>
              <w:t>525.94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984.62</w:t>
            </w:r>
          </w:p>
        </w:tc>
        <w:tc>
          <w:tcPr>
            <w:tcW w:w="1361" w:type="dxa"/>
            <w:vAlign w:val="center"/>
          </w:tcPr>
          <w:p>
            <w:pPr>
              <w:pStyle w:val="11"/>
            </w:pPr>
            <w:r>
              <w:t>112.62</w:t>
            </w:r>
          </w:p>
        </w:tc>
        <w:tc>
          <w:tcPr>
            <w:tcW w:w="1361" w:type="dxa"/>
            <w:vAlign w:val="center"/>
          </w:tcPr>
          <w:p>
            <w:pPr>
              <w:pStyle w:val="11"/>
            </w:pPr>
            <w:r>
              <w:t>872.00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22001</w:t>
            </w:r>
          </w:p>
        </w:tc>
        <w:tc>
          <w:tcPr>
            <w:tcW w:w="4535" w:type="dxa"/>
            <w:vAlign w:val="center"/>
          </w:tcPr>
          <w:p>
            <w:pPr>
              <w:pStyle w:val="12"/>
            </w:pPr>
            <w:r>
              <w:t>自然资源事务</w:t>
            </w:r>
          </w:p>
        </w:tc>
        <w:tc>
          <w:tcPr>
            <w:tcW w:w="1361" w:type="dxa"/>
            <w:vAlign w:val="center"/>
          </w:tcPr>
          <w:p>
            <w:pPr>
              <w:pStyle w:val="11"/>
            </w:pPr>
            <w:r>
              <w:t>984.62</w:t>
            </w:r>
          </w:p>
        </w:tc>
        <w:tc>
          <w:tcPr>
            <w:tcW w:w="1361" w:type="dxa"/>
            <w:vAlign w:val="center"/>
          </w:tcPr>
          <w:p>
            <w:pPr>
              <w:pStyle w:val="11"/>
            </w:pPr>
            <w:r>
              <w:t>112.62</w:t>
            </w:r>
          </w:p>
        </w:tc>
        <w:tc>
          <w:tcPr>
            <w:tcW w:w="1361" w:type="dxa"/>
            <w:vAlign w:val="center"/>
          </w:tcPr>
          <w:p>
            <w:pPr>
              <w:pStyle w:val="11"/>
            </w:pPr>
            <w:r>
              <w:t>872.00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2200101</w:t>
            </w:r>
          </w:p>
        </w:tc>
        <w:tc>
          <w:tcPr>
            <w:tcW w:w="4535" w:type="dxa"/>
            <w:vAlign w:val="center"/>
          </w:tcPr>
          <w:p>
            <w:pPr>
              <w:pStyle w:val="12"/>
            </w:pPr>
            <w:r>
              <w:t>行政运行</w:t>
            </w:r>
          </w:p>
        </w:tc>
        <w:tc>
          <w:tcPr>
            <w:tcW w:w="1361" w:type="dxa"/>
            <w:vAlign w:val="center"/>
          </w:tcPr>
          <w:p>
            <w:pPr>
              <w:pStyle w:val="11"/>
            </w:pPr>
            <w:r>
              <w:t>713.12</w:t>
            </w:r>
          </w:p>
        </w:tc>
        <w:tc>
          <w:tcPr>
            <w:tcW w:w="1361" w:type="dxa"/>
            <w:vAlign w:val="center"/>
          </w:tcPr>
          <w:p>
            <w:pPr>
              <w:pStyle w:val="11"/>
            </w:pPr>
            <w:r>
              <w:t>112.62</w:t>
            </w:r>
          </w:p>
        </w:tc>
        <w:tc>
          <w:tcPr>
            <w:tcW w:w="1361" w:type="dxa"/>
            <w:vAlign w:val="center"/>
          </w:tcPr>
          <w:p>
            <w:pPr>
              <w:pStyle w:val="11"/>
            </w:pPr>
            <w:r>
              <w:t>600.50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2200106</w:t>
            </w:r>
          </w:p>
        </w:tc>
        <w:tc>
          <w:tcPr>
            <w:tcW w:w="4535" w:type="dxa"/>
            <w:vAlign w:val="center"/>
          </w:tcPr>
          <w:p>
            <w:pPr>
              <w:pStyle w:val="12"/>
            </w:pPr>
            <w:r>
              <w:t>自然资源利用与保护</w:t>
            </w:r>
          </w:p>
        </w:tc>
        <w:tc>
          <w:tcPr>
            <w:tcW w:w="1361" w:type="dxa"/>
            <w:vAlign w:val="center"/>
          </w:tcPr>
          <w:p>
            <w:pPr>
              <w:pStyle w:val="11"/>
            </w:pPr>
            <w:r>
              <w:t>271.50</w:t>
            </w:r>
          </w:p>
        </w:tc>
        <w:tc>
          <w:tcPr>
            <w:tcW w:w="1361" w:type="dxa"/>
            <w:vAlign w:val="center"/>
          </w:tcPr>
          <w:p>
            <w:pPr>
              <w:pStyle w:val="11"/>
            </w:pPr>
          </w:p>
        </w:tc>
        <w:tc>
          <w:tcPr>
            <w:tcW w:w="1361" w:type="dxa"/>
            <w:vAlign w:val="center"/>
          </w:tcPr>
          <w:p>
            <w:pPr>
              <w:pStyle w:val="11"/>
            </w:pPr>
            <w:r>
              <w:t>271.50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10.00</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10.00</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10.00</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136001唐山市自然资源和规划局海港经济开发区分局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1019.18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30000.00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22.06</w:t>
            </w:r>
          </w:p>
        </w:tc>
        <w:tc>
          <w:tcPr>
            <w:tcW w:w="1474" w:type="dxa"/>
            <w:vAlign w:val="center"/>
          </w:tcPr>
          <w:p>
            <w:pPr>
              <w:pStyle w:val="11"/>
            </w:pPr>
            <w:r>
              <w:t>22.06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9.50</w:t>
            </w:r>
          </w:p>
        </w:tc>
        <w:tc>
          <w:tcPr>
            <w:tcW w:w="1474" w:type="dxa"/>
            <w:vAlign w:val="center"/>
          </w:tcPr>
          <w:p>
            <w:pPr>
              <w:pStyle w:val="11"/>
            </w:pPr>
            <w:r>
              <w:t>9.50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30000.00</w:t>
            </w:r>
          </w:p>
        </w:tc>
        <w:tc>
          <w:tcPr>
            <w:tcW w:w="1474" w:type="dxa"/>
            <w:vAlign w:val="center"/>
          </w:tcPr>
          <w:p>
            <w:pPr>
              <w:pStyle w:val="11"/>
            </w:pPr>
          </w:p>
        </w:tc>
        <w:tc>
          <w:tcPr>
            <w:tcW w:w="1474" w:type="dxa"/>
            <w:vAlign w:val="center"/>
          </w:tcPr>
          <w:p>
            <w:pPr>
              <w:pStyle w:val="11"/>
            </w:pPr>
            <w:r>
              <w:t>30000.00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984.62</w:t>
            </w:r>
          </w:p>
        </w:tc>
        <w:tc>
          <w:tcPr>
            <w:tcW w:w="1474" w:type="dxa"/>
            <w:vAlign w:val="center"/>
          </w:tcPr>
          <w:p>
            <w:pPr>
              <w:pStyle w:val="11"/>
            </w:pPr>
            <w:r>
              <w:t>984.62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10.00</w:t>
            </w:r>
          </w:p>
        </w:tc>
        <w:tc>
          <w:tcPr>
            <w:tcW w:w="1474" w:type="dxa"/>
            <w:vAlign w:val="center"/>
          </w:tcPr>
          <w:p>
            <w:pPr>
              <w:pStyle w:val="11"/>
            </w:pPr>
            <w:r>
              <w:t>10.00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31019.18</w:t>
            </w:r>
          </w:p>
        </w:tc>
        <w:tc>
          <w:tcPr>
            <w:tcW w:w="3402" w:type="dxa"/>
            <w:vAlign w:val="center"/>
          </w:tcPr>
          <w:p>
            <w:pPr>
              <w:pStyle w:val="14"/>
            </w:pPr>
            <w:r>
              <w:t>本年支出合计</w:t>
            </w:r>
          </w:p>
        </w:tc>
        <w:tc>
          <w:tcPr>
            <w:tcW w:w="1474" w:type="dxa"/>
            <w:vAlign w:val="center"/>
          </w:tcPr>
          <w:p>
            <w:pPr>
              <w:pStyle w:val="15"/>
            </w:pPr>
            <w:r>
              <w:t>31026.18</w:t>
            </w:r>
          </w:p>
        </w:tc>
        <w:tc>
          <w:tcPr>
            <w:tcW w:w="1474" w:type="dxa"/>
            <w:vAlign w:val="center"/>
          </w:tcPr>
          <w:p>
            <w:pPr>
              <w:pStyle w:val="15"/>
            </w:pPr>
            <w:r>
              <w:t>1026.18</w:t>
            </w:r>
          </w:p>
        </w:tc>
        <w:tc>
          <w:tcPr>
            <w:tcW w:w="1474" w:type="dxa"/>
            <w:vAlign w:val="center"/>
          </w:tcPr>
          <w:p>
            <w:pPr>
              <w:pStyle w:val="15"/>
            </w:pPr>
            <w:r>
              <w:t>30000.00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7.00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7.00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31026.18</w:t>
            </w:r>
          </w:p>
        </w:tc>
        <w:tc>
          <w:tcPr>
            <w:tcW w:w="3402" w:type="dxa"/>
            <w:vAlign w:val="center"/>
          </w:tcPr>
          <w:p>
            <w:pPr>
              <w:pStyle w:val="14"/>
            </w:pPr>
            <w:r>
              <w:t>支出总计</w:t>
            </w:r>
          </w:p>
        </w:tc>
        <w:tc>
          <w:tcPr>
            <w:tcW w:w="1474" w:type="dxa"/>
            <w:vAlign w:val="center"/>
          </w:tcPr>
          <w:p>
            <w:pPr>
              <w:pStyle w:val="15"/>
            </w:pPr>
            <w:r>
              <w:t>31026.18</w:t>
            </w:r>
          </w:p>
        </w:tc>
        <w:tc>
          <w:tcPr>
            <w:tcW w:w="1474" w:type="dxa"/>
            <w:vAlign w:val="center"/>
          </w:tcPr>
          <w:p>
            <w:pPr>
              <w:pStyle w:val="15"/>
            </w:pPr>
            <w:r>
              <w:t>1026.18</w:t>
            </w:r>
          </w:p>
        </w:tc>
        <w:tc>
          <w:tcPr>
            <w:tcW w:w="1474" w:type="dxa"/>
            <w:vAlign w:val="center"/>
          </w:tcPr>
          <w:p>
            <w:pPr>
              <w:pStyle w:val="15"/>
            </w:pPr>
            <w:r>
              <w:t>30000.00</w:t>
            </w: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136001唐山市自然资源和规划局海港经济开发区分局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1026.18</w:t>
            </w:r>
          </w:p>
        </w:tc>
        <w:tc>
          <w:tcPr>
            <w:tcW w:w="2551" w:type="dxa"/>
            <w:vAlign w:val="center"/>
          </w:tcPr>
          <w:p>
            <w:pPr>
              <w:pStyle w:val="15"/>
            </w:pPr>
            <w:r>
              <w:t>154.18</w:t>
            </w:r>
          </w:p>
        </w:tc>
        <w:tc>
          <w:tcPr>
            <w:tcW w:w="2551" w:type="dxa"/>
            <w:vAlign w:val="center"/>
          </w:tcPr>
          <w:p>
            <w:pPr>
              <w:pStyle w:val="15"/>
            </w:pPr>
            <w:r>
              <w:t>872.00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22.06</w:t>
            </w:r>
          </w:p>
        </w:tc>
        <w:tc>
          <w:tcPr>
            <w:tcW w:w="2551" w:type="dxa"/>
            <w:vAlign w:val="center"/>
          </w:tcPr>
          <w:p>
            <w:pPr>
              <w:pStyle w:val="11"/>
            </w:pPr>
            <w:r>
              <w:t>22.06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22.06</w:t>
            </w:r>
          </w:p>
        </w:tc>
        <w:tc>
          <w:tcPr>
            <w:tcW w:w="2551" w:type="dxa"/>
            <w:vAlign w:val="center"/>
          </w:tcPr>
          <w:p>
            <w:pPr>
              <w:pStyle w:val="11"/>
            </w:pPr>
            <w:r>
              <w:t>22.06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10.06</w:t>
            </w:r>
          </w:p>
        </w:tc>
        <w:tc>
          <w:tcPr>
            <w:tcW w:w="2551" w:type="dxa"/>
            <w:vAlign w:val="center"/>
          </w:tcPr>
          <w:p>
            <w:pPr>
              <w:pStyle w:val="11"/>
            </w:pPr>
            <w:r>
              <w:t>10.06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12.00</w:t>
            </w:r>
          </w:p>
        </w:tc>
        <w:tc>
          <w:tcPr>
            <w:tcW w:w="2551" w:type="dxa"/>
            <w:vAlign w:val="center"/>
          </w:tcPr>
          <w:p>
            <w:pPr>
              <w:pStyle w:val="11"/>
            </w:pPr>
            <w:r>
              <w:t>12.00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9.50</w:t>
            </w:r>
          </w:p>
        </w:tc>
        <w:tc>
          <w:tcPr>
            <w:tcW w:w="2551" w:type="dxa"/>
            <w:vAlign w:val="center"/>
          </w:tcPr>
          <w:p>
            <w:pPr>
              <w:pStyle w:val="11"/>
            </w:pPr>
            <w:r>
              <w:t>9.50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9.50</w:t>
            </w:r>
          </w:p>
        </w:tc>
        <w:tc>
          <w:tcPr>
            <w:tcW w:w="2551" w:type="dxa"/>
            <w:vAlign w:val="center"/>
          </w:tcPr>
          <w:p>
            <w:pPr>
              <w:pStyle w:val="11"/>
            </w:pPr>
            <w:r>
              <w:t>9.50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9.50</w:t>
            </w:r>
          </w:p>
        </w:tc>
        <w:tc>
          <w:tcPr>
            <w:tcW w:w="2551" w:type="dxa"/>
            <w:vAlign w:val="center"/>
          </w:tcPr>
          <w:p>
            <w:pPr>
              <w:pStyle w:val="11"/>
            </w:pPr>
            <w:r>
              <w:t>9.50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984.62</w:t>
            </w:r>
          </w:p>
        </w:tc>
        <w:tc>
          <w:tcPr>
            <w:tcW w:w="2551" w:type="dxa"/>
            <w:vAlign w:val="center"/>
          </w:tcPr>
          <w:p>
            <w:pPr>
              <w:pStyle w:val="11"/>
            </w:pPr>
            <w:r>
              <w:t>112.62</w:t>
            </w:r>
          </w:p>
        </w:tc>
        <w:tc>
          <w:tcPr>
            <w:tcW w:w="2551" w:type="dxa"/>
            <w:vAlign w:val="center"/>
          </w:tcPr>
          <w:p>
            <w:pPr>
              <w:pStyle w:val="11"/>
            </w:pPr>
            <w:r>
              <w:t>872.00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984.62</w:t>
            </w:r>
          </w:p>
        </w:tc>
        <w:tc>
          <w:tcPr>
            <w:tcW w:w="2551" w:type="dxa"/>
            <w:vAlign w:val="center"/>
          </w:tcPr>
          <w:p>
            <w:pPr>
              <w:pStyle w:val="11"/>
            </w:pPr>
            <w:r>
              <w:t>112.62</w:t>
            </w:r>
          </w:p>
        </w:tc>
        <w:tc>
          <w:tcPr>
            <w:tcW w:w="2551" w:type="dxa"/>
            <w:vAlign w:val="center"/>
          </w:tcPr>
          <w:p>
            <w:pPr>
              <w:pStyle w:val="11"/>
            </w:pPr>
            <w:r>
              <w:t>872.00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2200101</w:t>
            </w:r>
          </w:p>
        </w:tc>
        <w:tc>
          <w:tcPr>
            <w:tcW w:w="4535" w:type="dxa"/>
            <w:vAlign w:val="center"/>
          </w:tcPr>
          <w:p>
            <w:pPr>
              <w:pStyle w:val="12"/>
            </w:pPr>
            <w:r>
              <w:t>行政运行</w:t>
            </w:r>
          </w:p>
        </w:tc>
        <w:tc>
          <w:tcPr>
            <w:tcW w:w="2551" w:type="dxa"/>
            <w:vAlign w:val="center"/>
          </w:tcPr>
          <w:p>
            <w:pPr>
              <w:pStyle w:val="11"/>
            </w:pPr>
            <w:r>
              <w:t>713.12</w:t>
            </w:r>
          </w:p>
        </w:tc>
        <w:tc>
          <w:tcPr>
            <w:tcW w:w="2551" w:type="dxa"/>
            <w:vAlign w:val="center"/>
          </w:tcPr>
          <w:p>
            <w:pPr>
              <w:pStyle w:val="11"/>
            </w:pPr>
            <w:r>
              <w:t>112.62</w:t>
            </w:r>
          </w:p>
        </w:tc>
        <w:tc>
          <w:tcPr>
            <w:tcW w:w="2551" w:type="dxa"/>
            <w:vAlign w:val="center"/>
          </w:tcPr>
          <w:p>
            <w:pPr>
              <w:pStyle w:val="11"/>
            </w:pPr>
            <w:r>
              <w:t>600.50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2200106</w:t>
            </w:r>
          </w:p>
        </w:tc>
        <w:tc>
          <w:tcPr>
            <w:tcW w:w="4535" w:type="dxa"/>
            <w:vAlign w:val="center"/>
          </w:tcPr>
          <w:p>
            <w:pPr>
              <w:pStyle w:val="12"/>
            </w:pPr>
            <w:r>
              <w:t>自然资源利用与保护</w:t>
            </w:r>
          </w:p>
        </w:tc>
        <w:tc>
          <w:tcPr>
            <w:tcW w:w="2551" w:type="dxa"/>
            <w:vAlign w:val="center"/>
          </w:tcPr>
          <w:p>
            <w:pPr>
              <w:pStyle w:val="11"/>
            </w:pPr>
            <w:r>
              <w:t>271.50</w:t>
            </w:r>
          </w:p>
        </w:tc>
        <w:tc>
          <w:tcPr>
            <w:tcW w:w="2551" w:type="dxa"/>
            <w:vAlign w:val="center"/>
          </w:tcPr>
          <w:p>
            <w:pPr>
              <w:pStyle w:val="11"/>
            </w:pPr>
          </w:p>
        </w:tc>
        <w:tc>
          <w:tcPr>
            <w:tcW w:w="2551" w:type="dxa"/>
            <w:vAlign w:val="center"/>
          </w:tcPr>
          <w:p>
            <w:pPr>
              <w:pStyle w:val="11"/>
            </w:pPr>
            <w:r>
              <w:t>271.50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136001唐山市自然资源和规划局海港经济开发区分局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154.18</w:t>
            </w:r>
          </w:p>
        </w:tc>
        <w:tc>
          <w:tcPr>
            <w:tcW w:w="2551" w:type="dxa"/>
            <w:vAlign w:val="center"/>
          </w:tcPr>
          <w:p>
            <w:pPr>
              <w:pStyle w:val="15"/>
            </w:pPr>
            <w:r>
              <w:t>124.50</w:t>
            </w:r>
          </w:p>
        </w:tc>
        <w:tc>
          <w:tcPr>
            <w:tcW w:w="2551" w:type="dxa"/>
            <w:vAlign w:val="center"/>
          </w:tcPr>
          <w:p>
            <w:pPr>
              <w:pStyle w:val="15"/>
            </w:pPr>
            <w:r>
              <w:t>29.68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114.44</w:t>
            </w:r>
          </w:p>
        </w:tc>
        <w:tc>
          <w:tcPr>
            <w:tcW w:w="2551" w:type="dxa"/>
            <w:vAlign w:val="center"/>
          </w:tcPr>
          <w:p>
            <w:pPr>
              <w:pStyle w:val="11"/>
            </w:pPr>
            <w:r>
              <w:t>114.44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114.44</w:t>
            </w:r>
          </w:p>
        </w:tc>
        <w:tc>
          <w:tcPr>
            <w:tcW w:w="2551" w:type="dxa"/>
            <w:vAlign w:val="center"/>
          </w:tcPr>
          <w:p>
            <w:pPr>
              <w:pStyle w:val="11"/>
            </w:pPr>
            <w:r>
              <w:t>114.44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29.68</w:t>
            </w:r>
          </w:p>
        </w:tc>
        <w:tc>
          <w:tcPr>
            <w:tcW w:w="2551" w:type="dxa"/>
            <w:vAlign w:val="center"/>
          </w:tcPr>
          <w:p>
            <w:pPr>
              <w:pStyle w:val="11"/>
            </w:pPr>
          </w:p>
        </w:tc>
        <w:tc>
          <w:tcPr>
            <w:tcW w:w="2551" w:type="dxa"/>
            <w:vAlign w:val="center"/>
          </w:tcPr>
          <w:p>
            <w:pPr>
              <w:pStyle w:val="11"/>
            </w:pPr>
            <w:r>
              <w:t>29.68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0.48</w:t>
            </w:r>
          </w:p>
        </w:tc>
        <w:tc>
          <w:tcPr>
            <w:tcW w:w="2551" w:type="dxa"/>
            <w:vAlign w:val="center"/>
          </w:tcPr>
          <w:p>
            <w:pPr>
              <w:pStyle w:val="11"/>
            </w:pPr>
          </w:p>
        </w:tc>
        <w:tc>
          <w:tcPr>
            <w:tcW w:w="2551"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8.50</w:t>
            </w:r>
          </w:p>
        </w:tc>
        <w:tc>
          <w:tcPr>
            <w:tcW w:w="2551" w:type="dxa"/>
            <w:vAlign w:val="center"/>
          </w:tcPr>
          <w:p>
            <w:pPr>
              <w:pStyle w:val="11"/>
            </w:pPr>
          </w:p>
        </w:tc>
        <w:tc>
          <w:tcPr>
            <w:tcW w:w="2551" w:type="dxa"/>
            <w:vAlign w:val="center"/>
          </w:tcPr>
          <w:p>
            <w:pPr>
              <w:pStyle w:val="11"/>
            </w:pPr>
            <w:r>
              <w:t>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7.50</w:t>
            </w:r>
          </w:p>
        </w:tc>
        <w:tc>
          <w:tcPr>
            <w:tcW w:w="2551" w:type="dxa"/>
            <w:vAlign w:val="center"/>
          </w:tcPr>
          <w:p>
            <w:pPr>
              <w:pStyle w:val="11"/>
            </w:pPr>
          </w:p>
        </w:tc>
        <w:tc>
          <w:tcPr>
            <w:tcW w:w="2551" w:type="dxa"/>
            <w:vAlign w:val="center"/>
          </w:tcPr>
          <w:p>
            <w:pPr>
              <w:pStyle w:val="11"/>
            </w:pPr>
            <w:r>
              <w:t>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13.20</w:t>
            </w:r>
          </w:p>
        </w:tc>
        <w:tc>
          <w:tcPr>
            <w:tcW w:w="2551" w:type="dxa"/>
            <w:vAlign w:val="center"/>
          </w:tcPr>
          <w:p>
            <w:pPr>
              <w:pStyle w:val="11"/>
            </w:pPr>
          </w:p>
        </w:tc>
        <w:tc>
          <w:tcPr>
            <w:tcW w:w="2551" w:type="dxa"/>
            <w:vAlign w:val="center"/>
          </w:tcPr>
          <w:p>
            <w:pPr>
              <w:pStyle w:val="11"/>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10.06</w:t>
            </w:r>
          </w:p>
        </w:tc>
        <w:tc>
          <w:tcPr>
            <w:tcW w:w="2551" w:type="dxa"/>
            <w:vAlign w:val="center"/>
          </w:tcPr>
          <w:p>
            <w:pPr>
              <w:pStyle w:val="11"/>
            </w:pPr>
            <w:r>
              <w:t>10.06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10.06</w:t>
            </w:r>
          </w:p>
        </w:tc>
        <w:tc>
          <w:tcPr>
            <w:tcW w:w="2551" w:type="dxa"/>
            <w:vAlign w:val="center"/>
          </w:tcPr>
          <w:p>
            <w:pPr>
              <w:pStyle w:val="11"/>
            </w:pPr>
            <w:r>
              <w:t>10.06</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136001唐山市自然资源和规划局海港经济开发区分局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2120802</w:t>
            </w:r>
          </w:p>
        </w:tc>
        <w:tc>
          <w:tcPr>
            <w:tcW w:w="4535" w:type="dxa"/>
            <w:vAlign w:val="center"/>
          </w:tcPr>
          <w:p>
            <w:pPr>
              <w:pStyle w:val="12"/>
            </w:pPr>
            <w:r>
              <w:t>土地开发支出</w:t>
            </w:r>
          </w:p>
        </w:tc>
        <w:tc>
          <w:tcPr>
            <w:tcW w:w="2551" w:type="dxa"/>
            <w:vAlign w:val="center"/>
          </w:tcPr>
          <w:p>
            <w:pPr>
              <w:pStyle w:val="11"/>
            </w:pPr>
            <w:r>
              <w:t>29474.06</w:t>
            </w:r>
          </w:p>
        </w:tc>
        <w:tc>
          <w:tcPr>
            <w:tcW w:w="2551" w:type="dxa"/>
            <w:vAlign w:val="center"/>
          </w:tcPr>
          <w:p>
            <w:pPr>
              <w:pStyle w:val="11"/>
            </w:pPr>
          </w:p>
        </w:tc>
        <w:tc>
          <w:tcPr>
            <w:tcW w:w="2551" w:type="dxa"/>
            <w:vAlign w:val="center"/>
          </w:tcPr>
          <w:p>
            <w:pPr>
              <w:pStyle w:val="11"/>
            </w:pPr>
            <w:r>
              <w:t>29474.06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525.94</w:t>
            </w:r>
          </w:p>
        </w:tc>
        <w:tc>
          <w:tcPr>
            <w:tcW w:w="2551" w:type="dxa"/>
            <w:vAlign w:val="center"/>
          </w:tcPr>
          <w:p>
            <w:pPr>
              <w:pStyle w:val="11"/>
            </w:pPr>
          </w:p>
        </w:tc>
        <w:tc>
          <w:tcPr>
            <w:tcW w:w="2551" w:type="dxa"/>
            <w:vAlign w:val="center"/>
          </w:tcPr>
          <w:p>
            <w:pPr>
              <w:pStyle w:val="11"/>
            </w:pPr>
            <w:r>
              <w:t>525.94</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136001唐山市自然资源和规划局海港经济开发区分局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136001唐山市自然资源和规划局海港经济开发区分局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1.50</w:t>
            </w:r>
          </w:p>
        </w:tc>
        <w:tc>
          <w:tcPr>
            <w:tcW w:w="2381" w:type="dxa"/>
            <w:vAlign w:val="center"/>
          </w:tcPr>
          <w:p>
            <w:pPr>
              <w:pStyle w:val="15"/>
            </w:pPr>
            <w:r>
              <w:t>1.50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1.50</w:t>
            </w:r>
          </w:p>
        </w:tc>
        <w:tc>
          <w:tcPr>
            <w:tcW w:w="2381" w:type="dxa"/>
            <w:vAlign w:val="center"/>
          </w:tcPr>
          <w:p>
            <w:pPr>
              <w:pStyle w:val="11"/>
            </w:pPr>
            <w:r>
              <w:t>1.50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1.50</w:t>
            </w:r>
          </w:p>
        </w:tc>
        <w:tc>
          <w:tcPr>
            <w:tcW w:w="2381" w:type="dxa"/>
            <w:vAlign w:val="center"/>
          </w:tcPr>
          <w:p>
            <w:pPr>
              <w:pStyle w:val="11"/>
            </w:pPr>
            <w:r>
              <w:t>1.50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唐山市自然资源和规划局海港经济开发区分局2025年单位预算信息公开情况说明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按照《中华人民共和国预算法》、《地方预决算公开操作规程》和《关于进一步推进预算公开工作的实施意见》规定，现将唐山市自然资源和规划局海港经济开发区分局2025年单位预算公开如下：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唐山市自然资源和规划局海港经济开发区分局（简称自然资源和规划局）为唐山市自然资源和规划局派出机构，机构规格正科级，由市自然资源和规划局和海港经济开发区管委会双重管理，以市自然资源和规划局管理为主。主要职责是：</w:t>
      </w:r>
    </w:p>
    <w:p>
      <w:pPr>
        <w:pStyle w:val="17"/>
      </w:pPr>
      <w:r>
        <w:t>（一）履行全民所有土地、矿产、湿地、水等自然资源资产所有者职责和所有国土空间用途管制职责。贯彻国家、省、市、区自然资源和规划的相关法律、法规、规章、政策。贯彻执行自然资源和国土空间规划及测绘等地方规范性文件和自然资源保护、开发利用规划。</w:t>
      </w:r>
    </w:p>
    <w:p>
      <w:pPr>
        <w:pStyle w:val="17"/>
      </w:pPr>
      <w:r>
        <w:t>（二）负责辖区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pPr>
        <w:pStyle w:val="17"/>
      </w:pPr>
      <w:r>
        <w:t>（三）负责辖区自然资源统一确权登记工作。贯彻执行国家各类自然资源和不动产统一确权登记、权籍调查、不动产测绘、争议调处、成果应用的制度、标准、规范。建立健全辖区自然资源和不动产登记信息管理基础平台。负责自然资源和不动产登记资料收集、整理、共享、汇交管理等。</w:t>
      </w:r>
    </w:p>
    <w:p>
      <w:pPr>
        <w:pStyle w:val="17"/>
      </w:pPr>
      <w:r>
        <w:t>（四）负责辖区自然资源资产有偿使用工作。贯彻执行国家全民所有自然资源资产统计制度，负责全民所有自然资源资产核算。负责编制全民所有自然资源资产负债表，参与拟订全民所有自然资源资产划拨、出让、租赁、作价出资和土地储备政策，合理配置全民所有自然资源资产。负责自然资源资产价值评估管理，依法收缴相关资产收益。</w:t>
      </w:r>
    </w:p>
    <w:p>
      <w:pPr>
        <w:pStyle w:val="17"/>
      </w:pPr>
      <w:r>
        <w:t>（五）负责辖区自然资源的合理开发利用。参与拟订自然资源发展规划和战略，贯彻国家和省、市自然资源开发利用标准，建立政府公示自然资源价格体系，组织开展自然资源分等定级价格评估和自然资源利用评价考核，节约集约利用自然资源。负责自然资源市场监管。组织落实自然资源管理涉及宏观调控、区域协调和城乡统筹的政策措施。</w:t>
      </w:r>
    </w:p>
    <w:p>
      <w:pPr>
        <w:pStyle w:val="17"/>
      </w:pPr>
      <w:r>
        <w:t>（六）负责建立辖区空间规划体系并监督实施。推进主体功能区战略和制度，组织编制并监督实施分区域规划、区域城镇体系规划、详细规划等国土空间规划和相关专项规划。建立国土空间规划实施监测、评估和预警体系。组织划定生态保护红线、永久基本农田、城镇开发边界等控制线，构建节约资源和保护环境的生产、生活、 生态空间布局。贯彻执行国土空间用途管制制度，贯彻执行城乡规划法律法规和相关政策。负责土地、海洋等自然资源年度利用计划管理工作。负责土地、海域等国土空间用途转用工作。负责土地征收征用管理，负责建设工程规划管理，核发选址意见书、建设用地规划许可证、建设工程规划许可证及乡村建设规划许可证；负责对已批项目实施跟踪管理，对建设工程进行规划条件核实。</w:t>
      </w:r>
    </w:p>
    <w:p>
      <w:pPr>
        <w:pStyle w:val="17"/>
      </w:pPr>
      <w:r>
        <w:t>（七）负责统筹全辖区国土空间生态修复。牵头组织国土空间生态修复规划并实施有关生态修复重大工程。负责国土空间综合整治、土地整理复垦、矿山地质环境修复、工矿废弃地复垦利用、海洋生态、海域海岸线等工作。牵头建立和实施生态保护补偿制度，参与制定合理利用社会资金进行生态修复的政策措施并组织实施，提出备选项目。</w:t>
      </w:r>
    </w:p>
    <w:p>
      <w:pPr>
        <w:pStyle w:val="17"/>
      </w:pPr>
      <w:r>
        <w:t>（八）负责组织实施最严格的耕地保护制度。牵头落实</w:t>
      </w:r>
    </w:p>
    <w:p>
      <w:pPr>
        <w:pStyle w:val="17"/>
      </w:pPr>
      <w:r>
        <w:t>施耕地保护政策，负责耕地数量、质量、生态保护。组织实施耕地保护责任目标考核和永久基本农田特殊保护。落实耕地占补平衡制度。</w:t>
      </w:r>
    </w:p>
    <w:p>
      <w:pPr>
        <w:pStyle w:val="17"/>
      </w:pPr>
      <w:r>
        <w:t>（九）负责管辖区域地质勘查行业和地质工作。编制地质勘查规划并监督检查执行情况。管理地质勘察项目。组织实施地质矿产勘查专项。负责古生物化石的监督管理。</w:t>
      </w:r>
    </w:p>
    <w:p>
      <w:pPr>
        <w:pStyle w:val="17"/>
      </w:pPr>
      <w:r>
        <w:t>（十）负责辖区地质灾害预防和治理。负责落实综合防灾减灾规划相关要求，组织实施地质灾害防治规划和防护标准。组织开展群测群防、专业监测和预报预警等工作，指导开展地质灾害工程治理工作。承担地质灾害应急救援的技术支撑工作。监督管理地下水过量开采及引发的地面沉降等地质问题。</w:t>
      </w:r>
    </w:p>
    <w:p>
      <w:pPr>
        <w:pStyle w:val="17"/>
      </w:pPr>
      <w:r>
        <w:t>（十一）负责辖区矿产资源管理工作。负责矿产资源储量及压覆矿产资源管理测绘地理信息管理工作。会同有关部门负责落实保护性开采的特定矿种、优势矿产的调控及相关管理工作。监督指导矿产资源合理利用和保护。</w:t>
      </w:r>
    </w:p>
    <w:p>
      <w:pPr>
        <w:pStyle w:val="17"/>
      </w:pPr>
      <w:r>
        <w:t>（十二）负责组织实施辖区海洋战略规划。参与制定海洋发展战略并监督实施。参与拟订海岸线综合保护利用等规划和政策并监督实施。负责辖区海洋开发利用和保护的监督管理工作。负责海域使用和海岛保护利用管理。参与拟订海域海岛保护利用规划并监督实施。负责无居民海岛地名管理工作。负责海洋观测预报、预警监测和减灾工作，参与海洋灾害应急处置。</w:t>
      </w:r>
    </w:p>
    <w:p>
      <w:pPr>
        <w:pStyle w:val="17"/>
      </w:pPr>
      <w:r>
        <w:t>（十三）负责辖区测绘地理信息管理工作。负责基础测绘和测绘行业管理。负责测绘资质资格与信用管理，监督管理地理信息安全和市场秩序。负责地理信息公共服务管理。负责测量标志保护。</w:t>
      </w:r>
    </w:p>
    <w:p>
      <w:pPr>
        <w:pStyle w:val="17"/>
      </w:pPr>
      <w:r>
        <w:t>（十四）查处辖区自然资源开发利用和国土空间规划及测绘违法案件。负责有关行政执法工作。</w:t>
      </w:r>
    </w:p>
    <w:p>
      <w:pPr>
        <w:pStyle w:val="17"/>
      </w:pPr>
      <w:r>
        <w:t>（十五）推动辖区自然资源和规划领域科技发展。参与拟订并实施自然资源和规划领域科技创新发展和人才培养战略、规划和计划。参与拟订技术标准、规程规范并监督实施。组织实施科技工程及创新能力建设，推荐自然资源信息化和信息资料的公共服务。</w:t>
      </w:r>
    </w:p>
    <w:p>
      <w:pPr>
        <w:pStyle w:val="17"/>
      </w:pPr>
      <w:r>
        <w:t>（十六）完成市局及党工委、管委会交办的其他任务。 唐山市自然资源和规划局海港经济开发区分局（简称自然资源和规划局）为唐山市自然资源和规划局派出机构，机构规格正科级，由市自然资源和规划局和海港经济开发区管委会双重管理，以市自然资源和规划局管理为主。主要职责是：</w:t>
      </w:r>
    </w:p>
    <w:p>
      <w:pPr>
        <w:pStyle w:val="17"/>
      </w:pPr>
      <w:r>
        <w:t>（一）履行全民所有土地、矿产、湿地、水等自然资源资产所有者职责和所有国土空间用途管制职责。贯彻国家、省、市、区自然资源和规划的相关法律、法规、规章、政策。贯彻执行自然资源和国土空间规划及测绘等地方规范性文件和自然资源保护、开发利用规划。</w:t>
      </w:r>
    </w:p>
    <w:p>
      <w:pPr>
        <w:pStyle w:val="17"/>
      </w:pPr>
      <w:r>
        <w:t>（二）负责辖区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pPr>
        <w:pStyle w:val="17"/>
      </w:pPr>
      <w:r>
        <w:t>（三）负责辖区自然资源统一确权登记工作。贯彻执行国家各类自然资源和不动产统一确权登记、权籍调查、不动产测绘、争议调处、成果应用的制度、标准、规范。建立健全辖区自然资源和不动产登记信息管理基础平台。负责自然资源和不动产登记资料收集、整理、共享、汇交管理等。</w:t>
      </w:r>
    </w:p>
    <w:p>
      <w:pPr>
        <w:pStyle w:val="17"/>
      </w:pPr>
      <w:r>
        <w:t>（四）负责辖区自然资源资产有偿使用工作。贯彻执行国家全民所有自然资源资产统计制度，负责全民所有自然资源资产核算。负责编制全民所有自然资源资产负债表，参与拟订全民所有自然资源资产划拨、出让、租赁、作价出资和土地储备政策，合理配置全民所有自然资源资产。负责自然资源资产价值评估管理，依法收缴相关资产收益。</w:t>
      </w:r>
    </w:p>
    <w:p>
      <w:pPr>
        <w:pStyle w:val="17"/>
      </w:pPr>
      <w:r>
        <w:t>（五）负责辖区自然资源的合理开发利用。参与拟订自然资源发展规划和战略，贯彻国家和省、市自然资源开发利用标准，建立政府公示自然资源价格体系，组织开展自然资源分等定级价格评估和自然资源利用评价考核，节约集约利用自然资源。负责自然资源市场监管。组织落实自然资源管理涉及宏观调控、区域协调和城乡统筹的政策措施。</w:t>
      </w:r>
    </w:p>
    <w:p>
      <w:pPr>
        <w:pStyle w:val="17"/>
      </w:pPr>
      <w:r>
        <w:t>（六）负责建立辖区空间规划体系并监督实施。推进主体功能区战略和制度，组织编制并监督实施分区域规划、区域城镇体系规划、详细规划等国土空间规划和相关专项规划。建立国土空间规划实施监测、评估和预警体系。组织划定生态保护红线、永久基本农田、城镇开发边界等控制线，构建节约资源和保护环境的生产、生活、 生态空间布局。贯彻执行国土空间用途管制制度，贯彻执行城乡规划法律法规和相关政策。负责土地、海洋等自然资源年度利用计划管理工作。负责土地、海域等国土空间用途转用工作。负责土地征收征用管理，负责建设工程规划管理，核发选址意见书、建设用地规划许可证、建设工程规划许可证及乡村建设规划许可证；负责对已批项目实施跟踪管理，对建设工程进行规划条件核实。</w:t>
      </w:r>
    </w:p>
    <w:p>
      <w:pPr>
        <w:pStyle w:val="17"/>
      </w:pPr>
      <w:r>
        <w:t>（七）负责统筹全辖区国土空间生态修复。牵头组织国土空间生态修复规划并实施有关生态修复重大工程。负责国土空间综合整治、土地整理复垦、矿山地质环境修复、工矿废弃地复垦利用、海洋生态、海域海岸线等工作。牵头建立和实施生态保护补偿制度，参与制定合理利用社会资金进行生态修复的政策措施并组织实施，提出备选项目。</w:t>
      </w:r>
    </w:p>
    <w:p>
      <w:pPr>
        <w:pStyle w:val="17"/>
      </w:pPr>
      <w:r>
        <w:t>（八）负责组织实施最严格的耕地保护制度。牵头落实</w:t>
      </w:r>
    </w:p>
    <w:p>
      <w:pPr>
        <w:pStyle w:val="17"/>
      </w:pPr>
      <w:r>
        <w:t>施耕地保护政策，负责耕地数量、质量、生态保护。组织实施耕地保护责任目标考核和永久基本农田特殊保护。落实耕地占补平衡制度。</w:t>
      </w:r>
    </w:p>
    <w:p>
      <w:pPr>
        <w:pStyle w:val="17"/>
      </w:pPr>
      <w:r>
        <w:t>（九）负责管辖区域地质勘查行业和地质工作。编制地质勘查规划并监督检查执行情况。管理地质勘察项目。组织实施地质矿产勘查专项。负责古生物化石的监督管理。</w:t>
      </w:r>
    </w:p>
    <w:p>
      <w:pPr>
        <w:pStyle w:val="17"/>
      </w:pPr>
      <w:r>
        <w:t>（十）负责辖区地质灾害预防和治理。负责落实综合防灾减灾规划相关要求，组织实施地质灾害防治规划和防护标准。组织开展群测群防、专业监测和预报预警等工作，指导开展地质灾害工程治理工作。承担地质灾害应急救援的技术支撑工作。监督管理地下水过量开采及引发的地面沉降等地质问题。</w:t>
      </w:r>
    </w:p>
    <w:p>
      <w:pPr>
        <w:pStyle w:val="17"/>
      </w:pPr>
      <w:r>
        <w:t>（十一）负责辖区矿产资源管理工作。负责矿产资源储量及压覆矿产资源管理测绘地理信息管理工作。会同有关部门负责落实保护性开采的特定矿种、优势矿产的调控及相关管理工作。监督指导矿产资源合理利用和保护。</w:t>
      </w:r>
    </w:p>
    <w:p>
      <w:pPr>
        <w:pStyle w:val="17"/>
      </w:pPr>
      <w:r>
        <w:t>（十二）负责组织实施辖区海洋战略规划。参与制定海洋发展战略并监督实施。参与拟订海岸线综合保护利用等规划和政策并监督实施。负责辖区海洋开发利用和保护的监督管理工作。负责海域使用和海岛保护利用管理。参与拟订海域海岛保护利用规划并监督实施。负责无居民海岛地名管理工作。负责海洋观测预报、预警监测和减灾工作，参与海洋灾害应急处置。</w:t>
      </w:r>
    </w:p>
    <w:p>
      <w:pPr>
        <w:pStyle w:val="17"/>
      </w:pPr>
      <w:r>
        <w:t>（十三）负责辖区测绘地理信息管理工作。负责基础测绘和测绘行业管理。负责测绘资质资格与信用管理，监督管理地理信息安全和市场秩序。负责地理信息公共服务管理。负责测量标志保护。</w:t>
      </w:r>
    </w:p>
    <w:p>
      <w:pPr>
        <w:pStyle w:val="17"/>
      </w:pPr>
      <w:r>
        <w:t>（十四）查处辖区自然资源开发利用和国土空间规划及测绘违法案件。负责有关行政执法工作。</w:t>
      </w:r>
    </w:p>
    <w:p>
      <w:pPr>
        <w:pStyle w:val="17"/>
      </w:pPr>
      <w:r>
        <w:t>（十五）推动辖区自然资源和规划领域科技发展。参与拟订并实施自然资源和规划领域科技创新发展和人才培养战略、规划和计划。参与拟订技术标准、规程规范并监督实施。组织实施科技工程及创新能力建设，推荐自然资源信息化和信息资料的公共服务。</w:t>
      </w:r>
    </w:p>
    <w:p>
      <w:pPr>
        <w:pStyle w:val="17"/>
      </w:pPr>
      <w:r>
        <w:t>（十六）完成市局及党工委、管委会交办的其他任务。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唐山市自然资源和规划局海港经济开发区分局</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31026.18万元，其中：一般公共预算收入1019.18万元，基金预算收入30000.00万元，国有资本经营预算收入0.00万元，财政专户核拨收入0.00万元，单位资金收入0.00万元，上年结转结余7.00万元。</w:t>
      </w:r>
    </w:p>
    <w:p>
      <w:pPr>
        <w:pStyle w:val="18"/>
      </w:pPr>
      <w:r>
        <w:t>2、支出说明</w:t>
      </w:r>
    </w:p>
    <w:p>
      <w:pPr>
        <w:pStyle w:val="18"/>
      </w:pPr>
      <w:r>
        <w:t>收支预算总表支出栏、基本支出表、项目支出表按经济分类和支出功能分类科目编制，反映唐山市自然资源和规划局海港经济开发区分局年度单位预算中支出预算的总体情况。2025年支出预算31026.18万元，其中基本支出154.18万元，包括人员经费124.50万元和日常公用经费29.68万元；项目支出30872.00万元，主要为自然资源管理工作经费300.00万元，自然资源日常管理工作经费100.00万元，劳务派遣人员工资465.00万元，缴纳2023年度耕地保护考核奖惩基金525.936万元，补偿款29474.064万元，2023年度耕地资源质量分类年度更新与监测工作7.00万元。</w:t>
      </w:r>
    </w:p>
    <w:p>
      <w:pPr>
        <w:pStyle w:val="18"/>
      </w:pPr>
      <w:r>
        <w:t>3、比上年增减情况</w:t>
      </w:r>
    </w:p>
    <w:p>
      <w:pPr>
        <w:pStyle w:val="18"/>
      </w:pPr>
      <w:r>
        <w:t>2025年预算收支安排31026.18万元，较2024年预算增加252.10万元，其中：基本支出减少106.90万元，主要为2025年公用支出减少，部分公用支出列入项目支出。项目支出增加359.00万元，主要为根据实际工作需要，2025年项目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1.50万元，其中因公出国（境）费0.00万元；公务用车购置及运维费0.00万元（其中：公务用车购置费为0.00万元，公务用车运维费0.00万元)；公务接待费1.50万元。与2024年相比增加0.00万元，增减变化的主要原因是与上年持平，无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1、2023年度耕地资源质量分类年度更新与监测工作绩效目标表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13021224P00060110001A</w:t>
            </w:r>
          </w:p>
        </w:tc>
        <w:tc>
          <w:tcPr>
            <w:tcW w:w="2835" w:type="dxa"/>
            <w:vAlign w:val="center"/>
          </w:tcPr>
          <w:p>
            <w:pPr>
              <w:pStyle w:val="10"/>
            </w:pPr>
            <w:r>
              <w:t>项目名称</w:t>
            </w:r>
          </w:p>
        </w:tc>
        <w:tc>
          <w:tcPr>
            <w:tcW w:w="6095" w:type="dxa"/>
            <w:gridSpan w:val="3"/>
            <w:vAlign w:val="center"/>
          </w:tcPr>
          <w:p>
            <w:pPr>
              <w:pStyle w:val="12"/>
            </w:pPr>
            <w:r>
              <w:t>2023年度耕地资源质量分类年度更新与监测工作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用于拨付2023年度耕地资源质量分类年度更新与监测工作经费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1.全面掌握年度内耕地现状变化及耕地质量建设引起的耕地质量变化情况，保护耕地质量分类数据的现势性，为落实耕地数量、质量、生态“三位一体”保护提供支撑。</w:t>
            </w:r>
          </w:p>
          <w:p>
            <w:pPr>
              <w:pStyle w:val="12"/>
            </w:pPr>
            <w:r>
              <w:t>2.全面掌握年度内耕地现状变化及耕地质量建设引起的耕地质量变化情况，保护耕地质量分类数据的现势性，为落实耕地数量、质量、生态“三位一体”保护提供支撑。</w:t>
            </w:r>
          </w:p>
          <w:p>
            <w:pPr>
              <w:pStyle w:val="12"/>
            </w:pPr>
            <w:r>
              <w:t>3.全面掌握年度内耕地现状变化及耕地质量建设引起的耕地质量变化情况，保护耕地质量分类数据的现势性，为落实耕地数量、质量、生态“三位一体”保护提供支撑。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编制县级耕地资源质量分类年度更新成果</w:t>
            </w:r>
          </w:p>
        </w:tc>
        <w:tc>
          <w:tcPr>
            <w:tcW w:w="5386" w:type="dxa"/>
            <w:vAlign w:val="center"/>
          </w:tcPr>
          <w:p>
            <w:pPr>
              <w:pStyle w:val="12"/>
            </w:pPr>
            <w:r>
              <w:t>通过10个耕地指标，分析县级耕地资源质量状况。</w:t>
            </w:r>
          </w:p>
        </w:tc>
        <w:tc>
          <w:tcPr>
            <w:tcW w:w="2268" w:type="dxa"/>
            <w:vAlign w:val="center"/>
          </w:tcPr>
          <w:p>
            <w:pPr>
              <w:pStyle w:val="12"/>
            </w:pPr>
            <w:r>
              <w:t>10个</w:t>
            </w:r>
          </w:p>
        </w:tc>
        <w:tc>
          <w:tcPr>
            <w:tcW w:w="1276" w:type="dxa"/>
            <w:vAlign w:val="center"/>
          </w:tcPr>
          <w:p>
            <w:pPr>
              <w:pStyle w:val="12"/>
            </w:pPr>
            <w:r>
              <w:t>根据《河北省耕地资源质量质量分类年度更新与监测工作实施方案（2023年度适用》中确定10个指标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已通过省级审核</w:t>
            </w:r>
          </w:p>
        </w:tc>
        <w:tc>
          <w:tcPr>
            <w:tcW w:w="2268" w:type="dxa"/>
            <w:vAlign w:val="center"/>
          </w:tcPr>
          <w:p>
            <w:pPr>
              <w:pStyle w:val="12"/>
            </w:pPr>
            <w:r>
              <w:t>100%</w:t>
            </w:r>
          </w:p>
        </w:tc>
        <w:tc>
          <w:tcPr>
            <w:tcW w:w="1276" w:type="dxa"/>
            <w:vAlign w:val="center"/>
          </w:tcPr>
          <w:p>
            <w:pPr>
              <w:pStyle w:val="12"/>
            </w:pPr>
            <w:r>
              <w:t>《河北省自然资源厅关于开展2023年度耕地资源质量分类年度更新与监测工作的通知》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根据工作计划在规定时间内提交成果</w:t>
            </w:r>
          </w:p>
        </w:tc>
        <w:tc>
          <w:tcPr>
            <w:tcW w:w="2268" w:type="dxa"/>
            <w:vAlign w:val="center"/>
          </w:tcPr>
          <w:p>
            <w:pPr>
              <w:pStyle w:val="12"/>
            </w:pPr>
            <w:r>
              <w:t>2025年度12月31日前</w:t>
            </w:r>
          </w:p>
        </w:tc>
        <w:tc>
          <w:tcPr>
            <w:tcW w:w="1276" w:type="dxa"/>
            <w:vAlign w:val="center"/>
          </w:tcPr>
          <w:p>
            <w:pPr>
              <w:pStyle w:val="12"/>
            </w:pPr>
            <w:r>
              <w:t>《河北省自然资源厅关于开展2023年度耕地资源质量分类年度更新与监测工作的通知》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实际支出占预算的百分比</w:t>
            </w:r>
          </w:p>
        </w:tc>
        <w:tc>
          <w:tcPr>
            <w:tcW w:w="2268" w:type="dxa"/>
            <w:vAlign w:val="center"/>
          </w:tcPr>
          <w:p>
            <w:pPr>
              <w:pStyle w:val="12"/>
            </w:pPr>
            <w:r>
              <w:t>≥95%</w:t>
            </w:r>
          </w:p>
        </w:tc>
        <w:tc>
          <w:tcPr>
            <w:tcW w:w="1276" w:type="dxa"/>
            <w:vAlign w:val="center"/>
          </w:tcPr>
          <w:p>
            <w:pPr>
              <w:pStyle w:val="12"/>
            </w:pPr>
            <w:r>
              <w:t>《河北省自然资源厅关于开展2023年度耕地资源质量分类年度更新与监测工作的通知》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形成完整的县级耕地资源分类成果</w:t>
            </w:r>
          </w:p>
        </w:tc>
        <w:tc>
          <w:tcPr>
            <w:tcW w:w="5386" w:type="dxa"/>
            <w:vAlign w:val="center"/>
          </w:tcPr>
          <w:p>
            <w:pPr>
              <w:pStyle w:val="12"/>
            </w:pPr>
            <w:r>
              <w:t>形成县级耕地资源质量分类年度分析报告，建立成果数据库。</w:t>
            </w:r>
          </w:p>
        </w:tc>
        <w:tc>
          <w:tcPr>
            <w:tcW w:w="2268" w:type="dxa"/>
            <w:vAlign w:val="center"/>
          </w:tcPr>
          <w:p>
            <w:pPr>
              <w:pStyle w:val="12"/>
            </w:pPr>
            <w:r>
              <w:t>形成成果</w:t>
            </w:r>
          </w:p>
        </w:tc>
        <w:tc>
          <w:tcPr>
            <w:tcW w:w="1276" w:type="dxa"/>
            <w:vAlign w:val="center"/>
          </w:tcPr>
          <w:p>
            <w:pPr>
              <w:pStyle w:val="12"/>
            </w:pPr>
            <w:r>
              <w:t>根据《河北省耕地资源质量质量分类年度更新与监测工作实施方案（2023年度适用》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耕地数量、质量、生态“三位一体”保护</w:t>
            </w:r>
          </w:p>
        </w:tc>
        <w:tc>
          <w:tcPr>
            <w:tcW w:w="5386" w:type="dxa"/>
            <w:vAlign w:val="center"/>
          </w:tcPr>
          <w:p>
            <w:pPr>
              <w:pStyle w:val="12"/>
            </w:pPr>
            <w:r>
              <w:t>为落实耕地数量、质量、生态“三位一体”保护提供支撑</w:t>
            </w:r>
          </w:p>
        </w:tc>
        <w:tc>
          <w:tcPr>
            <w:tcW w:w="2268" w:type="dxa"/>
            <w:vAlign w:val="center"/>
          </w:tcPr>
          <w:p>
            <w:pPr>
              <w:pStyle w:val="12"/>
            </w:pPr>
            <w:r>
              <w:t>有效保护</w:t>
            </w:r>
          </w:p>
        </w:tc>
        <w:tc>
          <w:tcPr>
            <w:tcW w:w="1276" w:type="dxa"/>
            <w:vAlign w:val="center"/>
          </w:tcPr>
          <w:p>
            <w:pPr>
              <w:pStyle w:val="12"/>
            </w:pPr>
            <w:r>
              <w:t>《河北省自然资源厅关于开展2023年度耕地资源质量分类年度更新与监测工作的通知》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≥90%</w:t>
            </w:r>
          </w:p>
        </w:tc>
        <w:tc>
          <w:tcPr>
            <w:tcW w:w="1276" w:type="dxa"/>
            <w:vAlign w:val="center"/>
          </w:tcPr>
          <w:p>
            <w:pPr>
              <w:pStyle w:val="12"/>
            </w:pPr>
            <w:r>
              <w:t>《河北省自然资源厅关于开展2023年度耕地资源质量分类年度更新与监测工作的通知》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2、补偿款绩效目标表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13021225P00000410002Y</w:t>
            </w:r>
          </w:p>
        </w:tc>
        <w:tc>
          <w:tcPr>
            <w:tcW w:w="2835" w:type="dxa"/>
            <w:vAlign w:val="center"/>
          </w:tcPr>
          <w:p>
            <w:pPr>
              <w:pStyle w:val="10"/>
            </w:pPr>
            <w:r>
              <w:t>项目名称</w:t>
            </w:r>
          </w:p>
        </w:tc>
        <w:tc>
          <w:tcPr>
            <w:tcW w:w="6095" w:type="dxa"/>
            <w:gridSpan w:val="3"/>
            <w:vAlign w:val="center"/>
          </w:tcPr>
          <w:p>
            <w:pPr>
              <w:pStyle w:val="12"/>
            </w:pPr>
            <w:r>
              <w:t>补偿款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29474.06</w:t>
            </w:r>
          </w:p>
        </w:tc>
        <w:tc>
          <w:tcPr>
            <w:tcW w:w="2835" w:type="dxa"/>
            <w:vAlign w:val="center"/>
          </w:tcPr>
          <w:p>
            <w:pPr>
              <w:pStyle w:val="10"/>
            </w:pPr>
            <w:r>
              <w:t>其中：财政    资金</w:t>
            </w:r>
          </w:p>
        </w:tc>
        <w:tc>
          <w:tcPr>
            <w:tcW w:w="2551" w:type="dxa"/>
            <w:vAlign w:val="center"/>
          </w:tcPr>
          <w:p>
            <w:pPr>
              <w:pStyle w:val="12"/>
            </w:pPr>
            <w:r>
              <w:t>29474.06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用于拨付补偿款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1.按程序完成土地收储工作，为开发区项目建设提供用地保障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收储面积</w:t>
            </w:r>
          </w:p>
        </w:tc>
        <w:tc>
          <w:tcPr>
            <w:tcW w:w="5386" w:type="dxa"/>
            <w:vAlign w:val="center"/>
          </w:tcPr>
          <w:p>
            <w:pPr>
              <w:pStyle w:val="12"/>
            </w:pPr>
            <w:r>
              <w:t>收储土地及地上附着物</w:t>
            </w:r>
          </w:p>
        </w:tc>
        <w:tc>
          <w:tcPr>
            <w:tcW w:w="2268" w:type="dxa"/>
            <w:vAlign w:val="center"/>
          </w:tcPr>
          <w:p>
            <w:pPr>
              <w:pStyle w:val="12"/>
            </w:pPr>
            <w:r>
              <w:t>2992.65亩</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按约定拨付补偿款</w:t>
            </w:r>
          </w:p>
        </w:tc>
        <w:tc>
          <w:tcPr>
            <w:tcW w:w="5386" w:type="dxa"/>
            <w:vAlign w:val="center"/>
          </w:tcPr>
          <w:p>
            <w:pPr>
              <w:pStyle w:val="12"/>
            </w:pPr>
            <w:r>
              <w:t>达到条件，向区财政申请拨付补偿款</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项目资金拨付</w:t>
            </w:r>
          </w:p>
        </w:tc>
        <w:tc>
          <w:tcPr>
            <w:tcW w:w="5386" w:type="dxa"/>
            <w:vAlign w:val="center"/>
          </w:tcPr>
          <w:p>
            <w:pPr>
              <w:pStyle w:val="12"/>
            </w:pPr>
            <w:r>
              <w:t>区财政审核无误后，及时拨付补偿款</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土地补偿价格</w:t>
            </w:r>
          </w:p>
        </w:tc>
        <w:tc>
          <w:tcPr>
            <w:tcW w:w="5386" w:type="dxa"/>
            <w:vAlign w:val="center"/>
          </w:tcPr>
          <w:p>
            <w:pPr>
              <w:pStyle w:val="12"/>
            </w:pPr>
            <w:r>
              <w:t>按照评估结果确定土地补偿价格</w:t>
            </w:r>
          </w:p>
        </w:tc>
        <w:tc>
          <w:tcPr>
            <w:tcW w:w="2268" w:type="dxa"/>
            <w:vAlign w:val="center"/>
          </w:tcPr>
          <w:p>
            <w:pPr>
              <w:pStyle w:val="12"/>
            </w:pPr>
            <w:r>
              <w:t>30000万元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加快全区经济建设</w:t>
            </w:r>
          </w:p>
        </w:tc>
        <w:tc>
          <w:tcPr>
            <w:tcW w:w="5386" w:type="dxa"/>
            <w:vAlign w:val="center"/>
          </w:tcPr>
          <w:p>
            <w:pPr>
              <w:pStyle w:val="12"/>
            </w:pPr>
            <w:r>
              <w:t>为海港区项目建设提供用地保证，增加财政收入</w:t>
            </w:r>
          </w:p>
        </w:tc>
        <w:tc>
          <w:tcPr>
            <w:tcW w:w="2268" w:type="dxa"/>
            <w:vAlign w:val="center"/>
          </w:tcPr>
          <w:p>
            <w:pPr>
              <w:pStyle w:val="12"/>
            </w:pPr>
            <w:r>
              <w:t>长期</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盘活土地，有效带动全区发展</w:t>
            </w:r>
          </w:p>
        </w:tc>
        <w:tc>
          <w:tcPr>
            <w:tcW w:w="5386" w:type="dxa"/>
            <w:vAlign w:val="center"/>
          </w:tcPr>
          <w:p>
            <w:pPr>
              <w:pStyle w:val="12"/>
            </w:pPr>
            <w:r>
              <w:t>为土地出让提供保障</w:t>
            </w:r>
          </w:p>
        </w:tc>
        <w:tc>
          <w:tcPr>
            <w:tcW w:w="2268" w:type="dxa"/>
            <w:vAlign w:val="center"/>
          </w:tcPr>
          <w:p>
            <w:pPr>
              <w:pStyle w:val="12"/>
            </w:pPr>
            <w:r>
              <w:t>长期</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生态平衡</w:t>
            </w:r>
          </w:p>
        </w:tc>
        <w:tc>
          <w:tcPr>
            <w:tcW w:w="5386" w:type="dxa"/>
            <w:vAlign w:val="center"/>
          </w:tcPr>
          <w:p>
            <w:pPr>
              <w:pStyle w:val="12"/>
            </w:pPr>
            <w:r>
              <w:t>有利于强化自然资源管理秩序，优化土地资源配置</w:t>
            </w:r>
          </w:p>
        </w:tc>
        <w:tc>
          <w:tcPr>
            <w:tcW w:w="2268" w:type="dxa"/>
            <w:vAlign w:val="center"/>
          </w:tcPr>
          <w:p>
            <w:pPr>
              <w:pStyle w:val="12"/>
            </w:pPr>
            <w:r>
              <w:t>长期</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走向市场化，切实维护企业利益</w:t>
            </w:r>
          </w:p>
        </w:tc>
        <w:tc>
          <w:tcPr>
            <w:tcW w:w="5386" w:type="dxa"/>
            <w:vAlign w:val="center"/>
          </w:tcPr>
          <w:p>
            <w:pPr>
              <w:pStyle w:val="12"/>
            </w:pPr>
            <w:r>
              <w:t>增加本区可供出让土地面积</w:t>
            </w:r>
          </w:p>
        </w:tc>
        <w:tc>
          <w:tcPr>
            <w:tcW w:w="2268" w:type="dxa"/>
            <w:vAlign w:val="center"/>
          </w:tcPr>
          <w:p>
            <w:pPr>
              <w:pStyle w:val="12"/>
            </w:pPr>
            <w:r>
              <w:t>长期</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被收储单位的满意度</w:t>
            </w:r>
          </w:p>
        </w:tc>
        <w:tc>
          <w:tcPr>
            <w:tcW w:w="5386" w:type="dxa"/>
            <w:vAlign w:val="center"/>
          </w:tcPr>
          <w:p>
            <w:pPr>
              <w:pStyle w:val="12"/>
            </w:pPr>
            <w:r>
              <w:t>被收储单位的满意度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3、缴纳2023年度耕地保护考核奖惩基金绩效目标表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13021225P00005310001R</w:t>
            </w:r>
          </w:p>
        </w:tc>
        <w:tc>
          <w:tcPr>
            <w:tcW w:w="2835" w:type="dxa"/>
            <w:vAlign w:val="center"/>
          </w:tcPr>
          <w:p>
            <w:pPr>
              <w:pStyle w:val="10"/>
            </w:pPr>
            <w:r>
              <w:t>项目名称</w:t>
            </w:r>
          </w:p>
        </w:tc>
        <w:tc>
          <w:tcPr>
            <w:tcW w:w="6095" w:type="dxa"/>
            <w:gridSpan w:val="3"/>
            <w:vAlign w:val="center"/>
          </w:tcPr>
          <w:p>
            <w:pPr>
              <w:pStyle w:val="12"/>
            </w:pPr>
            <w:r>
              <w:t>缴纳2023年度耕地保护考核奖惩基金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525.94</w:t>
            </w:r>
          </w:p>
        </w:tc>
        <w:tc>
          <w:tcPr>
            <w:tcW w:w="2835" w:type="dxa"/>
            <w:vAlign w:val="center"/>
          </w:tcPr>
          <w:p>
            <w:pPr>
              <w:pStyle w:val="10"/>
            </w:pPr>
            <w:r>
              <w:t>其中：财政    资金</w:t>
            </w:r>
          </w:p>
        </w:tc>
        <w:tc>
          <w:tcPr>
            <w:tcW w:w="2551" w:type="dxa"/>
            <w:vAlign w:val="center"/>
          </w:tcPr>
          <w:p>
            <w:pPr>
              <w:pStyle w:val="12"/>
            </w:pPr>
            <w:r>
              <w:t>525.94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用于缴纳2023年度耕地保护考核奖惩基金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1.及时缴纳2023年度耕地保护考核奖惩基金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项目预期目标完成情况</w:t>
            </w:r>
          </w:p>
        </w:tc>
        <w:tc>
          <w:tcPr>
            <w:tcW w:w="5386" w:type="dxa"/>
            <w:vAlign w:val="center"/>
          </w:tcPr>
          <w:p>
            <w:pPr>
              <w:pStyle w:val="12"/>
            </w:pPr>
            <w:r>
              <w:t>项目预期目标完成情况</w:t>
            </w:r>
          </w:p>
        </w:tc>
        <w:tc>
          <w:tcPr>
            <w:tcW w:w="2268" w:type="dxa"/>
            <w:vAlign w:val="center"/>
          </w:tcPr>
          <w:p>
            <w:pPr>
              <w:pStyle w:val="12"/>
            </w:pPr>
            <w:r>
              <w:t>完成</w:t>
            </w:r>
          </w:p>
        </w:tc>
        <w:tc>
          <w:tcPr>
            <w:tcW w:w="1276"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足额缴纳罚款</w:t>
            </w:r>
          </w:p>
        </w:tc>
        <w:tc>
          <w:tcPr>
            <w:tcW w:w="5386" w:type="dxa"/>
            <w:vAlign w:val="center"/>
          </w:tcPr>
          <w:p>
            <w:pPr>
              <w:pStyle w:val="12"/>
            </w:pPr>
            <w:r>
              <w:t>足额缴纳罚款</w:t>
            </w:r>
          </w:p>
        </w:tc>
        <w:tc>
          <w:tcPr>
            <w:tcW w:w="2268" w:type="dxa"/>
            <w:vAlign w:val="center"/>
          </w:tcPr>
          <w:p>
            <w:pPr>
              <w:pStyle w:val="12"/>
            </w:pPr>
            <w:r>
              <w:t>100%</w:t>
            </w:r>
          </w:p>
        </w:tc>
        <w:tc>
          <w:tcPr>
            <w:tcW w:w="1276"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项目预期目标完成及时性</w:t>
            </w:r>
          </w:p>
        </w:tc>
        <w:tc>
          <w:tcPr>
            <w:tcW w:w="5386" w:type="dxa"/>
            <w:vAlign w:val="center"/>
          </w:tcPr>
          <w:p>
            <w:pPr>
              <w:pStyle w:val="12"/>
            </w:pPr>
            <w:r>
              <w:t>项目预期目标完成及时性</w:t>
            </w:r>
          </w:p>
        </w:tc>
        <w:tc>
          <w:tcPr>
            <w:tcW w:w="2268" w:type="dxa"/>
            <w:vAlign w:val="center"/>
          </w:tcPr>
          <w:p>
            <w:pPr>
              <w:pStyle w:val="12"/>
            </w:pPr>
            <w:r>
              <w:t>及时</w:t>
            </w:r>
          </w:p>
        </w:tc>
        <w:tc>
          <w:tcPr>
            <w:tcW w:w="1276"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100%</w:t>
            </w:r>
          </w:p>
        </w:tc>
        <w:tc>
          <w:tcPr>
            <w:tcW w:w="1276"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对全区经济发展贡献</w:t>
            </w:r>
          </w:p>
        </w:tc>
        <w:tc>
          <w:tcPr>
            <w:tcW w:w="5386" w:type="dxa"/>
            <w:vAlign w:val="center"/>
          </w:tcPr>
          <w:p>
            <w:pPr>
              <w:pStyle w:val="12"/>
            </w:pPr>
            <w:r>
              <w:t>对全区经济发展贡献</w:t>
            </w:r>
          </w:p>
        </w:tc>
        <w:tc>
          <w:tcPr>
            <w:tcW w:w="2268" w:type="dxa"/>
            <w:vAlign w:val="center"/>
          </w:tcPr>
          <w:p>
            <w:pPr>
              <w:pStyle w:val="12"/>
            </w:pPr>
            <w:r>
              <w:t>显著</w:t>
            </w:r>
          </w:p>
        </w:tc>
        <w:tc>
          <w:tcPr>
            <w:tcW w:w="1276"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项目实施社会影响力</w:t>
            </w:r>
          </w:p>
        </w:tc>
        <w:tc>
          <w:tcPr>
            <w:tcW w:w="5386" w:type="dxa"/>
            <w:vAlign w:val="center"/>
          </w:tcPr>
          <w:p>
            <w:pPr>
              <w:pStyle w:val="12"/>
            </w:pPr>
            <w:r>
              <w:t>项目实施社会影响力</w:t>
            </w:r>
          </w:p>
        </w:tc>
        <w:tc>
          <w:tcPr>
            <w:tcW w:w="2268" w:type="dxa"/>
            <w:vAlign w:val="center"/>
          </w:tcPr>
          <w:p>
            <w:pPr>
              <w:pStyle w:val="12"/>
            </w:pPr>
            <w:r>
              <w:t>显著</w:t>
            </w:r>
          </w:p>
        </w:tc>
        <w:tc>
          <w:tcPr>
            <w:tcW w:w="1276"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有效促进自然资源生态保护</w:t>
            </w:r>
          </w:p>
        </w:tc>
        <w:tc>
          <w:tcPr>
            <w:tcW w:w="5386" w:type="dxa"/>
            <w:vAlign w:val="center"/>
          </w:tcPr>
          <w:p>
            <w:pPr>
              <w:pStyle w:val="12"/>
            </w:pPr>
            <w:r>
              <w:t>有效促进自然资源生态保护</w:t>
            </w:r>
          </w:p>
        </w:tc>
        <w:tc>
          <w:tcPr>
            <w:tcW w:w="2268" w:type="dxa"/>
            <w:vAlign w:val="center"/>
          </w:tcPr>
          <w:p>
            <w:pPr>
              <w:pStyle w:val="12"/>
            </w:pPr>
            <w:r>
              <w:t>显著</w:t>
            </w:r>
          </w:p>
        </w:tc>
        <w:tc>
          <w:tcPr>
            <w:tcW w:w="1276"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≥0.9%</w:t>
            </w:r>
          </w:p>
        </w:tc>
        <w:tc>
          <w:tcPr>
            <w:tcW w:w="1276"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≥0.9%</w:t>
            </w:r>
          </w:p>
        </w:tc>
        <w:tc>
          <w:tcPr>
            <w:tcW w:w="1276" w:type="dxa"/>
            <w:vAlign w:val="center"/>
          </w:tcPr>
          <w:p>
            <w:pPr>
              <w:pStyle w:val="12"/>
            </w:pPr>
            <w:r>
              <w:t>根据年初工作计划安排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4、劳务派遣人员工资绩效目标表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13021225P000002100037</w:t>
            </w:r>
          </w:p>
        </w:tc>
        <w:tc>
          <w:tcPr>
            <w:tcW w:w="2835" w:type="dxa"/>
            <w:vAlign w:val="center"/>
          </w:tcPr>
          <w:p>
            <w:pPr>
              <w:pStyle w:val="10"/>
            </w:pPr>
            <w:r>
              <w:t>项目名称</w:t>
            </w:r>
          </w:p>
        </w:tc>
        <w:tc>
          <w:tcPr>
            <w:tcW w:w="6095" w:type="dxa"/>
            <w:gridSpan w:val="3"/>
            <w:vAlign w:val="center"/>
          </w:tcPr>
          <w:p>
            <w:pPr>
              <w:pStyle w:val="12"/>
            </w:pPr>
            <w:r>
              <w:t>劳务派遣人员工资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465.00</w:t>
            </w:r>
          </w:p>
        </w:tc>
        <w:tc>
          <w:tcPr>
            <w:tcW w:w="2835" w:type="dxa"/>
            <w:vAlign w:val="center"/>
          </w:tcPr>
          <w:p>
            <w:pPr>
              <w:pStyle w:val="10"/>
            </w:pPr>
            <w:r>
              <w:t>其中：财政    资金</w:t>
            </w:r>
          </w:p>
        </w:tc>
        <w:tc>
          <w:tcPr>
            <w:tcW w:w="2551" w:type="dxa"/>
            <w:vAlign w:val="center"/>
          </w:tcPr>
          <w:p>
            <w:pPr>
              <w:pStyle w:val="12"/>
            </w:pPr>
            <w:r>
              <w:t>465.00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用于拨付派遣人员工资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1.保障单位劳务派遣人员用工需要及劳务派遣人员的工资保险等。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年初工作计划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提高安全性保障</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5、自然资源管理工作经费绩效目标表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13021225P000003100029</w:t>
            </w:r>
          </w:p>
        </w:tc>
        <w:tc>
          <w:tcPr>
            <w:tcW w:w="2835" w:type="dxa"/>
            <w:vAlign w:val="center"/>
          </w:tcPr>
          <w:p>
            <w:pPr>
              <w:pStyle w:val="10"/>
            </w:pPr>
            <w:r>
              <w:t>项目名称</w:t>
            </w:r>
          </w:p>
        </w:tc>
        <w:tc>
          <w:tcPr>
            <w:tcW w:w="6095" w:type="dxa"/>
            <w:gridSpan w:val="3"/>
            <w:vAlign w:val="center"/>
          </w:tcPr>
          <w:p>
            <w:pPr>
              <w:pStyle w:val="12"/>
            </w:pPr>
            <w:r>
              <w:t>自然资源管理工作经费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用于支付自然资源管理工作经费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1.根据自然资源和规划管理工作安排支出，保障自然资源和规划管理工作及时完成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项目预期目标完成情况</w:t>
            </w:r>
          </w:p>
        </w:tc>
        <w:tc>
          <w:tcPr>
            <w:tcW w:w="5386" w:type="dxa"/>
            <w:vAlign w:val="center"/>
          </w:tcPr>
          <w:p>
            <w:pPr>
              <w:pStyle w:val="12"/>
            </w:pPr>
            <w:r>
              <w:t>项目预期目标完成情况</w:t>
            </w:r>
          </w:p>
        </w:tc>
        <w:tc>
          <w:tcPr>
            <w:tcW w:w="2268" w:type="dxa"/>
            <w:vAlign w:val="center"/>
          </w:tcPr>
          <w:p>
            <w:pPr>
              <w:pStyle w:val="12"/>
            </w:pPr>
            <w:r>
              <w:t>完成</w:t>
            </w:r>
          </w:p>
        </w:tc>
        <w:tc>
          <w:tcPr>
            <w:tcW w:w="1276" w:type="dxa"/>
            <w:vAlign w:val="center"/>
          </w:tcPr>
          <w:p>
            <w:pPr>
              <w:pStyle w:val="12"/>
            </w:pPr>
            <w:r>
              <w:t>项目预期目标完成情况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项目验收通过率</w:t>
            </w:r>
          </w:p>
        </w:tc>
        <w:tc>
          <w:tcPr>
            <w:tcW w:w="5386" w:type="dxa"/>
            <w:vAlign w:val="center"/>
          </w:tcPr>
          <w:p>
            <w:pPr>
              <w:pStyle w:val="12"/>
            </w:pPr>
            <w:r>
              <w:t>项目验收通过率</w:t>
            </w:r>
          </w:p>
        </w:tc>
        <w:tc>
          <w:tcPr>
            <w:tcW w:w="2268" w:type="dxa"/>
            <w:vAlign w:val="center"/>
          </w:tcPr>
          <w:p>
            <w:pPr>
              <w:pStyle w:val="12"/>
            </w:pPr>
            <w:r>
              <w:t>≥80%</w:t>
            </w:r>
          </w:p>
        </w:tc>
        <w:tc>
          <w:tcPr>
            <w:tcW w:w="1276" w:type="dxa"/>
            <w:vAlign w:val="center"/>
          </w:tcPr>
          <w:p>
            <w:pPr>
              <w:pStyle w:val="12"/>
            </w:pPr>
            <w:r>
              <w:t>项目验收通过率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项目预期目标完成及时性</w:t>
            </w:r>
          </w:p>
        </w:tc>
        <w:tc>
          <w:tcPr>
            <w:tcW w:w="5386" w:type="dxa"/>
            <w:vAlign w:val="center"/>
          </w:tcPr>
          <w:p>
            <w:pPr>
              <w:pStyle w:val="12"/>
            </w:pPr>
            <w:r>
              <w:t>项目预期目标完成及时性</w:t>
            </w:r>
          </w:p>
        </w:tc>
        <w:tc>
          <w:tcPr>
            <w:tcW w:w="2268" w:type="dxa"/>
            <w:vAlign w:val="center"/>
          </w:tcPr>
          <w:p>
            <w:pPr>
              <w:pStyle w:val="12"/>
            </w:pPr>
            <w:r>
              <w:t>及时</w:t>
            </w:r>
          </w:p>
        </w:tc>
        <w:tc>
          <w:tcPr>
            <w:tcW w:w="1276" w:type="dxa"/>
            <w:vAlign w:val="center"/>
          </w:tcPr>
          <w:p>
            <w:pPr>
              <w:pStyle w:val="12"/>
            </w:pPr>
            <w:r>
              <w:t>项目预期目标完成及时性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符合相关价格成本标准</w:t>
            </w:r>
          </w:p>
        </w:tc>
        <w:tc>
          <w:tcPr>
            <w:tcW w:w="5386" w:type="dxa"/>
            <w:vAlign w:val="center"/>
          </w:tcPr>
          <w:p>
            <w:pPr>
              <w:pStyle w:val="12"/>
            </w:pPr>
            <w:r>
              <w:t>符合相关价格成本标准</w:t>
            </w:r>
          </w:p>
        </w:tc>
        <w:tc>
          <w:tcPr>
            <w:tcW w:w="2268" w:type="dxa"/>
            <w:vAlign w:val="center"/>
          </w:tcPr>
          <w:p>
            <w:pPr>
              <w:pStyle w:val="12"/>
            </w:pPr>
            <w:r>
              <w:t>符合</w:t>
            </w:r>
          </w:p>
        </w:tc>
        <w:tc>
          <w:tcPr>
            <w:tcW w:w="1276" w:type="dxa"/>
            <w:vAlign w:val="center"/>
          </w:tcPr>
          <w:p>
            <w:pPr>
              <w:pStyle w:val="12"/>
            </w:pPr>
            <w:r>
              <w:t>符合相关价格成本标准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对全区经济发展贡献</w:t>
            </w:r>
          </w:p>
        </w:tc>
        <w:tc>
          <w:tcPr>
            <w:tcW w:w="5386" w:type="dxa"/>
            <w:vAlign w:val="center"/>
          </w:tcPr>
          <w:p>
            <w:pPr>
              <w:pStyle w:val="12"/>
            </w:pPr>
            <w:r>
              <w:t>对全区经济发展贡献</w:t>
            </w:r>
          </w:p>
        </w:tc>
        <w:tc>
          <w:tcPr>
            <w:tcW w:w="2268" w:type="dxa"/>
            <w:vAlign w:val="center"/>
          </w:tcPr>
          <w:p>
            <w:pPr>
              <w:pStyle w:val="12"/>
            </w:pPr>
            <w:r>
              <w:t>显著</w:t>
            </w:r>
          </w:p>
        </w:tc>
        <w:tc>
          <w:tcPr>
            <w:tcW w:w="1276" w:type="dxa"/>
            <w:vAlign w:val="center"/>
          </w:tcPr>
          <w:p>
            <w:pPr>
              <w:pStyle w:val="12"/>
            </w:pPr>
            <w:r>
              <w:t>对全区经济发展贡献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项目实施社会影响力</w:t>
            </w:r>
          </w:p>
        </w:tc>
        <w:tc>
          <w:tcPr>
            <w:tcW w:w="5386" w:type="dxa"/>
            <w:vAlign w:val="center"/>
          </w:tcPr>
          <w:p>
            <w:pPr>
              <w:pStyle w:val="12"/>
            </w:pPr>
            <w:r>
              <w:t>项目实施社会影响力</w:t>
            </w:r>
          </w:p>
        </w:tc>
        <w:tc>
          <w:tcPr>
            <w:tcW w:w="2268" w:type="dxa"/>
            <w:vAlign w:val="center"/>
          </w:tcPr>
          <w:p>
            <w:pPr>
              <w:pStyle w:val="12"/>
            </w:pPr>
            <w:r>
              <w:t>显著</w:t>
            </w:r>
          </w:p>
        </w:tc>
        <w:tc>
          <w:tcPr>
            <w:tcW w:w="1276" w:type="dxa"/>
            <w:vAlign w:val="center"/>
          </w:tcPr>
          <w:p>
            <w:pPr>
              <w:pStyle w:val="12"/>
            </w:pPr>
            <w:r>
              <w:t>项目实施社会影响力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有效促进自然资源生态保护</w:t>
            </w:r>
          </w:p>
        </w:tc>
        <w:tc>
          <w:tcPr>
            <w:tcW w:w="5386" w:type="dxa"/>
            <w:vAlign w:val="center"/>
          </w:tcPr>
          <w:p>
            <w:pPr>
              <w:pStyle w:val="12"/>
            </w:pPr>
            <w:r>
              <w:t>有效促进自然资源生态保护</w:t>
            </w:r>
          </w:p>
        </w:tc>
        <w:tc>
          <w:tcPr>
            <w:tcW w:w="2268" w:type="dxa"/>
            <w:vAlign w:val="center"/>
          </w:tcPr>
          <w:p>
            <w:pPr>
              <w:pStyle w:val="12"/>
            </w:pPr>
            <w:r>
              <w:t>显著</w:t>
            </w:r>
          </w:p>
        </w:tc>
        <w:tc>
          <w:tcPr>
            <w:tcW w:w="1276" w:type="dxa"/>
            <w:vAlign w:val="center"/>
          </w:tcPr>
          <w:p>
            <w:pPr>
              <w:pStyle w:val="12"/>
            </w:pPr>
            <w:r>
              <w:t>有效促进自然资源生态保护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≥90%</w:t>
            </w:r>
          </w:p>
        </w:tc>
        <w:tc>
          <w:tcPr>
            <w:tcW w:w="1276" w:type="dxa"/>
            <w:vAlign w:val="center"/>
          </w:tcPr>
          <w:p>
            <w:pPr>
              <w:pStyle w:val="12"/>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≥90%</w:t>
            </w:r>
          </w:p>
        </w:tc>
        <w:tc>
          <w:tcPr>
            <w:tcW w:w="1276" w:type="dxa"/>
            <w:vAlign w:val="center"/>
          </w:tcPr>
          <w:p>
            <w:pPr>
              <w:pStyle w:val="12"/>
            </w:pPr>
            <w:r>
              <w:t>受益群体满意度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6、自然资源日常管理工作经费绩效目标表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13021225P00000110002X</w:t>
            </w:r>
          </w:p>
        </w:tc>
        <w:tc>
          <w:tcPr>
            <w:tcW w:w="2835" w:type="dxa"/>
            <w:vAlign w:val="center"/>
          </w:tcPr>
          <w:p>
            <w:pPr>
              <w:pStyle w:val="10"/>
            </w:pPr>
            <w:r>
              <w:t>项目名称</w:t>
            </w:r>
          </w:p>
        </w:tc>
        <w:tc>
          <w:tcPr>
            <w:tcW w:w="6095" w:type="dxa"/>
            <w:gridSpan w:val="3"/>
            <w:vAlign w:val="center"/>
          </w:tcPr>
          <w:p>
            <w:pPr>
              <w:pStyle w:val="12"/>
            </w:pPr>
            <w:r>
              <w:t>自然资源日常管理工作经费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及时拨付自然资源日常管理工作经费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1.做好日常经费支出，保障单位正常运行。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日常经费执行率</w:t>
            </w:r>
          </w:p>
        </w:tc>
        <w:tc>
          <w:tcPr>
            <w:tcW w:w="5386" w:type="dxa"/>
            <w:vAlign w:val="center"/>
          </w:tcPr>
          <w:p>
            <w:pPr>
              <w:pStyle w:val="12"/>
            </w:pPr>
            <w:r>
              <w:t>日常经费执行率</w:t>
            </w:r>
          </w:p>
        </w:tc>
        <w:tc>
          <w:tcPr>
            <w:tcW w:w="2268" w:type="dxa"/>
            <w:vAlign w:val="center"/>
          </w:tcPr>
          <w:p>
            <w:pPr>
              <w:pStyle w:val="12"/>
            </w:pPr>
            <w:r>
              <w:t>100%</w:t>
            </w:r>
          </w:p>
        </w:tc>
        <w:tc>
          <w:tcPr>
            <w:tcW w:w="1276" w:type="dxa"/>
            <w:vAlign w:val="center"/>
          </w:tcPr>
          <w:p>
            <w:pPr>
              <w:pStyle w:val="12"/>
            </w:pPr>
            <w:r>
              <w:t>年初工作计划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保障工作正常运转率</w:t>
            </w:r>
          </w:p>
        </w:tc>
        <w:tc>
          <w:tcPr>
            <w:tcW w:w="5386" w:type="dxa"/>
            <w:vAlign w:val="center"/>
          </w:tcPr>
          <w:p>
            <w:pPr>
              <w:pStyle w:val="12"/>
            </w:pPr>
            <w:r>
              <w:t>保障工作正常运转率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满足业务开展需求</w:t>
            </w:r>
          </w:p>
        </w:tc>
        <w:tc>
          <w:tcPr>
            <w:tcW w:w="5386" w:type="dxa"/>
            <w:vAlign w:val="center"/>
          </w:tcPr>
          <w:p>
            <w:pPr>
              <w:pStyle w:val="12"/>
            </w:pPr>
            <w:r>
              <w:t>满足业务开展需求</w:t>
            </w:r>
          </w:p>
        </w:tc>
        <w:tc>
          <w:tcPr>
            <w:tcW w:w="2268" w:type="dxa"/>
            <w:vAlign w:val="center"/>
          </w:tcPr>
          <w:p>
            <w:pPr>
              <w:pStyle w:val="12"/>
            </w:pPr>
            <w:r>
              <w:t>满足业务开展需求</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136001唐山市自然资源和规划局海港经济开发区分局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唐山市自然资源和规划局海港经济开发区分局上年末固定资产金额为1574.16万元（详见下表）。本年度拟购置固定资产总额为7.90万元，已按要求列入政府采购预算，详见政府采购预算表。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136001唐山市自然资源和规划局海港经济开发区分局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1574.16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5674.60</w:t>
            </w:r>
          </w:p>
        </w:tc>
        <w:tc>
          <w:tcPr>
            <w:tcW w:w="2835" w:type="dxa"/>
            <w:vAlign w:val="center"/>
          </w:tcPr>
          <w:p>
            <w:pPr>
              <w:pStyle w:val="11"/>
            </w:pPr>
            <w:r>
              <w:t>651.76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1599</w:t>
            </w:r>
          </w:p>
        </w:tc>
        <w:tc>
          <w:tcPr>
            <w:tcW w:w="2835" w:type="dxa"/>
            <w:vAlign w:val="center"/>
          </w:tcPr>
          <w:p>
            <w:pPr>
              <w:pStyle w:val="11"/>
            </w:pPr>
            <w:r>
              <w:t>183.65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5</w:t>
            </w:r>
          </w:p>
        </w:tc>
        <w:tc>
          <w:tcPr>
            <w:tcW w:w="2835" w:type="dxa"/>
            <w:vAlign w:val="center"/>
          </w:tcPr>
          <w:p>
            <w:pPr>
              <w:pStyle w:val="11"/>
            </w:pPr>
            <w:r>
              <w:t>108.81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4</w:t>
            </w:r>
          </w:p>
        </w:tc>
        <w:tc>
          <w:tcPr>
            <w:tcW w:w="2835" w:type="dxa"/>
            <w:vAlign w:val="center"/>
          </w:tcPr>
          <w:p>
            <w:pPr>
              <w:pStyle w:val="11"/>
            </w:pPr>
            <w:r>
              <w:t>499.92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661</w:t>
            </w:r>
          </w:p>
        </w:tc>
        <w:tc>
          <w:tcPr>
            <w:tcW w:w="2835" w:type="dxa"/>
            <w:vAlign w:val="center"/>
          </w:tcPr>
          <w:p>
            <w:pPr>
              <w:pStyle w:val="11"/>
            </w:pPr>
            <w:r>
              <w:t>313.67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9404F"/>
    <w:rsid w:val="4CCD3180"/>
    <w:rsid w:val="65662A2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TotalTime>51</TotalTime>
  <ScaleCrop>false</ScaleCrop>
  <LinksUpToDate>false</LinksUpToDate>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2025-02-12T09:58:00Z</dcterms:created>
  <dc:creator>Administrator.PC-20200417LVXS</dc:creator>
  <cp:lastModifiedBy>Administrator</cp:lastModifiedBy>
  <cp:lastPrinted>2025-02-12T03:14:58Z</cp:lastPrinted>
  <dcterms:modified xsi:type="dcterms:W3CDTF">2025-02-12T05:33:32Z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