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一、单位</w:t>
      </w:r>
      <w:r>
        <w:rPr>
          <w:rFonts w:ascii="方正楷体_GBK" w:hAnsi="方正楷体_GBK" w:eastAsia="方正楷体_GBK" w:cs="方正楷体_GBK"/>
          <w:b/>
          <w:color w:val="000000"/>
          <w:sz w:val="28"/>
        </w:rPr>
        <w:t>预算公开表</w:t>
      </w:r>
    </w:p>
    <w:p>
      <w:pPr>
        <w:pStyle w:val="26"/>
        <w:tabs>
          <w:tab w:val="right" w:leader="dot" w:pos="14562"/>
        </w:tabs>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6"/>
        <w:tabs>
          <w:tab w:val="right" w:leader="dot" w:pos="14562"/>
        </w:tabs>
      </w:pPr>
      <w:r>
        <w:rPr>
          <w:rFonts w:hint="eastAsia"/>
          <w:lang w:val="en-US" w:eastAsia="zh-CN"/>
        </w:rPr>
        <w:t>2、</w:t>
      </w: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6"/>
        <w:tabs>
          <w:tab w:val="right" w:leader="dot" w:pos="14562"/>
        </w:tabs>
      </w:pPr>
      <w:r>
        <w:rPr>
          <w:rFonts w:hint="eastAsia"/>
          <w:lang w:val="en-US" w:eastAsia="zh-CN"/>
        </w:rPr>
        <w:t>3、</w:t>
      </w:r>
      <w:r>
        <w:rPr>
          <w:rFonts w:hint="eastAsia"/>
          <w:lang w:eastAsia="zh-CN"/>
        </w:rPr>
        <w:t>单位</w:t>
      </w:r>
      <w:r>
        <w:fldChar w:fldCharType="begin"/>
      </w:r>
      <w:r>
        <w:instrText xml:space="preserve"> HYPERLINK \l "_Toc_2_2_0000000003" </w:instrText>
      </w:r>
      <w:r>
        <w:fldChar w:fldCharType="separate"/>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6"/>
        <w:tabs>
          <w:tab w:val="right" w:leader="dot" w:pos="14562"/>
        </w:tabs>
      </w:pPr>
      <w:r>
        <w:rPr>
          <w:rFonts w:hint="eastAsia"/>
          <w:lang w:val="en-US" w:eastAsia="zh-CN"/>
        </w:rPr>
        <w:t>4、</w:t>
      </w: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6"/>
        <w:tabs>
          <w:tab w:val="right" w:leader="dot" w:pos="14562"/>
        </w:tabs>
        <w:rPr>
          <w:rFonts w:hint="eastAsia" w:eastAsia="方正仿宋_GBK"/>
          <w:lang w:val="en-US" w:eastAsia="zh-CN"/>
        </w:rPr>
      </w:pPr>
      <w:r>
        <w:rPr>
          <w:rFonts w:hint="eastAsia"/>
          <w:lang w:val="en-US" w:eastAsia="zh-CN"/>
        </w:rPr>
        <w:t>5、</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26"/>
        <w:tabs>
          <w:tab w:val="right" w:leader="dot" w:pos="14562"/>
        </w:tabs>
      </w:pPr>
      <w:r>
        <w:rPr>
          <w:rFonts w:hint="eastAsia"/>
          <w:lang w:val="en-US" w:eastAsia="zh-CN"/>
        </w:rPr>
        <w:t>6、</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9</w:t>
      </w:r>
      <w:r>
        <w:fldChar w:fldCharType="end"/>
      </w:r>
    </w:p>
    <w:p>
      <w:pPr>
        <w:pStyle w:val="26"/>
        <w:tabs>
          <w:tab w:val="right" w:leader="dot" w:pos="14562"/>
        </w:tabs>
        <w:rPr>
          <w:rFonts w:hint="eastAsia" w:eastAsia="方正仿宋_GBK"/>
          <w:lang w:val="en-US" w:eastAsia="zh-CN"/>
        </w:rPr>
      </w:pPr>
      <w:r>
        <w:rPr>
          <w:rFonts w:hint="eastAsia"/>
          <w:lang w:val="en-US" w:eastAsia="zh-CN"/>
        </w:rPr>
        <w:t>7、</w:t>
      </w: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0</w:t>
      </w:r>
    </w:p>
    <w:p>
      <w:pPr>
        <w:pStyle w:val="26"/>
        <w:tabs>
          <w:tab w:val="right" w:leader="dot" w:pos="14562"/>
        </w:tabs>
        <w:rPr>
          <w:rFonts w:hint="eastAsia" w:eastAsia="方正仿宋_GBK"/>
          <w:lang w:val="en-US" w:eastAsia="zh-CN"/>
        </w:rPr>
      </w:pPr>
      <w:r>
        <w:rPr>
          <w:rFonts w:hint="eastAsia"/>
          <w:lang w:val="en-US" w:eastAsia="zh-CN"/>
        </w:rPr>
        <w:t>8、</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26"/>
        <w:tabs>
          <w:tab w:val="right" w:leader="dot" w:pos="14562"/>
        </w:tabs>
        <w:rPr>
          <w:rFonts w:hint="eastAsia" w:eastAsia="方正仿宋_GBK"/>
          <w:lang w:val="en-US" w:eastAsia="zh-CN"/>
        </w:rPr>
      </w:pPr>
      <w:r>
        <w:rPr>
          <w:rFonts w:hint="eastAsia"/>
          <w:lang w:val="en-US" w:eastAsia="zh-CN"/>
        </w:rPr>
        <w:t>9、</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3</w:t>
      </w:r>
      <w:r>
        <w:fldChar w:fldCharType="end"/>
      </w:r>
      <w:r>
        <w:fldChar w:fldCharType="end"/>
      </w:r>
    </w:p>
    <w:p>
      <w:pPr>
        <w:pStyle w:val="26"/>
        <w:tabs>
          <w:tab w:val="right" w:leader="dot" w:pos="14562"/>
        </w:tabs>
      </w:pPr>
      <w:r>
        <w:fldChar w:fldCharType="begin"/>
      </w:r>
      <w:r>
        <w:instrText xml:space="preserve"> HYPERLINK \l "_Toc_3_3_0000000011" </w:instrText>
      </w:r>
      <w:r>
        <w:fldChar w:fldCharType="separate"/>
      </w:r>
      <w:r>
        <w:rPr>
          <w:rFonts w:hint="eastAsia"/>
          <w:lang w:val="en-US" w:eastAsia="zh-CN"/>
        </w:rPr>
        <w:t>2</w:t>
      </w:r>
      <w:r>
        <w:t>、</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4</w:t>
      </w:r>
      <w:r>
        <w:fldChar w:fldCharType="end"/>
      </w:r>
      <w:r>
        <w:fldChar w:fldCharType="end"/>
      </w:r>
    </w:p>
    <w:p>
      <w:pPr>
        <w:pStyle w:val="26"/>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pPr>
        <w:pStyle w:val="26"/>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pPr>
        <w:pStyle w:val="26"/>
        <w:tabs>
          <w:tab w:val="right" w:leader="dot" w:pos="14562"/>
        </w:tabs>
      </w:pPr>
      <w:r>
        <w:fldChar w:fldCharType="begin"/>
      </w:r>
      <w:r>
        <w:instrText xml:space="preserve"> HYPERLINK \l "_Toc_3_3_0000000014" </w:instrText>
      </w:r>
      <w:r>
        <w:fldChar w:fldCharType="separate"/>
      </w:r>
      <w:r>
        <w:rPr>
          <w:rFonts w:hint="eastAsia"/>
          <w:lang w:val="en-US" w:eastAsia="zh-CN"/>
        </w:rPr>
        <w:t>5</w:t>
      </w:r>
      <w:r>
        <w:t>、</w:t>
      </w:r>
      <w:r>
        <w:rPr>
          <w:rFonts w:hint="eastAsia" w:ascii="Times New Roman" w:hAnsi="Times New Roman" w:eastAsia="方正仿宋_GBK" w:cs="Times New Roman"/>
          <w:sz w:val="32"/>
          <w:szCs w:val="32"/>
        </w:rPr>
        <w:t>单位项目预算安排情况及绩效目标</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pPr>
        <w:pStyle w:val="2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val="en-US" w:eastAsia="zh-CN"/>
        </w:rPr>
        <w:t>6</w:t>
      </w:r>
      <w:r>
        <w:t>、</w:t>
      </w:r>
      <w:r>
        <w:rPr>
          <w:rFonts w:hint="eastAsia" w:ascii="Times New Roman" w:hAnsi="Times New Roman" w:eastAsia="方正仿宋_GBK" w:cs="Times New Roman"/>
          <w:sz w:val="32"/>
          <w:szCs w:val="32"/>
        </w:rPr>
        <w:t>政府采购预算情况</w:t>
      </w:r>
      <w:r>
        <w:tab/>
      </w:r>
      <w:r>
        <w:rPr>
          <w:rFonts w:hint="eastAsia"/>
          <w:lang w:val="en-US" w:eastAsia="zh-CN"/>
        </w:rPr>
        <w:t>2</w:t>
      </w:r>
      <w:r>
        <w:fldChar w:fldCharType="end"/>
      </w:r>
      <w:r>
        <w:rPr>
          <w:rFonts w:hint="eastAsia"/>
          <w:lang w:val="en-US" w:eastAsia="zh-CN"/>
        </w:rPr>
        <w:t>5</w:t>
      </w:r>
    </w:p>
    <w:p>
      <w:pPr>
        <w:pStyle w:val="2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7</w:t>
      </w:r>
      <w:r>
        <w:t>、国有资产信息</w:t>
      </w:r>
      <w:r>
        <w:tab/>
      </w:r>
      <w:r>
        <w:rPr>
          <w:rFonts w:hint="eastAsia"/>
          <w:lang w:val="en-US" w:eastAsia="zh-CN"/>
        </w:rPr>
        <w:t>2</w:t>
      </w:r>
      <w:r>
        <w:fldChar w:fldCharType="end"/>
      </w:r>
      <w:r>
        <w:rPr>
          <w:rFonts w:hint="eastAsia"/>
          <w:lang w:val="en-US" w:eastAsia="zh-CN"/>
        </w:rPr>
        <w:t>5</w:t>
      </w:r>
    </w:p>
    <w:p>
      <w:pPr>
        <w:pStyle w:val="26"/>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8</w:t>
      </w:r>
      <w:r>
        <w:t>、名词解释</w:t>
      </w:r>
      <w:r>
        <w:tab/>
      </w:r>
      <w:r>
        <w:rPr>
          <w:rFonts w:hint="eastAsia"/>
          <w:lang w:val="en-US" w:eastAsia="zh-CN"/>
        </w:rPr>
        <w:t>2</w:t>
      </w:r>
      <w:r>
        <w:fldChar w:fldCharType="end"/>
      </w:r>
      <w:r>
        <w:rPr>
          <w:rFonts w:hint="eastAsia"/>
          <w:lang w:val="en-US" w:eastAsia="zh-CN"/>
        </w:rPr>
        <w:t>5</w:t>
      </w:r>
    </w:p>
    <w:p>
      <w:pPr>
        <w:pStyle w:val="26"/>
        <w:tabs>
          <w:tab w:val="right" w:leader="dot" w:pos="14562"/>
        </w:tabs>
      </w:pPr>
      <w:r>
        <w:fldChar w:fldCharType="begin"/>
      </w:r>
      <w:r>
        <w:instrText xml:space="preserve"> HYPERLINK \l "_Toc_3_3_0000000020" </w:instrText>
      </w:r>
      <w:r>
        <w:fldChar w:fldCharType="separate"/>
      </w:r>
      <w:r>
        <w:rPr>
          <w:rFonts w:hint="eastAsia"/>
          <w:lang w:val="en-US" w:eastAsia="zh-CN"/>
        </w:rPr>
        <w:t>9</w:t>
      </w:r>
      <w:r>
        <w:t>、其他需要说明的事项</w:t>
      </w:r>
      <w:r>
        <w:tab/>
      </w:r>
      <w:r>
        <w:fldChar w:fldCharType="begin"/>
      </w:r>
      <w:r>
        <w:instrText xml:space="preserve">PAGEREF _Toc_3_3_0000000020 \h</w:instrText>
      </w:r>
      <w:r>
        <w:fldChar w:fldCharType="separate"/>
      </w:r>
      <w:r>
        <w:rPr>
          <w:rFonts w:hint="eastAsia"/>
          <w:lang w:val="en-US" w:eastAsia="zh-CN"/>
        </w:rPr>
        <w:t>2</w:t>
      </w:r>
      <w:bookmarkStart w:id="1" w:name="_GoBack"/>
      <w:bookmarkEnd w:id="1"/>
      <w:r>
        <w:rPr>
          <w:rFonts w:hint="eastAsia"/>
          <w:lang w:val="en-US" w:eastAsia="zh-CN"/>
        </w:rPr>
        <w:t>7</w:t>
      </w:r>
      <w:r>
        <w:fldChar w:fldCharType="end"/>
      </w:r>
      <w:r>
        <w:fldChar w:fldCharType="end"/>
      </w:r>
    </w:p>
    <w:p>
      <w:pPr>
        <w:pStyle w:val="4"/>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一、市场监督管理局收支预算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111001市场监督管理局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270.33</w:t>
            </w:r>
          </w:p>
        </w:tc>
        <w:tc>
          <w:tcPr>
            <w:tcW w:w="4535" w:type="dxa"/>
            <w:vAlign w:val="center"/>
          </w:tcPr>
          <w:p>
            <w:pPr>
              <w:pStyle w:val="14"/>
            </w:pPr>
            <w:r>
              <w:t>一、一般公共服务支出</w:t>
            </w:r>
          </w:p>
        </w:tc>
        <w:tc>
          <w:tcPr>
            <w:tcW w:w="2126" w:type="dxa"/>
            <w:vAlign w:val="center"/>
          </w:tcPr>
          <w:p>
            <w:pPr>
              <w:pStyle w:val="13"/>
            </w:pPr>
            <w:r>
              <w:t>260.96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270.33</w:t>
            </w:r>
          </w:p>
        </w:tc>
        <w:tc>
          <w:tcPr>
            <w:tcW w:w="4535" w:type="dxa"/>
            <w:vAlign w:val="center"/>
          </w:tcPr>
          <w:p>
            <w:pPr>
              <w:pStyle w:val="16"/>
            </w:pPr>
            <w:r>
              <w:t>本年支出合计</w:t>
            </w:r>
          </w:p>
        </w:tc>
        <w:tc>
          <w:tcPr>
            <w:tcW w:w="2126" w:type="dxa"/>
            <w:vAlign w:val="center"/>
          </w:tcPr>
          <w:p>
            <w:pPr>
              <w:pStyle w:val="17"/>
            </w:pPr>
            <w:r>
              <w:t>270.33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270.33</w:t>
            </w:r>
          </w:p>
        </w:tc>
        <w:tc>
          <w:tcPr>
            <w:tcW w:w="4535" w:type="dxa"/>
            <w:vAlign w:val="center"/>
          </w:tcPr>
          <w:p>
            <w:pPr>
              <w:pStyle w:val="16"/>
            </w:pPr>
            <w:r>
              <w:t>支出总计</w:t>
            </w:r>
          </w:p>
        </w:tc>
        <w:tc>
          <w:tcPr>
            <w:tcW w:w="2126" w:type="dxa"/>
            <w:vAlign w:val="center"/>
          </w:tcPr>
          <w:p>
            <w:pPr>
              <w:pStyle w:val="17"/>
            </w:pPr>
            <w:r>
              <w:t>270.33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111001市场监督管理局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270.33</w:t>
            </w:r>
          </w:p>
        </w:tc>
        <w:tc>
          <w:tcPr>
            <w:tcW w:w="1134" w:type="dxa"/>
            <w:vAlign w:val="center"/>
          </w:tcPr>
          <w:p>
            <w:pPr>
              <w:pStyle w:val="17"/>
            </w:pPr>
            <w:r>
              <w:t>270.33</w:t>
            </w:r>
          </w:p>
        </w:tc>
        <w:tc>
          <w:tcPr>
            <w:tcW w:w="1134" w:type="dxa"/>
            <w:vAlign w:val="center"/>
          </w:tcPr>
          <w:p>
            <w:pPr>
              <w:pStyle w:val="17"/>
            </w:pPr>
            <w:r>
              <w:t>270.33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260.96</w:t>
            </w:r>
          </w:p>
        </w:tc>
        <w:tc>
          <w:tcPr>
            <w:tcW w:w="1134" w:type="dxa"/>
            <w:vAlign w:val="center"/>
          </w:tcPr>
          <w:p>
            <w:pPr>
              <w:pStyle w:val="13"/>
            </w:pPr>
            <w:r>
              <w:t>260.96</w:t>
            </w:r>
          </w:p>
        </w:tc>
        <w:tc>
          <w:tcPr>
            <w:tcW w:w="1134" w:type="dxa"/>
            <w:vAlign w:val="center"/>
          </w:tcPr>
          <w:p>
            <w:pPr>
              <w:pStyle w:val="13"/>
            </w:pPr>
            <w:r>
              <w:t>260.96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260.96</w:t>
            </w:r>
          </w:p>
        </w:tc>
        <w:tc>
          <w:tcPr>
            <w:tcW w:w="1134" w:type="dxa"/>
            <w:vAlign w:val="center"/>
          </w:tcPr>
          <w:p>
            <w:pPr>
              <w:pStyle w:val="13"/>
            </w:pPr>
            <w:r>
              <w:t>260.96</w:t>
            </w:r>
          </w:p>
        </w:tc>
        <w:tc>
          <w:tcPr>
            <w:tcW w:w="1134" w:type="dxa"/>
            <w:vAlign w:val="center"/>
          </w:tcPr>
          <w:p>
            <w:pPr>
              <w:pStyle w:val="13"/>
            </w:pPr>
            <w:r>
              <w:t>260.96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24.86</w:t>
            </w:r>
          </w:p>
        </w:tc>
        <w:tc>
          <w:tcPr>
            <w:tcW w:w="1134" w:type="dxa"/>
            <w:vAlign w:val="center"/>
          </w:tcPr>
          <w:p>
            <w:pPr>
              <w:pStyle w:val="13"/>
            </w:pPr>
            <w:r>
              <w:t>24.86</w:t>
            </w:r>
          </w:p>
        </w:tc>
        <w:tc>
          <w:tcPr>
            <w:tcW w:w="1134" w:type="dxa"/>
            <w:vAlign w:val="center"/>
          </w:tcPr>
          <w:p>
            <w:pPr>
              <w:pStyle w:val="13"/>
            </w:pPr>
            <w:r>
              <w:t>24.86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2013802</w:t>
            </w:r>
          </w:p>
        </w:tc>
        <w:tc>
          <w:tcPr>
            <w:tcW w:w="1559" w:type="dxa"/>
            <w:vAlign w:val="center"/>
          </w:tcPr>
          <w:p>
            <w:pPr>
              <w:pStyle w:val="14"/>
            </w:pPr>
            <w:r>
              <w:t>一般行政管理事务</w:t>
            </w:r>
          </w:p>
        </w:tc>
        <w:tc>
          <w:tcPr>
            <w:tcW w:w="1134" w:type="dxa"/>
            <w:vAlign w:val="center"/>
          </w:tcPr>
          <w:p>
            <w:pPr>
              <w:pStyle w:val="13"/>
            </w:pPr>
            <w:r>
              <w:t>173.00</w:t>
            </w:r>
          </w:p>
        </w:tc>
        <w:tc>
          <w:tcPr>
            <w:tcW w:w="1134" w:type="dxa"/>
            <w:vAlign w:val="center"/>
          </w:tcPr>
          <w:p>
            <w:pPr>
              <w:pStyle w:val="13"/>
            </w:pPr>
            <w:r>
              <w:t>173.00</w:t>
            </w:r>
          </w:p>
        </w:tc>
        <w:tc>
          <w:tcPr>
            <w:tcW w:w="1134" w:type="dxa"/>
            <w:vAlign w:val="center"/>
          </w:tcPr>
          <w:p>
            <w:pPr>
              <w:pStyle w:val="13"/>
            </w:pPr>
            <w:r>
              <w:t>173.00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2013804</w:t>
            </w:r>
          </w:p>
        </w:tc>
        <w:tc>
          <w:tcPr>
            <w:tcW w:w="1559" w:type="dxa"/>
            <w:vAlign w:val="center"/>
          </w:tcPr>
          <w:p>
            <w:pPr>
              <w:pStyle w:val="14"/>
            </w:pPr>
            <w:r>
              <w:t>经营主体管理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32.80</w:t>
            </w:r>
          </w:p>
        </w:tc>
        <w:tc>
          <w:tcPr>
            <w:tcW w:w="1134" w:type="dxa"/>
            <w:vAlign w:val="center"/>
          </w:tcPr>
          <w:p>
            <w:pPr>
              <w:pStyle w:val="13"/>
            </w:pPr>
            <w:r>
              <w:t>32.80</w:t>
            </w:r>
          </w:p>
        </w:tc>
        <w:tc>
          <w:tcPr>
            <w:tcW w:w="1134" w:type="dxa"/>
            <w:vAlign w:val="center"/>
          </w:tcPr>
          <w:p>
            <w:pPr>
              <w:pStyle w:val="13"/>
            </w:pPr>
            <w:r>
              <w:t>32.80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10.30</w:t>
            </w:r>
          </w:p>
        </w:tc>
        <w:tc>
          <w:tcPr>
            <w:tcW w:w="1134" w:type="dxa"/>
            <w:vAlign w:val="center"/>
          </w:tcPr>
          <w:p>
            <w:pPr>
              <w:pStyle w:val="13"/>
            </w:pPr>
            <w:r>
              <w:t>10.30</w:t>
            </w:r>
          </w:p>
        </w:tc>
        <w:tc>
          <w:tcPr>
            <w:tcW w:w="1134" w:type="dxa"/>
            <w:vAlign w:val="center"/>
          </w:tcPr>
          <w:p>
            <w:pPr>
              <w:pStyle w:val="13"/>
            </w:pPr>
            <w:r>
              <w:t>10.30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270.33</w:t>
            </w:r>
          </w:p>
        </w:tc>
        <w:tc>
          <w:tcPr>
            <w:tcW w:w="1361" w:type="dxa"/>
            <w:vAlign w:val="center"/>
          </w:tcPr>
          <w:p>
            <w:pPr>
              <w:pStyle w:val="17"/>
            </w:pPr>
            <w:r>
              <w:t>34.23</w:t>
            </w:r>
          </w:p>
        </w:tc>
        <w:tc>
          <w:tcPr>
            <w:tcW w:w="1361" w:type="dxa"/>
            <w:vAlign w:val="center"/>
          </w:tcPr>
          <w:p>
            <w:pPr>
              <w:pStyle w:val="17"/>
            </w:pPr>
            <w:r>
              <w:t>236.10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260.96</w:t>
            </w:r>
          </w:p>
        </w:tc>
        <w:tc>
          <w:tcPr>
            <w:tcW w:w="1361" w:type="dxa"/>
            <w:vAlign w:val="center"/>
          </w:tcPr>
          <w:p>
            <w:pPr>
              <w:pStyle w:val="13"/>
            </w:pPr>
            <w:r>
              <w:t>24.86</w:t>
            </w:r>
          </w:p>
        </w:tc>
        <w:tc>
          <w:tcPr>
            <w:tcW w:w="1361" w:type="dxa"/>
            <w:vAlign w:val="center"/>
          </w:tcPr>
          <w:p>
            <w:pPr>
              <w:pStyle w:val="13"/>
            </w:pPr>
            <w:r>
              <w:t>236.10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260.96</w:t>
            </w:r>
          </w:p>
        </w:tc>
        <w:tc>
          <w:tcPr>
            <w:tcW w:w="1361" w:type="dxa"/>
            <w:vAlign w:val="center"/>
          </w:tcPr>
          <w:p>
            <w:pPr>
              <w:pStyle w:val="13"/>
            </w:pPr>
            <w:r>
              <w:t>24.86</w:t>
            </w:r>
          </w:p>
        </w:tc>
        <w:tc>
          <w:tcPr>
            <w:tcW w:w="1361" w:type="dxa"/>
            <w:vAlign w:val="center"/>
          </w:tcPr>
          <w:p>
            <w:pPr>
              <w:pStyle w:val="13"/>
            </w:pPr>
            <w:r>
              <w:t>236.10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24.86</w:t>
            </w:r>
          </w:p>
        </w:tc>
        <w:tc>
          <w:tcPr>
            <w:tcW w:w="1361" w:type="dxa"/>
            <w:vAlign w:val="center"/>
          </w:tcPr>
          <w:p>
            <w:pPr>
              <w:pStyle w:val="13"/>
            </w:pPr>
            <w:r>
              <w:t>24.86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2013802</w:t>
            </w:r>
          </w:p>
        </w:tc>
        <w:tc>
          <w:tcPr>
            <w:tcW w:w="4535" w:type="dxa"/>
            <w:vAlign w:val="center"/>
          </w:tcPr>
          <w:p>
            <w:pPr>
              <w:pStyle w:val="14"/>
            </w:pPr>
            <w:r>
              <w:t>一般行政管理事务</w:t>
            </w:r>
          </w:p>
        </w:tc>
        <w:tc>
          <w:tcPr>
            <w:tcW w:w="1361" w:type="dxa"/>
            <w:vAlign w:val="center"/>
          </w:tcPr>
          <w:p>
            <w:pPr>
              <w:pStyle w:val="13"/>
            </w:pPr>
            <w:r>
              <w:t>173.00</w:t>
            </w:r>
          </w:p>
        </w:tc>
        <w:tc>
          <w:tcPr>
            <w:tcW w:w="1361" w:type="dxa"/>
            <w:vAlign w:val="center"/>
          </w:tcPr>
          <w:p>
            <w:pPr>
              <w:pStyle w:val="13"/>
            </w:pPr>
          </w:p>
        </w:tc>
        <w:tc>
          <w:tcPr>
            <w:tcW w:w="1361" w:type="dxa"/>
            <w:vAlign w:val="center"/>
          </w:tcPr>
          <w:p>
            <w:pPr>
              <w:pStyle w:val="13"/>
            </w:pPr>
            <w:r>
              <w:t>173.00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2013804</w:t>
            </w:r>
          </w:p>
        </w:tc>
        <w:tc>
          <w:tcPr>
            <w:tcW w:w="4535" w:type="dxa"/>
            <w:vAlign w:val="center"/>
          </w:tcPr>
          <w:p>
            <w:pPr>
              <w:pStyle w:val="14"/>
            </w:pPr>
            <w:r>
              <w:t>经营主体管理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32.80</w:t>
            </w:r>
          </w:p>
        </w:tc>
        <w:tc>
          <w:tcPr>
            <w:tcW w:w="1361" w:type="dxa"/>
            <w:vAlign w:val="center"/>
          </w:tcPr>
          <w:p>
            <w:pPr>
              <w:pStyle w:val="13"/>
            </w:pPr>
          </w:p>
        </w:tc>
        <w:tc>
          <w:tcPr>
            <w:tcW w:w="1361" w:type="dxa"/>
            <w:vAlign w:val="center"/>
          </w:tcPr>
          <w:p>
            <w:pPr>
              <w:pStyle w:val="13"/>
            </w:pPr>
            <w:r>
              <w:t>32.80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10.30</w:t>
            </w:r>
          </w:p>
        </w:tc>
        <w:tc>
          <w:tcPr>
            <w:tcW w:w="1361" w:type="dxa"/>
            <w:vAlign w:val="center"/>
          </w:tcPr>
          <w:p>
            <w:pPr>
              <w:pStyle w:val="13"/>
            </w:pPr>
          </w:p>
        </w:tc>
        <w:tc>
          <w:tcPr>
            <w:tcW w:w="1361" w:type="dxa"/>
            <w:vAlign w:val="center"/>
          </w:tcPr>
          <w:p>
            <w:pPr>
              <w:pStyle w:val="13"/>
            </w:pPr>
            <w:r>
              <w:t>10.30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2.82</w:t>
            </w: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2.82</w:t>
            </w: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2.82</w:t>
            </w: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3.17</w:t>
            </w:r>
          </w:p>
        </w:tc>
        <w:tc>
          <w:tcPr>
            <w:tcW w:w="1361" w:type="dxa"/>
            <w:vAlign w:val="center"/>
          </w:tcPr>
          <w:p>
            <w:pPr>
              <w:pStyle w:val="13"/>
            </w:pPr>
            <w:r>
              <w:t>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3.17</w:t>
            </w:r>
          </w:p>
        </w:tc>
        <w:tc>
          <w:tcPr>
            <w:tcW w:w="1361" w:type="dxa"/>
            <w:vAlign w:val="center"/>
          </w:tcPr>
          <w:p>
            <w:pPr>
              <w:pStyle w:val="13"/>
            </w:pPr>
            <w:r>
              <w:t>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3.17</w:t>
            </w:r>
          </w:p>
        </w:tc>
        <w:tc>
          <w:tcPr>
            <w:tcW w:w="1361" w:type="dxa"/>
            <w:vAlign w:val="center"/>
          </w:tcPr>
          <w:p>
            <w:pPr>
              <w:pStyle w:val="13"/>
            </w:pPr>
            <w:r>
              <w:t>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270.33</w:t>
            </w:r>
          </w:p>
        </w:tc>
        <w:tc>
          <w:tcPr>
            <w:tcW w:w="3402" w:type="dxa"/>
            <w:vAlign w:val="center"/>
          </w:tcPr>
          <w:p>
            <w:pPr>
              <w:pStyle w:val="14"/>
            </w:pPr>
            <w:r>
              <w:t>一、一般公共服务支出</w:t>
            </w:r>
          </w:p>
        </w:tc>
        <w:tc>
          <w:tcPr>
            <w:tcW w:w="1474" w:type="dxa"/>
            <w:vAlign w:val="center"/>
          </w:tcPr>
          <w:p>
            <w:pPr>
              <w:pStyle w:val="13"/>
            </w:pPr>
            <w:r>
              <w:t>260.96</w:t>
            </w:r>
          </w:p>
        </w:tc>
        <w:tc>
          <w:tcPr>
            <w:tcW w:w="1474" w:type="dxa"/>
            <w:vAlign w:val="center"/>
          </w:tcPr>
          <w:p>
            <w:pPr>
              <w:pStyle w:val="13"/>
            </w:pPr>
            <w:r>
              <w:t>260.96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3.38</w:t>
            </w:r>
          </w:p>
        </w:tc>
        <w:tc>
          <w:tcPr>
            <w:tcW w:w="1474" w:type="dxa"/>
            <w:vAlign w:val="center"/>
          </w:tcPr>
          <w:p>
            <w:pPr>
              <w:pStyle w:val="13"/>
            </w:pPr>
            <w:r>
              <w:t>3.38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2.82</w:t>
            </w:r>
          </w:p>
        </w:tc>
        <w:tc>
          <w:tcPr>
            <w:tcW w:w="1474" w:type="dxa"/>
            <w:vAlign w:val="center"/>
          </w:tcPr>
          <w:p>
            <w:pPr>
              <w:pStyle w:val="13"/>
            </w:pPr>
            <w:r>
              <w:t>2.82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3.17</w:t>
            </w:r>
          </w:p>
        </w:tc>
        <w:tc>
          <w:tcPr>
            <w:tcW w:w="1474" w:type="dxa"/>
            <w:vAlign w:val="center"/>
          </w:tcPr>
          <w:p>
            <w:pPr>
              <w:pStyle w:val="13"/>
            </w:pPr>
            <w:r>
              <w:t>3.17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270.33</w:t>
            </w:r>
          </w:p>
        </w:tc>
        <w:tc>
          <w:tcPr>
            <w:tcW w:w="3402" w:type="dxa"/>
            <w:vAlign w:val="center"/>
          </w:tcPr>
          <w:p>
            <w:pPr>
              <w:pStyle w:val="16"/>
            </w:pPr>
            <w:r>
              <w:t>本年支出合计</w:t>
            </w:r>
          </w:p>
        </w:tc>
        <w:tc>
          <w:tcPr>
            <w:tcW w:w="1474" w:type="dxa"/>
            <w:vAlign w:val="center"/>
          </w:tcPr>
          <w:p>
            <w:pPr>
              <w:pStyle w:val="17"/>
            </w:pPr>
            <w:r>
              <w:t>270.33</w:t>
            </w:r>
          </w:p>
        </w:tc>
        <w:tc>
          <w:tcPr>
            <w:tcW w:w="1474" w:type="dxa"/>
            <w:vAlign w:val="center"/>
          </w:tcPr>
          <w:p>
            <w:pPr>
              <w:pStyle w:val="17"/>
            </w:pPr>
            <w:r>
              <w:t>270.33</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270.33</w:t>
            </w:r>
          </w:p>
        </w:tc>
        <w:tc>
          <w:tcPr>
            <w:tcW w:w="3402" w:type="dxa"/>
            <w:vAlign w:val="center"/>
          </w:tcPr>
          <w:p>
            <w:pPr>
              <w:pStyle w:val="16"/>
            </w:pPr>
            <w:r>
              <w:t>支出总计</w:t>
            </w:r>
          </w:p>
        </w:tc>
        <w:tc>
          <w:tcPr>
            <w:tcW w:w="1474" w:type="dxa"/>
            <w:vAlign w:val="center"/>
          </w:tcPr>
          <w:p>
            <w:pPr>
              <w:pStyle w:val="17"/>
            </w:pPr>
            <w:r>
              <w:t>270.33</w:t>
            </w:r>
          </w:p>
        </w:tc>
        <w:tc>
          <w:tcPr>
            <w:tcW w:w="1474" w:type="dxa"/>
            <w:vAlign w:val="center"/>
          </w:tcPr>
          <w:p>
            <w:pPr>
              <w:pStyle w:val="17"/>
            </w:pPr>
            <w:r>
              <w:t>270.33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270.33</w:t>
            </w:r>
          </w:p>
        </w:tc>
        <w:tc>
          <w:tcPr>
            <w:tcW w:w="2551" w:type="dxa"/>
            <w:vAlign w:val="center"/>
          </w:tcPr>
          <w:p>
            <w:pPr>
              <w:pStyle w:val="17"/>
            </w:pPr>
            <w:r>
              <w:t>34.23</w:t>
            </w:r>
          </w:p>
        </w:tc>
        <w:tc>
          <w:tcPr>
            <w:tcW w:w="2551" w:type="dxa"/>
            <w:vAlign w:val="center"/>
          </w:tcPr>
          <w:p>
            <w:pPr>
              <w:pStyle w:val="17"/>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260.96</w:t>
            </w:r>
          </w:p>
        </w:tc>
        <w:tc>
          <w:tcPr>
            <w:tcW w:w="2551" w:type="dxa"/>
            <w:vAlign w:val="center"/>
          </w:tcPr>
          <w:p>
            <w:pPr>
              <w:pStyle w:val="13"/>
            </w:pPr>
            <w:r>
              <w:t>24.86</w:t>
            </w:r>
          </w:p>
        </w:tc>
        <w:tc>
          <w:tcPr>
            <w:tcW w:w="2551" w:type="dxa"/>
            <w:vAlign w:val="center"/>
          </w:tcPr>
          <w:p>
            <w:pPr>
              <w:pStyle w:val="13"/>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260.96</w:t>
            </w:r>
          </w:p>
        </w:tc>
        <w:tc>
          <w:tcPr>
            <w:tcW w:w="2551" w:type="dxa"/>
            <w:vAlign w:val="center"/>
          </w:tcPr>
          <w:p>
            <w:pPr>
              <w:pStyle w:val="13"/>
            </w:pPr>
            <w:r>
              <w:t>24.86</w:t>
            </w:r>
          </w:p>
        </w:tc>
        <w:tc>
          <w:tcPr>
            <w:tcW w:w="2551" w:type="dxa"/>
            <w:vAlign w:val="center"/>
          </w:tcPr>
          <w:p>
            <w:pPr>
              <w:pStyle w:val="13"/>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24.86</w:t>
            </w:r>
          </w:p>
        </w:tc>
        <w:tc>
          <w:tcPr>
            <w:tcW w:w="2551" w:type="dxa"/>
            <w:vAlign w:val="center"/>
          </w:tcPr>
          <w:p>
            <w:pPr>
              <w:pStyle w:val="13"/>
            </w:pPr>
            <w:r>
              <w:t>24.86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2013802</w:t>
            </w:r>
          </w:p>
        </w:tc>
        <w:tc>
          <w:tcPr>
            <w:tcW w:w="4535" w:type="dxa"/>
            <w:vAlign w:val="center"/>
          </w:tcPr>
          <w:p>
            <w:pPr>
              <w:pStyle w:val="14"/>
            </w:pPr>
            <w:r>
              <w:t>一般行政管理事务</w:t>
            </w:r>
          </w:p>
        </w:tc>
        <w:tc>
          <w:tcPr>
            <w:tcW w:w="2551" w:type="dxa"/>
            <w:vAlign w:val="center"/>
          </w:tcPr>
          <w:p>
            <w:pPr>
              <w:pStyle w:val="13"/>
            </w:pPr>
            <w:r>
              <w:t>173.00</w:t>
            </w:r>
          </w:p>
        </w:tc>
        <w:tc>
          <w:tcPr>
            <w:tcW w:w="2551" w:type="dxa"/>
            <w:vAlign w:val="center"/>
          </w:tcPr>
          <w:p>
            <w:pPr>
              <w:pStyle w:val="13"/>
            </w:pPr>
          </w:p>
        </w:tc>
        <w:tc>
          <w:tcPr>
            <w:tcW w:w="2551" w:type="dxa"/>
            <w:vAlign w:val="center"/>
          </w:tcPr>
          <w:p>
            <w:pPr>
              <w:pStyle w:val="13"/>
            </w:pPr>
            <w:r>
              <w:t>173.00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2013804</w:t>
            </w:r>
          </w:p>
        </w:tc>
        <w:tc>
          <w:tcPr>
            <w:tcW w:w="4535" w:type="dxa"/>
            <w:vAlign w:val="center"/>
          </w:tcPr>
          <w:p>
            <w:pPr>
              <w:pStyle w:val="14"/>
            </w:pPr>
            <w:r>
              <w:t>经营主体管理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32.80</w:t>
            </w:r>
          </w:p>
        </w:tc>
        <w:tc>
          <w:tcPr>
            <w:tcW w:w="2551" w:type="dxa"/>
            <w:vAlign w:val="center"/>
          </w:tcPr>
          <w:p>
            <w:pPr>
              <w:pStyle w:val="13"/>
            </w:pPr>
          </w:p>
        </w:tc>
        <w:tc>
          <w:tcPr>
            <w:tcW w:w="2551" w:type="dxa"/>
            <w:vAlign w:val="center"/>
          </w:tcPr>
          <w:p>
            <w:pPr>
              <w:pStyle w:val="13"/>
            </w:pPr>
            <w:r>
              <w:t>32.80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10.30</w:t>
            </w:r>
          </w:p>
        </w:tc>
        <w:tc>
          <w:tcPr>
            <w:tcW w:w="2551" w:type="dxa"/>
            <w:vAlign w:val="center"/>
          </w:tcPr>
          <w:p>
            <w:pPr>
              <w:pStyle w:val="13"/>
            </w:pPr>
          </w:p>
        </w:tc>
        <w:tc>
          <w:tcPr>
            <w:tcW w:w="2551" w:type="dxa"/>
            <w:vAlign w:val="center"/>
          </w:tcPr>
          <w:p>
            <w:pPr>
              <w:pStyle w:val="13"/>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34.23</w:t>
            </w:r>
          </w:p>
        </w:tc>
        <w:tc>
          <w:tcPr>
            <w:tcW w:w="2551" w:type="dxa"/>
            <w:vAlign w:val="center"/>
          </w:tcPr>
          <w:p>
            <w:pPr>
              <w:pStyle w:val="17"/>
            </w:pPr>
            <w:r>
              <w:t>32.27</w:t>
            </w:r>
          </w:p>
        </w:tc>
        <w:tc>
          <w:tcPr>
            <w:tcW w:w="2551" w:type="dxa"/>
            <w:vAlign w:val="center"/>
          </w:tcPr>
          <w:p>
            <w:pPr>
              <w:pStyle w:val="17"/>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32.27</w:t>
            </w:r>
          </w:p>
        </w:tc>
        <w:tc>
          <w:tcPr>
            <w:tcW w:w="2551" w:type="dxa"/>
            <w:vAlign w:val="center"/>
          </w:tcPr>
          <w:p>
            <w:pPr>
              <w:pStyle w:val="13"/>
            </w:pPr>
            <w:r>
              <w:t>32.27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32.27</w:t>
            </w:r>
          </w:p>
        </w:tc>
        <w:tc>
          <w:tcPr>
            <w:tcW w:w="2551" w:type="dxa"/>
            <w:vAlign w:val="center"/>
          </w:tcPr>
          <w:p>
            <w:pPr>
              <w:pStyle w:val="13"/>
            </w:pPr>
            <w:r>
              <w:t>32.27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1.96</w:t>
            </w:r>
          </w:p>
        </w:tc>
        <w:tc>
          <w:tcPr>
            <w:tcW w:w="2551" w:type="dxa"/>
            <w:vAlign w:val="center"/>
          </w:tcPr>
          <w:p>
            <w:pPr>
              <w:pStyle w:val="13"/>
            </w:pPr>
          </w:p>
        </w:tc>
        <w:tc>
          <w:tcPr>
            <w:tcW w:w="2551" w:type="dxa"/>
            <w:vAlign w:val="center"/>
          </w:tcPr>
          <w:p>
            <w:pPr>
              <w:pStyle w:val="13"/>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0.95</w:t>
            </w:r>
          </w:p>
        </w:tc>
        <w:tc>
          <w:tcPr>
            <w:tcW w:w="2551" w:type="dxa"/>
            <w:vAlign w:val="center"/>
          </w:tcPr>
          <w:p>
            <w:pPr>
              <w:pStyle w:val="13"/>
            </w:pPr>
          </w:p>
        </w:tc>
        <w:tc>
          <w:tcPr>
            <w:tcW w:w="2551" w:type="dxa"/>
            <w:vAlign w:val="center"/>
          </w:tcPr>
          <w:p>
            <w:pPr>
              <w:pStyle w:val="13"/>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111001市场监督管理局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市场监督管理局2025年单位预算信息公开情况说明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按照《中华人民共和国预算法》、《地方预决算公开操作规程》和《关于进一步推进预算公开工作的实施意见》规定，现将市场监督管理局2025年单位预算公开如下：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 xml:space="preserve">贯彻落实党中央、省委和市委关于市场监督管理工作的方针政策和决策部署，坚持和加强党对市场监督管理工作的 集中统一领导。主要职责是： </w:t>
      </w:r>
    </w:p>
    <w:p>
      <w:pPr>
        <w:pStyle w:val="19"/>
      </w:pPr>
      <w:r>
        <w:t xml:space="preserve">（一）负责辖区内市场综合监督管理，规范和维护市场秩序， 营造诚实守信、公平竞争的市场环境。 </w:t>
      </w:r>
    </w:p>
    <w:p>
      <w:pPr>
        <w:pStyle w:val="19"/>
      </w:pPr>
      <w:r>
        <w:t xml:space="preserve">（二）负责监督检查辖区内市场监管等方面法律法规执行情况，依法开展日常监督检查，查处违法行为。 </w:t>
      </w:r>
    </w:p>
    <w:p>
      <w:pPr>
        <w:pStyle w:val="19"/>
      </w:pPr>
      <w:r>
        <w:t xml:space="preserve">（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 运用和服务工作。 </w:t>
      </w:r>
    </w:p>
    <w:p>
      <w:pPr>
        <w:pStyle w:val="19"/>
      </w:pPr>
      <w:r>
        <w:t xml:space="preserve">（四）负责拟定并实施质量发展的制度措施。统筹质量基础设施建设与应用，按照市局统一部署会同相关部门组织实施重大工程设备质量监理制度，并组织重大质量事故调查。配合市局建立并统一实施缺陷产品召回制度，监督管理产品防伪工作。 </w:t>
      </w:r>
    </w:p>
    <w:p>
      <w:pPr>
        <w:pStyle w:val="19"/>
      </w:pPr>
      <w:r>
        <w:t xml:space="preserve">（五）负责宏观质量管理、产品质量安全监督、标准化及认证认可工作。按照市局统一安排开展质量强市相关工作；监督产品质量；宣传贯彻国家标准和行业标准、地方标准，协调指导和监督企业标准制定工作；规范检验检测市场及认证认可活动。 </w:t>
      </w:r>
    </w:p>
    <w:p>
      <w:pPr>
        <w:pStyle w:val="19"/>
      </w:pPr>
      <w:r>
        <w:t xml:space="preserve">（六）负责特种设备安全监察及计量工作。按照特种设备目录对特种设备实施安全监察、监督并监督管理特种设备检验检测机构和检验检测人员、作业人员。配合市局监督、规范计量行为。 </w:t>
      </w:r>
    </w:p>
    <w:p>
      <w:pPr>
        <w:pStyle w:val="19"/>
      </w:pPr>
      <w:r>
        <w:t xml:space="preserve">（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 </w:t>
      </w:r>
    </w:p>
    <w:p>
      <w:pPr>
        <w:pStyle w:val="19"/>
      </w:pPr>
      <w:r>
        <w:t xml:space="preserve">（八）负责药品（含中药、民族药，下同）、医疗器械和化妆品监督管理。贯彻执行国家、省药品、医疗器械和化妆品法律法规，监督实施经营、使用质量管理规范。负责药品零售、医疗器械经营、化妆品经营和药品、医疗器械使用环节的监督检查。 </w:t>
      </w:r>
    </w:p>
    <w:p>
      <w:pPr>
        <w:pStyle w:val="19"/>
      </w:pPr>
      <w:r>
        <w:t>（九）完成上级交办的其他任务。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270.33万元，其中：一般公共预算收入270.33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市场监督管理局年度单位预算中支出预算的总体情况。2025年支出预算270.33万元，其中基本支出34.23万元，包括人员经费32.27万元和日常公用经费1.96万元；项目支出236.10万元，主要为印刷费6.00万元、车辆租赁费10.00万元、食安办工作经费10.00万元、劳务派遣人员工资163.00万元、市场监管抽检经费20.00万元、食品安全快检室经费22.8万元、测绘费1.3万元、大气污染防治经费3.00万元。</w:t>
      </w:r>
    </w:p>
    <w:p>
      <w:pPr>
        <w:pStyle w:val="20"/>
      </w:pPr>
      <w:r>
        <w:t>3、比上年增减情况</w:t>
      </w:r>
    </w:p>
    <w:p>
      <w:pPr>
        <w:pStyle w:val="20"/>
      </w:pPr>
      <w:r>
        <w:t>2025年预算收支安排270.33万元，较2024年预算增加3.52万元，其中：基本支出减少13.67万元，主要为减少公务员1名。项目支出增加17.19万元，主要为测绘费和大气污染防治经费。</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2025年，我单位机关运行经费共计安排1.96万元，主要用于日常维修、办公用房水电费、办公用房取暖费、办公用房物业管理费等日常运行支出。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收支，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1、测绘费绩效目标表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13021225P00197310001G</w:t>
            </w:r>
          </w:p>
        </w:tc>
        <w:tc>
          <w:tcPr>
            <w:tcW w:w="2835" w:type="dxa"/>
            <w:vAlign w:val="center"/>
          </w:tcPr>
          <w:p>
            <w:pPr>
              <w:pStyle w:val="12"/>
            </w:pPr>
            <w:r>
              <w:t>项目名称</w:t>
            </w:r>
          </w:p>
        </w:tc>
        <w:tc>
          <w:tcPr>
            <w:tcW w:w="6095" w:type="dxa"/>
            <w:gridSpan w:val="3"/>
            <w:vAlign w:val="center"/>
          </w:tcPr>
          <w:p>
            <w:pPr>
              <w:pStyle w:val="14"/>
            </w:pPr>
            <w:r>
              <w:t>测绘费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w:t>
            </w:r>
          </w:p>
        </w:tc>
        <w:tc>
          <w:tcPr>
            <w:tcW w:w="2835" w:type="dxa"/>
            <w:vAlign w:val="center"/>
          </w:tcPr>
          <w:p>
            <w:pPr>
              <w:pStyle w:val="12"/>
            </w:pPr>
            <w:r>
              <w:t>其中：财政    资金</w:t>
            </w:r>
          </w:p>
        </w:tc>
        <w:tc>
          <w:tcPr>
            <w:tcW w:w="2551" w:type="dxa"/>
            <w:vAlign w:val="center"/>
          </w:tcPr>
          <w:p>
            <w:pPr>
              <w:pStyle w:val="14"/>
            </w:pPr>
            <w:r>
              <w:t>1.30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主要用于办公楼登记发生的测绘业务支出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1.保障测绘面积的准确性，保障资金有效使用。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测绘面积</w:t>
            </w:r>
          </w:p>
        </w:tc>
        <w:tc>
          <w:tcPr>
            <w:tcW w:w="5386" w:type="dxa"/>
            <w:vAlign w:val="center"/>
          </w:tcPr>
          <w:p>
            <w:pPr>
              <w:pStyle w:val="14"/>
            </w:pPr>
            <w:r>
              <w:t>测绘面积</w:t>
            </w:r>
          </w:p>
        </w:tc>
        <w:tc>
          <w:tcPr>
            <w:tcW w:w="2268" w:type="dxa"/>
            <w:vAlign w:val="center"/>
          </w:tcPr>
          <w:p>
            <w:pPr>
              <w:pStyle w:val="14"/>
            </w:pPr>
            <w:r>
              <w:t>按照实际测绘面积为准</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测绘合格率</w:t>
            </w:r>
          </w:p>
        </w:tc>
        <w:tc>
          <w:tcPr>
            <w:tcW w:w="5386" w:type="dxa"/>
            <w:vAlign w:val="center"/>
          </w:tcPr>
          <w:p>
            <w:pPr>
              <w:pStyle w:val="14"/>
            </w:pPr>
            <w:r>
              <w:t>测绘合格率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≤13000元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满足业务开展需求</w:t>
            </w:r>
          </w:p>
        </w:tc>
        <w:tc>
          <w:tcPr>
            <w:tcW w:w="5386" w:type="dxa"/>
            <w:vAlign w:val="center"/>
          </w:tcPr>
          <w:p>
            <w:pPr>
              <w:pStyle w:val="14"/>
            </w:pPr>
            <w:r>
              <w:t>满足业务开展需求</w:t>
            </w:r>
          </w:p>
        </w:tc>
        <w:tc>
          <w:tcPr>
            <w:tcW w:w="2268" w:type="dxa"/>
            <w:vAlign w:val="center"/>
          </w:tcPr>
          <w:p>
            <w:pPr>
              <w:pStyle w:val="14"/>
            </w:pPr>
            <w:r>
              <w:t>满足业务开展需求</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按时完成工作</w:t>
            </w:r>
          </w:p>
        </w:tc>
        <w:tc>
          <w:tcPr>
            <w:tcW w:w="5386" w:type="dxa"/>
            <w:vAlign w:val="center"/>
          </w:tcPr>
          <w:p>
            <w:pPr>
              <w:pStyle w:val="14"/>
            </w:pPr>
            <w:r>
              <w:t>按时完成工作</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2、车辆租赁费绩效目标表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13021225P00105110002L</w:t>
            </w:r>
          </w:p>
        </w:tc>
        <w:tc>
          <w:tcPr>
            <w:tcW w:w="2835" w:type="dxa"/>
            <w:vAlign w:val="center"/>
          </w:tcPr>
          <w:p>
            <w:pPr>
              <w:pStyle w:val="12"/>
            </w:pPr>
            <w:r>
              <w:t>项目名称</w:t>
            </w:r>
          </w:p>
        </w:tc>
        <w:tc>
          <w:tcPr>
            <w:tcW w:w="6095" w:type="dxa"/>
            <w:gridSpan w:val="3"/>
            <w:vAlign w:val="center"/>
          </w:tcPr>
          <w:p>
            <w:pPr>
              <w:pStyle w:val="14"/>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主要用于车辆租赁支出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1.按时完成各项工作，及时支付资金，保障工作有效运转，及时签订租赁合同。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租赁数量</w:t>
            </w:r>
          </w:p>
        </w:tc>
        <w:tc>
          <w:tcPr>
            <w:tcW w:w="5386" w:type="dxa"/>
            <w:vAlign w:val="center"/>
          </w:tcPr>
          <w:p>
            <w:pPr>
              <w:pStyle w:val="14"/>
            </w:pPr>
            <w:r>
              <w:t>租赁数量</w:t>
            </w:r>
          </w:p>
        </w:tc>
        <w:tc>
          <w:tcPr>
            <w:tcW w:w="2268" w:type="dxa"/>
            <w:vAlign w:val="center"/>
          </w:tcPr>
          <w:p>
            <w:pPr>
              <w:pStyle w:val="14"/>
            </w:pPr>
            <w:r>
              <w:t>1辆</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车辆质量</w:t>
            </w:r>
          </w:p>
        </w:tc>
        <w:tc>
          <w:tcPr>
            <w:tcW w:w="5386" w:type="dxa"/>
            <w:vAlign w:val="center"/>
          </w:tcPr>
          <w:p>
            <w:pPr>
              <w:pStyle w:val="14"/>
            </w:pPr>
            <w:r>
              <w:t>车辆质量</w:t>
            </w:r>
          </w:p>
        </w:tc>
        <w:tc>
          <w:tcPr>
            <w:tcW w:w="2268" w:type="dxa"/>
            <w:vAlign w:val="center"/>
          </w:tcPr>
          <w:p>
            <w:pPr>
              <w:pStyle w:val="14"/>
            </w:pPr>
            <w:r>
              <w:t>保障车辆使用的安全性</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≤100000元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服务期限</w:t>
            </w:r>
          </w:p>
        </w:tc>
        <w:tc>
          <w:tcPr>
            <w:tcW w:w="5386" w:type="dxa"/>
            <w:vAlign w:val="center"/>
          </w:tcPr>
          <w:p>
            <w:pPr>
              <w:pStyle w:val="14"/>
            </w:pPr>
            <w:r>
              <w:t>服务期限</w:t>
            </w:r>
          </w:p>
        </w:tc>
        <w:tc>
          <w:tcPr>
            <w:tcW w:w="2268" w:type="dxa"/>
            <w:vAlign w:val="center"/>
          </w:tcPr>
          <w:p>
            <w:pPr>
              <w:pStyle w:val="14"/>
            </w:pPr>
            <w:r>
              <w:t>1年</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3、大气污染防治经费绩效目标表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13021225P00176310002D</w:t>
            </w:r>
          </w:p>
        </w:tc>
        <w:tc>
          <w:tcPr>
            <w:tcW w:w="2835" w:type="dxa"/>
            <w:vAlign w:val="center"/>
          </w:tcPr>
          <w:p>
            <w:pPr>
              <w:pStyle w:val="12"/>
            </w:pPr>
            <w:r>
              <w:t>项目名称</w:t>
            </w:r>
          </w:p>
        </w:tc>
        <w:tc>
          <w:tcPr>
            <w:tcW w:w="6095" w:type="dxa"/>
            <w:gridSpan w:val="3"/>
            <w:vAlign w:val="center"/>
          </w:tcPr>
          <w:p>
            <w:pPr>
              <w:pStyle w:val="14"/>
            </w:pPr>
            <w:r>
              <w:t>大气污染防治经费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主要用于开展散煤治理等产生的委托业务费、装卸、存放等支出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专项治理行动次数</w:t>
            </w:r>
          </w:p>
        </w:tc>
        <w:tc>
          <w:tcPr>
            <w:tcW w:w="5386" w:type="dxa"/>
            <w:vAlign w:val="center"/>
          </w:tcPr>
          <w:p>
            <w:pPr>
              <w:pStyle w:val="14"/>
            </w:pPr>
            <w:r>
              <w:t>专项治理行动次数</w:t>
            </w:r>
          </w:p>
        </w:tc>
        <w:tc>
          <w:tcPr>
            <w:tcW w:w="2268" w:type="dxa"/>
            <w:vAlign w:val="center"/>
          </w:tcPr>
          <w:p>
            <w:pPr>
              <w:pStyle w:val="14"/>
            </w:pPr>
            <w:r>
              <w:t>按实际工作</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5386" w:type="dxa"/>
            <w:vAlign w:val="center"/>
          </w:tcPr>
          <w:p>
            <w:pPr>
              <w:pStyle w:val="14"/>
            </w:pPr>
            <w:r>
              <w:t>监管执法计划完成率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工作完成时限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≤30000元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重大案件发生次数</w:t>
            </w:r>
          </w:p>
        </w:tc>
        <w:tc>
          <w:tcPr>
            <w:tcW w:w="5386" w:type="dxa"/>
            <w:vAlign w:val="center"/>
          </w:tcPr>
          <w:p>
            <w:pPr>
              <w:pStyle w:val="14"/>
            </w:pPr>
            <w:r>
              <w:t>重大案件发生次数</w:t>
            </w:r>
          </w:p>
        </w:tc>
        <w:tc>
          <w:tcPr>
            <w:tcW w:w="2268" w:type="dxa"/>
            <w:vAlign w:val="center"/>
          </w:tcPr>
          <w:p>
            <w:pPr>
              <w:pStyle w:val="14"/>
            </w:pPr>
            <w:r>
              <w:t>零</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5386" w:type="dxa"/>
            <w:vAlign w:val="center"/>
          </w:tcPr>
          <w:p>
            <w:pPr>
              <w:pStyle w:val="14"/>
            </w:pPr>
            <w:r>
              <w:t>社会反馈意见对市场监管工作满意度</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4、劳务派遣人员工资绩效目标表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13021225P00088410002N</w:t>
            </w:r>
          </w:p>
        </w:tc>
        <w:tc>
          <w:tcPr>
            <w:tcW w:w="2835" w:type="dxa"/>
            <w:vAlign w:val="center"/>
          </w:tcPr>
          <w:p>
            <w:pPr>
              <w:pStyle w:val="12"/>
            </w:pPr>
            <w:r>
              <w:t>项目名称</w:t>
            </w:r>
          </w:p>
        </w:tc>
        <w:tc>
          <w:tcPr>
            <w:tcW w:w="6095" w:type="dxa"/>
            <w:gridSpan w:val="3"/>
            <w:vAlign w:val="center"/>
          </w:tcPr>
          <w:p>
            <w:pPr>
              <w:pStyle w:val="14"/>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163.00</w:t>
            </w:r>
          </w:p>
        </w:tc>
        <w:tc>
          <w:tcPr>
            <w:tcW w:w="2835" w:type="dxa"/>
            <w:vAlign w:val="center"/>
          </w:tcPr>
          <w:p>
            <w:pPr>
              <w:pStyle w:val="12"/>
            </w:pPr>
            <w:r>
              <w:t>其中：财政    资金</w:t>
            </w:r>
          </w:p>
        </w:tc>
        <w:tc>
          <w:tcPr>
            <w:tcW w:w="2551" w:type="dxa"/>
            <w:vAlign w:val="center"/>
          </w:tcPr>
          <w:p>
            <w:pPr>
              <w:pStyle w:val="14"/>
            </w:pPr>
            <w:r>
              <w:t>163.00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主要用于劳务人员工资保险等支出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1.保障人员工资的正常发放和各项保险的缴纳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5386" w:type="dxa"/>
            <w:vAlign w:val="center"/>
          </w:tcPr>
          <w:p>
            <w:pPr>
              <w:pStyle w:val="14"/>
            </w:pPr>
            <w:r>
              <w:t>人员数量</w:t>
            </w:r>
          </w:p>
        </w:tc>
        <w:tc>
          <w:tcPr>
            <w:tcW w:w="2268" w:type="dxa"/>
            <w:vAlign w:val="center"/>
          </w:tcPr>
          <w:p>
            <w:pPr>
              <w:pStyle w:val="14"/>
            </w:pPr>
            <w:r>
              <w:t>按合同人数</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资金发放率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5386" w:type="dxa"/>
            <w:vAlign w:val="center"/>
          </w:tcPr>
          <w:p>
            <w:pPr>
              <w:pStyle w:val="14"/>
            </w:pPr>
            <w:r>
              <w:t>工作任务完成及时率</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不超预算资金</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按时完成工作</w:t>
            </w:r>
          </w:p>
        </w:tc>
        <w:tc>
          <w:tcPr>
            <w:tcW w:w="5386" w:type="dxa"/>
            <w:vAlign w:val="center"/>
          </w:tcPr>
          <w:p>
            <w:pPr>
              <w:pStyle w:val="14"/>
            </w:pPr>
            <w:r>
              <w:t>按时完成工作</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≥95%</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5、食安办工作经费绩效目标表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13021225P00105710002N</w:t>
            </w:r>
          </w:p>
        </w:tc>
        <w:tc>
          <w:tcPr>
            <w:tcW w:w="2835" w:type="dxa"/>
            <w:vAlign w:val="center"/>
          </w:tcPr>
          <w:p>
            <w:pPr>
              <w:pStyle w:val="12"/>
            </w:pPr>
            <w:r>
              <w:t>项目名称</w:t>
            </w:r>
          </w:p>
        </w:tc>
        <w:tc>
          <w:tcPr>
            <w:tcW w:w="6095" w:type="dxa"/>
            <w:gridSpan w:val="3"/>
            <w:vAlign w:val="center"/>
          </w:tcPr>
          <w:p>
            <w:pPr>
              <w:pStyle w:val="14"/>
            </w:pPr>
            <w:r>
              <w:t>食安办工作经费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用于食安办日常工作中所发生的办公费、印刷费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1.开展食品安全监督检查、保障日常工作正常运转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印制计划完成量</w:t>
            </w:r>
          </w:p>
        </w:tc>
        <w:tc>
          <w:tcPr>
            <w:tcW w:w="5386" w:type="dxa"/>
            <w:vAlign w:val="center"/>
          </w:tcPr>
          <w:p>
            <w:pPr>
              <w:pStyle w:val="14"/>
            </w:pPr>
            <w:r>
              <w:t>印制计划完成量</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监管执法计划完成率</w:t>
            </w:r>
          </w:p>
        </w:tc>
        <w:tc>
          <w:tcPr>
            <w:tcW w:w="5386" w:type="dxa"/>
            <w:vAlign w:val="center"/>
          </w:tcPr>
          <w:p>
            <w:pPr>
              <w:pStyle w:val="14"/>
            </w:pPr>
            <w:r>
              <w:t>监管执法计划完成率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工作完成时限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≤100000元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社会反馈意见对市场监管工作满意度</w:t>
            </w:r>
          </w:p>
        </w:tc>
        <w:tc>
          <w:tcPr>
            <w:tcW w:w="5386" w:type="dxa"/>
            <w:vAlign w:val="center"/>
          </w:tcPr>
          <w:p>
            <w:pPr>
              <w:pStyle w:val="14"/>
            </w:pPr>
            <w:r>
              <w:t>社会反馈意见对市场监管工作满意度</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6、食品安全快检室经费绩效目标表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13021225P00106210002H</w:t>
            </w:r>
          </w:p>
        </w:tc>
        <w:tc>
          <w:tcPr>
            <w:tcW w:w="2835" w:type="dxa"/>
            <w:vAlign w:val="center"/>
          </w:tcPr>
          <w:p>
            <w:pPr>
              <w:pStyle w:val="12"/>
            </w:pPr>
            <w:r>
              <w:t>项目名称</w:t>
            </w:r>
          </w:p>
        </w:tc>
        <w:tc>
          <w:tcPr>
            <w:tcW w:w="6095" w:type="dxa"/>
            <w:gridSpan w:val="3"/>
            <w:vAlign w:val="center"/>
          </w:tcPr>
          <w:p>
            <w:pPr>
              <w:pStyle w:val="14"/>
            </w:pPr>
            <w:r>
              <w:t>食品安全快检室经费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22.80</w:t>
            </w:r>
          </w:p>
        </w:tc>
        <w:tc>
          <w:tcPr>
            <w:tcW w:w="2835" w:type="dxa"/>
            <w:vAlign w:val="center"/>
          </w:tcPr>
          <w:p>
            <w:pPr>
              <w:pStyle w:val="12"/>
            </w:pPr>
            <w:r>
              <w:t>其中：财政    资金</w:t>
            </w:r>
          </w:p>
        </w:tc>
        <w:tc>
          <w:tcPr>
            <w:tcW w:w="2551" w:type="dxa"/>
            <w:vAlign w:val="center"/>
          </w:tcPr>
          <w:p>
            <w:pPr>
              <w:pStyle w:val="14"/>
            </w:pPr>
            <w:r>
              <w:t>22.80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主要用于快检室日常支出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1.为保障辖区居民日常饮食安全，切实有效利用食品快检室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实验室数量</w:t>
            </w:r>
          </w:p>
        </w:tc>
        <w:tc>
          <w:tcPr>
            <w:tcW w:w="5386" w:type="dxa"/>
            <w:vAlign w:val="center"/>
          </w:tcPr>
          <w:p>
            <w:pPr>
              <w:pStyle w:val="14"/>
            </w:pPr>
            <w:r>
              <w:t>实验室数量</w:t>
            </w:r>
          </w:p>
        </w:tc>
        <w:tc>
          <w:tcPr>
            <w:tcW w:w="2268" w:type="dxa"/>
            <w:vAlign w:val="center"/>
          </w:tcPr>
          <w:p>
            <w:pPr>
              <w:pStyle w:val="14"/>
            </w:pPr>
            <w:r>
              <w:t>1个</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实验室设备运行安全率</w:t>
            </w:r>
          </w:p>
        </w:tc>
        <w:tc>
          <w:tcPr>
            <w:tcW w:w="5386" w:type="dxa"/>
            <w:vAlign w:val="center"/>
          </w:tcPr>
          <w:p>
            <w:pPr>
              <w:pStyle w:val="14"/>
            </w:pPr>
            <w:r>
              <w:t>实验室设备运行安全率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5386" w:type="dxa"/>
            <w:vAlign w:val="center"/>
          </w:tcPr>
          <w:p>
            <w:pPr>
              <w:pStyle w:val="14"/>
            </w:pPr>
            <w:r>
              <w:t>工作完成时限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≤228000元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各项工作任务按时完成率</w:t>
            </w:r>
          </w:p>
        </w:tc>
        <w:tc>
          <w:tcPr>
            <w:tcW w:w="5386" w:type="dxa"/>
            <w:vAlign w:val="center"/>
          </w:tcPr>
          <w:p>
            <w:pPr>
              <w:pStyle w:val="14"/>
            </w:pPr>
            <w:r>
              <w:t>各项工作任务按时完成率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5386" w:type="dxa"/>
            <w:vAlign w:val="center"/>
          </w:tcPr>
          <w:p>
            <w:pPr>
              <w:pStyle w:val="14"/>
            </w:pPr>
            <w:r>
              <w:t>服务满意度</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7、市场监管抽检经费绩效目标表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13021225P001060100026</w:t>
            </w:r>
          </w:p>
        </w:tc>
        <w:tc>
          <w:tcPr>
            <w:tcW w:w="2835" w:type="dxa"/>
            <w:vAlign w:val="center"/>
          </w:tcPr>
          <w:p>
            <w:pPr>
              <w:pStyle w:val="12"/>
            </w:pPr>
            <w:r>
              <w:t>项目名称</w:t>
            </w:r>
          </w:p>
        </w:tc>
        <w:tc>
          <w:tcPr>
            <w:tcW w:w="6095" w:type="dxa"/>
            <w:gridSpan w:val="3"/>
            <w:vAlign w:val="center"/>
          </w:tcPr>
          <w:p>
            <w:pPr>
              <w:pStyle w:val="14"/>
            </w:pPr>
            <w:r>
              <w:t>市场监管抽检经费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用于市场监管工作中发生的抽检支出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1.开展市场监管工作的监督、检查、抽检工作，合理有效使用资金，保障工作顺利进行。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抽检批次</w:t>
            </w:r>
          </w:p>
        </w:tc>
        <w:tc>
          <w:tcPr>
            <w:tcW w:w="5386" w:type="dxa"/>
            <w:vAlign w:val="center"/>
          </w:tcPr>
          <w:p>
            <w:pPr>
              <w:pStyle w:val="14"/>
            </w:pPr>
            <w:r>
              <w:t>抽检批次</w:t>
            </w:r>
          </w:p>
        </w:tc>
        <w:tc>
          <w:tcPr>
            <w:tcW w:w="2268" w:type="dxa"/>
            <w:vAlign w:val="center"/>
          </w:tcPr>
          <w:p>
            <w:pPr>
              <w:pStyle w:val="14"/>
            </w:pPr>
            <w:r>
              <w:t>按实际工作任务</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抽检合格率</w:t>
            </w:r>
          </w:p>
        </w:tc>
        <w:tc>
          <w:tcPr>
            <w:tcW w:w="5386" w:type="dxa"/>
            <w:vAlign w:val="center"/>
          </w:tcPr>
          <w:p>
            <w:pPr>
              <w:pStyle w:val="14"/>
            </w:pPr>
            <w:r>
              <w:t>抽检合格率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5386" w:type="dxa"/>
            <w:vAlign w:val="center"/>
          </w:tcPr>
          <w:p>
            <w:pPr>
              <w:pStyle w:val="14"/>
            </w:pPr>
            <w:r>
              <w:t>经费使用率(%)</w:t>
            </w:r>
          </w:p>
        </w:tc>
        <w:tc>
          <w:tcPr>
            <w:tcW w:w="2268" w:type="dxa"/>
            <w:vAlign w:val="center"/>
          </w:tcPr>
          <w:p>
            <w:pPr>
              <w:pStyle w:val="14"/>
            </w:pPr>
            <w:r>
              <w:t>≤200000元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5386" w:type="dxa"/>
            <w:vAlign w:val="center"/>
          </w:tcPr>
          <w:p>
            <w:pPr>
              <w:pStyle w:val="14"/>
            </w:pPr>
            <w:r>
              <w:t>项目完成率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≥95%</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8、印刷费绩效目标表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13021225P00197210001T</w:t>
            </w:r>
          </w:p>
        </w:tc>
        <w:tc>
          <w:tcPr>
            <w:tcW w:w="2835" w:type="dxa"/>
            <w:vAlign w:val="center"/>
          </w:tcPr>
          <w:p>
            <w:pPr>
              <w:pStyle w:val="12"/>
            </w:pPr>
            <w:r>
              <w:t>项目名称</w:t>
            </w:r>
          </w:p>
        </w:tc>
        <w:tc>
          <w:tcPr>
            <w:tcW w:w="6095" w:type="dxa"/>
            <w:gridSpan w:val="3"/>
            <w:vAlign w:val="center"/>
          </w:tcPr>
          <w:p>
            <w:pPr>
              <w:pStyle w:val="14"/>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主要用于监管过程中所产生的印刷费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5386" w:type="dxa"/>
            <w:vAlign w:val="center"/>
          </w:tcPr>
          <w:p>
            <w:pPr>
              <w:pStyle w:val="14"/>
            </w:pPr>
            <w:r>
              <w:t>印刷执行率（%）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5386" w:type="dxa"/>
            <w:vAlign w:val="center"/>
          </w:tcPr>
          <w:p>
            <w:pPr>
              <w:pStyle w:val="14"/>
            </w:pPr>
            <w:r>
              <w:t>印刷合格率（%）</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预算成本</w:t>
            </w:r>
          </w:p>
        </w:tc>
        <w:tc>
          <w:tcPr>
            <w:tcW w:w="5386" w:type="dxa"/>
            <w:vAlign w:val="center"/>
          </w:tcPr>
          <w:p>
            <w:pPr>
              <w:pStyle w:val="14"/>
            </w:pPr>
            <w:r>
              <w:t>预算成本</w:t>
            </w:r>
          </w:p>
        </w:tc>
        <w:tc>
          <w:tcPr>
            <w:tcW w:w="2268" w:type="dxa"/>
            <w:vAlign w:val="center"/>
          </w:tcPr>
          <w:p>
            <w:pPr>
              <w:pStyle w:val="14"/>
            </w:pPr>
            <w:r>
              <w:t>60000元</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2025年12月31日</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满足业务开展需求</w:t>
            </w:r>
          </w:p>
        </w:tc>
        <w:tc>
          <w:tcPr>
            <w:tcW w:w="5386" w:type="dxa"/>
            <w:vAlign w:val="center"/>
          </w:tcPr>
          <w:p>
            <w:pPr>
              <w:pStyle w:val="14"/>
            </w:pPr>
            <w:r>
              <w:t>满足业务开展需求</w:t>
            </w:r>
          </w:p>
        </w:tc>
        <w:tc>
          <w:tcPr>
            <w:tcW w:w="2268" w:type="dxa"/>
            <w:vAlign w:val="center"/>
          </w:tcPr>
          <w:p>
            <w:pPr>
              <w:pStyle w:val="14"/>
            </w:pPr>
            <w:r>
              <w:t>满足业务开展需求</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按时完成工作</w:t>
            </w:r>
          </w:p>
        </w:tc>
        <w:tc>
          <w:tcPr>
            <w:tcW w:w="5386" w:type="dxa"/>
            <w:vAlign w:val="center"/>
          </w:tcPr>
          <w:p>
            <w:pPr>
              <w:pStyle w:val="14"/>
            </w:pPr>
            <w:r>
              <w:t>按时完成工作</w:t>
            </w:r>
          </w:p>
        </w:tc>
        <w:tc>
          <w:tcPr>
            <w:tcW w:w="2268" w:type="dxa"/>
            <w:vAlign w:val="center"/>
          </w:tcPr>
          <w:p>
            <w:pPr>
              <w:pStyle w:val="14"/>
            </w:pPr>
            <w:r>
              <w:t>100%</w:t>
            </w:r>
          </w:p>
        </w:tc>
        <w:tc>
          <w:tcPr>
            <w:tcW w:w="1276" w:type="dxa"/>
            <w:vAlign w:val="center"/>
          </w:tcPr>
          <w:p>
            <w:pPr>
              <w:pStyle w:val="14"/>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按计划完成</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111001市场监督管理局</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市场监督管理局上年末固定资产金额为35.36万元（详见下表）。本年度拟购置固定资产总额为0.00万元，已按要求列入政府采购预算，详见政府采购预算表。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111001市场监督管理局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4"/>
            </w:pPr>
            <w:r>
              <w:t>4、其他固定资产</w:t>
            </w:r>
          </w:p>
        </w:tc>
        <w:tc>
          <w:tcPr>
            <w:tcW w:w="2835" w:type="dxa"/>
            <w:vAlign w:val="center"/>
          </w:tcPr>
          <w:p>
            <w:pPr>
              <w:pStyle w:val="15"/>
            </w:pPr>
            <w:r>
              <w:t>177</w:t>
            </w:r>
          </w:p>
        </w:tc>
        <w:tc>
          <w:tcPr>
            <w:tcW w:w="2835" w:type="dxa"/>
            <w:vAlign w:val="center"/>
          </w:tcPr>
          <w:p>
            <w:pPr>
              <w:pStyle w:val="13"/>
            </w:pPr>
            <w:r>
              <w:t>35.36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43"/>
    <w:rsid w:val="000941D1"/>
    <w:rsid w:val="003F7CC5"/>
    <w:rsid w:val="008C5543"/>
    <w:rsid w:val="3A2A5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qFormat/>
    <w:uiPriority w:val="99"/>
    <w:rPr>
      <w:rFonts w:eastAsia="Times New Roman"/>
      <w:sz w:val="18"/>
      <w:szCs w:val="18"/>
      <w:lang w:eastAsia="uk-UA"/>
    </w:rPr>
  </w:style>
  <w:style w:type="character" w:customStyle="1" w:styleId="25">
    <w:name w:val="页脚 Char"/>
    <w:basedOn w:val="8"/>
    <w:link w:val="2"/>
    <w:qFormat/>
    <w:uiPriority w:val="99"/>
    <w:rPr>
      <w:rFonts w:eastAsia="Times New Roman"/>
      <w:sz w:val="18"/>
      <w:szCs w:val="18"/>
      <w:lang w:eastAsia="uk-UA"/>
    </w:rPr>
  </w:style>
  <w:style w:type="paragraph" w:customStyle="1" w:styleId="2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1826</Words>
  <Characters>10414</Characters>
  <Lines>86</Lines>
  <Paragraphs>24</Paragraphs>
  <TotalTime>13</TotalTime>
  <ScaleCrop>false</ScaleCrop>
  <LinksUpToDate>false</LinksUpToDate>
  <CharactersWithSpaces>12216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2025-02-11T01:26:00Z</dcterms:created>
  <dc:creator>Administrator</dc:creator>
  <cp:lastModifiedBy>瑞琪</cp:lastModifiedBy>
  <dcterms:modified xsi:type="dcterms:W3CDTF">2025-02-11T02:12:46Z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