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8A96C">
      <w:pPr>
        <w:rPr>
          <w:rFonts w:hint="eastAsia" w:eastAsia="仿宋_GB2312"/>
          <w:color w:val="auto"/>
          <w:sz w:val="36"/>
          <w:szCs w:val="36"/>
          <w:lang w:eastAsia="zh-CN"/>
        </w:rPr>
      </w:pPr>
    </w:p>
    <w:p w14:paraId="104D3C39">
      <w:pPr>
        <w:rPr>
          <w:rFonts w:eastAsia="仿宋_GB2312"/>
          <w:color w:val="auto"/>
          <w:sz w:val="36"/>
          <w:szCs w:val="36"/>
        </w:rPr>
      </w:pPr>
    </w:p>
    <w:p w14:paraId="7D8E834C">
      <w:pPr>
        <w:adjustRightInd w:val="0"/>
        <w:snapToGrid w:val="0"/>
        <w:jc w:val="center"/>
        <w:rPr>
          <w:rFonts w:eastAsia="方正小标宋_GBK"/>
          <w:bCs/>
          <w:color w:val="auto"/>
          <w:sz w:val="72"/>
          <w:szCs w:val="72"/>
        </w:rPr>
      </w:pPr>
      <w:bookmarkStart w:id="0" w:name="_Toc12052"/>
      <w:r>
        <w:rPr>
          <w:rFonts w:eastAsia="方正小标宋_GBK"/>
          <w:bCs/>
          <w:color w:val="auto"/>
          <w:sz w:val="72"/>
          <w:szCs w:val="72"/>
        </w:rPr>
        <w:t>建设项目环境影响报告表</w:t>
      </w:r>
      <w:bookmarkEnd w:id="0"/>
    </w:p>
    <w:p w14:paraId="1E839FDE">
      <w:pPr>
        <w:adjustRightInd w:val="0"/>
        <w:snapToGrid w:val="0"/>
        <w:spacing w:before="192" w:beforeLines="80"/>
        <w:jc w:val="center"/>
        <w:rPr>
          <w:bCs/>
          <w:color w:val="auto"/>
          <w:sz w:val="48"/>
          <w:szCs w:val="48"/>
        </w:rPr>
      </w:pPr>
      <w:r>
        <w:rPr>
          <w:bCs/>
          <w:color w:val="auto"/>
          <w:sz w:val="48"/>
          <w:szCs w:val="48"/>
        </w:rPr>
        <w:t>（污染影响类）</w:t>
      </w:r>
    </w:p>
    <w:p w14:paraId="5684F327">
      <w:pPr>
        <w:adjustRightInd w:val="0"/>
        <w:snapToGrid w:val="0"/>
        <w:spacing w:before="192" w:beforeLines="80"/>
        <w:jc w:val="center"/>
        <w:rPr>
          <w:rFonts w:eastAsia="楷体_GB2312"/>
          <w:bCs/>
          <w:color w:val="auto"/>
          <w:sz w:val="48"/>
          <w:szCs w:val="48"/>
        </w:rPr>
      </w:pPr>
    </w:p>
    <w:p w14:paraId="6B0F5A54">
      <w:pPr>
        <w:adjustRightInd w:val="0"/>
        <w:snapToGrid w:val="0"/>
        <w:spacing w:line="288" w:lineRule="auto"/>
        <w:jc w:val="center"/>
        <w:rPr>
          <w:rFonts w:eastAsia="华文仿宋"/>
          <w:color w:val="auto"/>
          <w:kern w:val="44"/>
          <w:sz w:val="44"/>
          <w:szCs w:val="44"/>
        </w:rPr>
      </w:pPr>
    </w:p>
    <w:p w14:paraId="0086A4E0">
      <w:pPr>
        <w:jc w:val="center"/>
        <w:rPr>
          <w:rFonts w:eastAsia="仿宋"/>
          <w:color w:val="auto"/>
          <w:sz w:val="52"/>
          <w:szCs w:val="52"/>
        </w:rPr>
      </w:pPr>
    </w:p>
    <w:p w14:paraId="4B5C8B38">
      <w:pPr>
        <w:jc w:val="center"/>
        <w:rPr>
          <w:rFonts w:eastAsia="仿宋"/>
          <w:color w:val="auto"/>
          <w:sz w:val="44"/>
          <w:szCs w:val="44"/>
        </w:rPr>
      </w:pPr>
    </w:p>
    <w:p w14:paraId="79EE866E">
      <w:pPr>
        <w:jc w:val="center"/>
        <w:rPr>
          <w:rFonts w:eastAsia="仿宋"/>
          <w:color w:val="auto"/>
          <w:sz w:val="44"/>
          <w:szCs w:val="44"/>
        </w:rPr>
      </w:pPr>
    </w:p>
    <w:p w14:paraId="516C365F">
      <w:pPr>
        <w:jc w:val="center"/>
        <w:rPr>
          <w:rFonts w:eastAsia="仿宋"/>
          <w:color w:val="auto"/>
          <w:sz w:val="44"/>
          <w:szCs w:val="44"/>
        </w:rPr>
      </w:pPr>
    </w:p>
    <w:p w14:paraId="7BA2668A">
      <w:pPr>
        <w:jc w:val="center"/>
        <w:rPr>
          <w:rFonts w:eastAsia="仿宋"/>
          <w:color w:val="auto"/>
          <w:sz w:val="44"/>
          <w:szCs w:val="44"/>
        </w:rPr>
      </w:pPr>
    </w:p>
    <w:p w14:paraId="09091BC8">
      <w:pPr>
        <w:adjustRightInd w:val="0"/>
        <w:snapToGrid w:val="0"/>
        <w:spacing w:line="288" w:lineRule="auto"/>
        <w:ind w:firstLine="1080" w:firstLineChars="300"/>
        <w:rPr>
          <w:rFonts w:hint="eastAsia" w:eastAsia="仿宋_GB2312"/>
          <w:color w:val="auto"/>
          <w:sz w:val="36"/>
          <w:szCs w:val="36"/>
          <w:u w:val="single"/>
        </w:rPr>
      </w:pPr>
      <w:bookmarkStart w:id="1" w:name="_Hlk57884087"/>
      <w:r>
        <w:rPr>
          <w:rFonts w:eastAsia="仿宋_GB2312"/>
          <w:color w:val="auto"/>
          <w:sz w:val="36"/>
          <w:szCs w:val="36"/>
        </w:rPr>
        <w:t>项目名称：</w:t>
      </w:r>
      <w:r>
        <w:rPr>
          <w:rFonts w:hint="eastAsia" w:eastAsia="仿宋_GB2312"/>
          <w:color w:val="auto"/>
          <w:sz w:val="36"/>
          <w:szCs w:val="36"/>
          <w:u w:val="single"/>
        </w:rPr>
        <w:t>唐山海港倚硕国际船舶代理有限公司集装箱拆、装箱项目</w:t>
      </w:r>
    </w:p>
    <w:p w14:paraId="2A556B6A">
      <w:pPr>
        <w:adjustRightInd w:val="0"/>
        <w:snapToGrid w:val="0"/>
        <w:spacing w:line="288" w:lineRule="auto"/>
        <w:ind w:firstLine="1040"/>
        <w:rPr>
          <w:rFonts w:hint="eastAsia" w:eastAsia="仿宋_GB2312"/>
          <w:color w:val="auto"/>
          <w:sz w:val="36"/>
          <w:szCs w:val="36"/>
          <w:u w:val="single"/>
        </w:rPr>
      </w:pPr>
      <w:r>
        <w:rPr>
          <w:rFonts w:eastAsia="仿宋_GB2312"/>
          <w:color w:val="auto"/>
          <w:sz w:val="36"/>
          <w:szCs w:val="36"/>
        </w:rPr>
        <w:t>建设单位（盖章）：</w:t>
      </w:r>
      <w:r>
        <w:rPr>
          <w:rFonts w:hint="eastAsia" w:eastAsia="仿宋_GB2312"/>
          <w:color w:val="auto"/>
          <w:sz w:val="36"/>
          <w:szCs w:val="36"/>
          <w:u w:val="single"/>
        </w:rPr>
        <w:t>唐山海港倚硕国际船舶代理有限公司</w:t>
      </w:r>
    </w:p>
    <w:p w14:paraId="4FA308FB">
      <w:pPr>
        <w:adjustRightInd w:val="0"/>
        <w:snapToGrid w:val="0"/>
        <w:spacing w:line="288" w:lineRule="auto"/>
        <w:ind w:firstLine="1040"/>
        <w:rPr>
          <w:rFonts w:eastAsia="仿宋_GB2312"/>
          <w:color w:val="auto"/>
          <w:sz w:val="36"/>
          <w:szCs w:val="36"/>
          <w:u w:val="single"/>
        </w:rPr>
      </w:pPr>
      <w:r>
        <w:rPr>
          <w:rFonts w:eastAsia="仿宋_GB2312"/>
          <w:color w:val="auto"/>
          <w:sz w:val="36"/>
          <w:szCs w:val="36"/>
        </w:rPr>
        <w:t>编制日期：</w:t>
      </w:r>
      <w:r>
        <w:rPr>
          <w:rFonts w:hint="eastAsia" w:eastAsia="仿宋_GB2312"/>
          <w:color w:val="auto"/>
          <w:sz w:val="36"/>
          <w:szCs w:val="36"/>
          <w:u w:val="single"/>
        </w:rPr>
        <w:t xml:space="preserve">       </w:t>
      </w:r>
      <w:r>
        <w:rPr>
          <w:rFonts w:eastAsia="仿宋_GB2312"/>
          <w:color w:val="auto"/>
          <w:sz w:val="36"/>
          <w:szCs w:val="36"/>
          <w:u w:val="single"/>
        </w:rPr>
        <w:t>202</w:t>
      </w:r>
      <w:r>
        <w:rPr>
          <w:rFonts w:hint="eastAsia" w:eastAsia="仿宋_GB2312"/>
          <w:color w:val="auto"/>
          <w:sz w:val="36"/>
          <w:szCs w:val="36"/>
          <w:u w:val="single"/>
        </w:rPr>
        <w:t>4</w:t>
      </w:r>
      <w:r>
        <w:rPr>
          <w:rFonts w:eastAsia="仿宋_GB2312"/>
          <w:color w:val="auto"/>
          <w:sz w:val="36"/>
          <w:szCs w:val="36"/>
          <w:u w:val="single"/>
        </w:rPr>
        <w:t>年</w:t>
      </w:r>
      <w:r>
        <w:rPr>
          <w:rFonts w:hint="eastAsia" w:eastAsia="仿宋_GB2312"/>
          <w:color w:val="auto"/>
          <w:sz w:val="36"/>
          <w:szCs w:val="36"/>
          <w:u w:val="single"/>
          <w:lang w:val="en-US" w:eastAsia="zh-CN"/>
        </w:rPr>
        <w:t>8</w:t>
      </w:r>
      <w:r>
        <w:rPr>
          <w:rFonts w:eastAsia="仿宋_GB2312"/>
          <w:color w:val="auto"/>
          <w:sz w:val="36"/>
          <w:szCs w:val="36"/>
          <w:u w:val="single"/>
        </w:rPr>
        <w:t>月</w:t>
      </w:r>
      <w:r>
        <w:rPr>
          <w:rFonts w:hint="eastAsia" w:eastAsia="仿宋_GB2312"/>
          <w:color w:val="auto"/>
          <w:sz w:val="36"/>
          <w:szCs w:val="36"/>
          <w:u w:val="single"/>
        </w:rPr>
        <w:t xml:space="preserve">           </w:t>
      </w:r>
    </w:p>
    <w:p w14:paraId="1C7C07C5">
      <w:pPr>
        <w:adjustRightInd w:val="0"/>
        <w:snapToGrid w:val="0"/>
        <w:spacing w:line="288" w:lineRule="auto"/>
        <w:ind w:firstLine="1040"/>
        <w:rPr>
          <w:rFonts w:eastAsia="仿宋_GB2312"/>
          <w:color w:val="auto"/>
          <w:sz w:val="36"/>
          <w:szCs w:val="36"/>
          <w:u w:val="single"/>
        </w:rPr>
      </w:pPr>
    </w:p>
    <w:p w14:paraId="4CB6152A">
      <w:pPr>
        <w:adjustRightInd w:val="0"/>
        <w:snapToGrid w:val="0"/>
        <w:spacing w:line="288" w:lineRule="auto"/>
        <w:ind w:firstLine="1040"/>
        <w:jc w:val="center"/>
        <w:rPr>
          <w:rFonts w:eastAsia="仿宋_GB2312"/>
          <w:color w:val="auto"/>
          <w:sz w:val="36"/>
          <w:szCs w:val="36"/>
        </w:rPr>
      </w:pPr>
    </w:p>
    <w:p w14:paraId="11C1EC15">
      <w:pPr>
        <w:adjustRightInd w:val="0"/>
        <w:snapToGrid w:val="0"/>
        <w:spacing w:line="288" w:lineRule="auto"/>
        <w:ind w:firstLine="1040"/>
        <w:jc w:val="center"/>
        <w:rPr>
          <w:rFonts w:eastAsia="仿宋_GB2312"/>
          <w:color w:val="auto"/>
          <w:sz w:val="36"/>
          <w:szCs w:val="36"/>
        </w:rPr>
      </w:pPr>
    </w:p>
    <w:p w14:paraId="7485F5DB">
      <w:pPr>
        <w:adjustRightInd w:val="0"/>
        <w:snapToGrid w:val="0"/>
        <w:spacing w:line="288" w:lineRule="auto"/>
        <w:ind w:firstLine="1040"/>
        <w:jc w:val="center"/>
        <w:rPr>
          <w:rFonts w:eastAsia="仿宋_GB2312"/>
          <w:color w:val="auto"/>
          <w:sz w:val="36"/>
          <w:szCs w:val="36"/>
        </w:rPr>
      </w:pPr>
    </w:p>
    <w:bookmarkEnd w:id="1"/>
    <w:p w14:paraId="67226406">
      <w:pPr>
        <w:adjustRightInd w:val="0"/>
        <w:snapToGrid w:val="0"/>
        <w:spacing w:line="288" w:lineRule="auto"/>
        <w:jc w:val="center"/>
        <w:rPr>
          <w:rFonts w:eastAsia="楷体_GB2312"/>
          <w:color w:val="auto"/>
          <w:sz w:val="36"/>
          <w:szCs w:val="36"/>
        </w:rPr>
      </w:pPr>
      <w:bookmarkStart w:id="2" w:name="_Toc20643"/>
      <w:r>
        <w:rPr>
          <w:rFonts w:eastAsia="楷体_GB2312"/>
          <w:color w:val="auto"/>
          <w:sz w:val="36"/>
          <w:szCs w:val="36"/>
        </w:rPr>
        <w:t>中华人民共和国生态环境部制</w:t>
      </w:r>
      <w:bookmarkEnd w:id="2"/>
    </w:p>
    <w:p w14:paraId="08521E67">
      <w:pPr>
        <w:adjustRightInd w:val="0"/>
        <w:snapToGrid w:val="0"/>
        <w:spacing w:line="288" w:lineRule="auto"/>
        <w:ind w:firstLine="1040"/>
        <w:jc w:val="center"/>
        <w:rPr>
          <w:rFonts w:eastAsia="仿宋_GB2312"/>
          <w:color w:val="auto"/>
          <w:sz w:val="36"/>
          <w:szCs w:val="36"/>
        </w:rPr>
        <w:sectPr>
          <w:footerReference r:id="rId3" w:type="default"/>
          <w:footerReference r:id="rId4" w:type="even"/>
          <w:pgSz w:w="11906" w:h="16838"/>
          <w:pgMar w:top="1417" w:right="1417" w:bottom="1417" w:left="1417" w:header="851" w:footer="1077" w:gutter="0"/>
          <w:pgBorders>
            <w:top w:val="none" w:sz="0" w:space="0"/>
            <w:left w:val="none" w:sz="0" w:space="0"/>
            <w:bottom w:val="none" w:sz="0" w:space="0"/>
            <w:right w:val="none" w:sz="0" w:space="0"/>
          </w:pgBorders>
          <w:pgNumType w:start="3"/>
          <w:cols w:space="720" w:num="1"/>
          <w:docGrid w:linePitch="312" w:charSpace="0"/>
        </w:sectPr>
      </w:pPr>
    </w:p>
    <w:p w14:paraId="1CA515AC">
      <w:pPr>
        <w:rPr>
          <w:color w:val="auto"/>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color w:val="auto"/>
          <w:sz w:val="24"/>
        </w:rPr>
        <w:id w:val="147467542"/>
        <w:docPartObj>
          <w:docPartGallery w:val="Table of Contents"/>
          <w:docPartUnique/>
        </w:docPartObj>
      </w:sdtPr>
      <w:sdtEndPr>
        <w:rPr>
          <w:rFonts w:ascii="宋体" w:hAnsi="Times New Roman"/>
          <w:color w:val="auto"/>
          <w:sz w:val="24"/>
        </w:rPr>
      </w:sdtEndPr>
      <w:sdtContent>
        <w:p w14:paraId="521693A9">
          <w:pPr>
            <w:jc w:val="center"/>
            <w:rPr>
              <w:b/>
              <w:bCs/>
              <w:color w:val="auto"/>
              <w:sz w:val="44"/>
              <w:szCs w:val="44"/>
            </w:rPr>
          </w:pPr>
          <w:r>
            <w:rPr>
              <w:rFonts w:ascii="宋体" w:hAnsi="宋体"/>
              <w:b/>
              <w:bCs/>
              <w:color w:val="auto"/>
              <w:sz w:val="44"/>
              <w:szCs w:val="44"/>
            </w:rPr>
            <w:t>目录</w:t>
          </w:r>
        </w:p>
        <w:p w14:paraId="0B38250F">
          <w:pPr>
            <w:pStyle w:val="17"/>
            <w:tabs>
              <w:tab w:val="right" w:leader="dot" w:pos="8306"/>
            </w:tabs>
            <w:spacing w:line="500" w:lineRule="exact"/>
            <w:jc w:val="center"/>
            <w:rPr>
              <w:color w:val="auto"/>
              <w:sz w:val="24"/>
            </w:rPr>
          </w:pPr>
          <w:r>
            <w:rPr>
              <w:color w:val="auto"/>
              <w:sz w:val="24"/>
            </w:rPr>
            <w:fldChar w:fldCharType="begin"/>
          </w:r>
          <w:r>
            <w:rPr>
              <w:color w:val="auto"/>
              <w:sz w:val="24"/>
            </w:rPr>
            <w:instrText xml:space="preserve">TOC \o "1-1" \h \u </w:instrText>
          </w:r>
          <w:r>
            <w:rPr>
              <w:color w:val="auto"/>
              <w:sz w:val="24"/>
            </w:rPr>
            <w:fldChar w:fldCharType="separate"/>
          </w:r>
          <w:r>
            <w:rPr>
              <w:color w:val="auto"/>
            </w:rPr>
            <w:fldChar w:fldCharType="begin"/>
          </w:r>
          <w:r>
            <w:rPr>
              <w:color w:val="auto"/>
            </w:rPr>
            <w:instrText xml:space="preserve"> HYPERLINK \l "_Toc19675" </w:instrText>
          </w:r>
          <w:r>
            <w:rPr>
              <w:color w:val="auto"/>
            </w:rPr>
            <w:fldChar w:fldCharType="separate"/>
          </w:r>
          <w:r>
            <w:rPr>
              <w:snapToGrid w:val="0"/>
              <w:color w:val="auto"/>
              <w:sz w:val="24"/>
              <w:szCs w:val="30"/>
            </w:rPr>
            <w:t>一、建设项目基本情况</w:t>
          </w:r>
          <w:r>
            <w:rPr>
              <w:color w:val="auto"/>
              <w:sz w:val="24"/>
            </w:rPr>
            <w:tab/>
          </w:r>
          <w:r>
            <w:rPr>
              <w:color w:val="auto"/>
              <w:sz w:val="24"/>
            </w:rPr>
            <w:fldChar w:fldCharType="begin"/>
          </w:r>
          <w:r>
            <w:rPr>
              <w:color w:val="auto"/>
              <w:sz w:val="24"/>
            </w:rPr>
            <w:instrText xml:space="preserve"> PAGEREF _Toc19675 \h </w:instrText>
          </w:r>
          <w:r>
            <w:rPr>
              <w:color w:val="auto"/>
              <w:sz w:val="24"/>
            </w:rPr>
            <w:fldChar w:fldCharType="separate"/>
          </w:r>
          <w:r>
            <w:rPr>
              <w:color w:val="auto"/>
              <w:sz w:val="24"/>
            </w:rPr>
            <w:t>1</w:t>
          </w:r>
          <w:r>
            <w:rPr>
              <w:color w:val="auto"/>
              <w:sz w:val="24"/>
            </w:rPr>
            <w:fldChar w:fldCharType="end"/>
          </w:r>
          <w:r>
            <w:rPr>
              <w:color w:val="auto"/>
              <w:sz w:val="24"/>
            </w:rPr>
            <w:fldChar w:fldCharType="end"/>
          </w:r>
        </w:p>
        <w:p w14:paraId="230F1224">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"_Toc21882" </w:instrText>
          </w:r>
          <w:r>
            <w:rPr>
              <w:color w:val="auto"/>
            </w:rPr>
            <w:fldChar w:fldCharType="separate"/>
          </w:r>
          <w:r>
            <w:rPr>
              <w:rFonts w:hint="eastAsia"/>
              <w:snapToGrid w:val="0"/>
              <w:color w:val="auto"/>
              <w:kern w:val="0"/>
              <w:sz w:val="24"/>
              <w:szCs w:val="30"/>
            </w:rPr>
            <w:t>二</w:t>
          </w:r>
          <w:r>
            <w:rPr>
              <w:snapToGrid w:val="0"/>
              <w:color w:val="auto"/>
              <w:kern w:val="0"/>
              <w:sz w:val="24"/>
              <w:szCs w:val="30"/>
            </w:rPr>
            <w:t>、建设项目</w:t>
          </w:r>
          <w:r>
            <w:rPr>
              <w:rFonts w:hint="eastAsia"/>
              <w:snapToGrid w:val="0"/>
              <w:color w:val="auto"/>
              <w:kern w:val="0"/>
              <w:sz w:val="24"/>
              <w:szCs w:val="30"/>
            </w:rPr>
            <w:t>工程分析</w:t>
          </w:r>
          <w:r>
            <w:rPr>
              <w:color w:val="auto"/>
              <w:sz w:val="24"/>
            </w:rPr>
            <w:tab/>
          </w:r>
          <w:r>
            <w:rPr>
              <w:color w:val="auto"/>
              <w:sz w:val="24"/>
            </w:rPr>
            <w:fldChar w:fldCharType="begin"/>
          </w:r>
          <w:r>
            <w:rPr>
              <w:color w:val="auto"/>
              <w:sz w:val="24"/>
            </w:rPr>
            <w:instrText xml:space="preserve"> PAGEREF _Toc21882 \h </w:instrText>
          </w:r>
          <w:r>
            <w:rPr>
              <w:color w:val="auto"/>
              <w:sz w:val="24"/>
            </w:rPr>
            <w:fldChar w:fldCharType="separate"/>
          </w:r>
          <w:r>
            <w:rPr>
              <w:color w:val="auto"/>
              <w:sz w:val="24"/>
            </w:rPr>
            <w:t>27</w:t>
          </w:r>
          <w:r>
            <w:rPr>
              <w:color w:val="auto"/>
              <w:sz w:val="24"/>
            </w:rPr>
            <w:fldChar w:fldCharType="end"/>
          </w:r>
          <w:r>
            <w:rPr>
              <w:color w:val="auto"/>
              <w:sz w:val="24"/>
            </w:rPr>
            <w:fldChar w:fldCharType="end"/>
          </w:r>
        </w:p>
        <w:p w14:paraId="2419FB8E">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"_Toc17354" </w:instrText>
          </w:r>
          <w:r>
            <w:rPr>
              <w:color w:val="auto"/>
            </w:rPr>
            <w:fldChar w:fldCharType="separate"/>
          </w:r>
          <w:r>
            <w:rPr>
              <w:rFonts w:hint="eastAsia"/>
              <w:snapToGrid w:val="0"/>
              <w:color w:val="auto"/>
              <w:kern w:val="0"/>
              <w:sz w:val="24"/>
              <w:szCs w:val="30"/>
            </w:rPr>
            <w:t>三、区域环境质量现状、环境保护目标及评价标准</w:t>
          </w:r>
          <w:r>
            <w:rPr>
              <w:color w:val="auto"/>
              <w:sz w:val="24"/>
            </w:rPr>
            <w:tab/>
          </w:r>
          <w:r>
            <w:rPr>
              <w:color w:val="auto"/>
              <w:sz w:val="24"/>
            </w:rPr>
            <w:fldChar w:fldCharType="begin"/>
          </w:r>
          <w:r>
            <w:rPr>
              <w:color w:val="auto"/>
              <w:sz w:val="24"/>
            </w:rPr>
            <w:instrText xml:space="preserve"> PAGEREF _Toc17354 \h </w:instrText>
          </w:r>
          <w:r>
            <w:rPr>
              <w:color w:val="auto"/>
              <w:sz w:val="24"/>
            </w:rPr>
            <w:fldChar w:fldCharType="separate"/>
          </w:r>
          <w:r>
            <w:rPr>
              <w:color w:val="auto"/>
              <w:sz w:val="24"/>
            </w:rPr>
            <w:t>37</w:t>
          </w:r>
          <w:r>
            <w:rPr>
              <w:color w:val="auto"/>
              <w:sz w:val="24"/>
            </w:rPr>
            <w:fldChar w:fldCharType="end"/>
          </w:r>
          <w:r>
            <w:rPr>
              <w:color w:val="auto"/>
              <w:sz w:val="24"/>
            </w:rPr>
            <w:fldChar w:fldCharType="end"/>
          </w:r>
        </w:p>
        <w:p w14:paraId="216E8E78">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"_Toc9540" </w:instrText>
          </w:r>
          <w:r>
            <w:rPr>
              <w:color w:val="auto"/>
            </w:rPr>
            <w:fldChar w:fldCharType="separate"/>
          </w:r>
          <w:r>
            <w:rPr>
              <w:rFonts w:hint="eastAsia"/>
              <w:color w:val="auto"/>
              <w:sz w:val="24"/>
              <w:szCs w:val="30"/>
            </w:rPr>
            <w:t>四、主要环境影响和保护措施</w:t>
          </w:r>
          <w:r>
            <w:rPr>
              <w:color w:val="auto"/>
              <w:sz w:val="24"/>
            </w:rPr>
            <w:tab/>
          </w:r>
          <w:r>
            <w:rPr>
              <w:color w:val="auto"/>
              <w:sz w:val="24"/>
            </w:rPr>
            <w:fldChar w:fldCharType="begin"/>
          </w:r>
          <w:r>
            <w:rPr>
              <w:color w:val="auto"/>
              <w:sz w:val="24"/>
            </w:rPr>
            <w:instrText xml:space="preserve"> PAGEREF _Toc9540 \h </w:instrText>
          </w:r>
          <w:r>
            <w:rPr>
              <w:color w:val="auto"/>
              <w:sz w:val="24"/>
            </w:rPr>
            <w:fldChar w:fldCharType="separate"/>
          </w:r>
          <w:r>
            <w:rPr>
              <w:color w:val="auto"/>
              <w:sz w:val="24"/>
            </w:rPr>
            <w:t>42</w:t>
          </w:r>
          <w:r>
            <w:rPr>
              <w:color w:val="auto"/>
              <w:sz w:val="24"/>
            </w:rPr>
            <w:fldChar w:fldCharType="end"/>
          </w:r>
          <w:r>
            <w:rPr>
              <w:color w:val="auto"/>
              <w:sz w:val="24"/>
            </w:rPr>
            <w:fldChar w:fldCharType="end"/>
          </w:r>
        </w:p>
        <w:p w14:paraId="1CDDA9C0">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"_Toc27846" </w:instrText>
          </w:r>
          <w:r>
            <w:rPr>
              <w:color w:val="auto"/>
            </w:rPr>
            <w:fldChar w:fldCharType="separate"/>
          </w:r>
          <w:r>
            <w:rPr>
              <w:snapToGrid w:val="0"/>
              <w:color w:val="auto"/>
              <w:sz w:val="24"/>
              <w:szCs w:val="30"/>
            </w:rPr>
            <w:t>五、环境保护措施监督检查清单</w:t>
          </w:r>
          <w:r>
            <w:rPr>
              <w:color w:val="auto"/>
              <w:sz w:val="24"/>
            </w:rPr>
            <w:tab/>
          </w:r>
          <w:r>
            <w:rPr>
              <w:color w:val="auto"/>
              <w:sz w:val="24"/>
            </w:rPr>
            <w:fldChar w:fldCharType="begin"/>
          </w:r>
          <w:r>
            <w:rPr>
              <w:color w:val="auto"/>
              <w:sz w:val="24"/>
            </w:rPr>
            <w:instrText xml:space="preserve"> PAGEREF _Toc27846 \h </w:instrText>
          </w:r>
          <w:r>
            <w:rPr>
              <w:color w:val="auto"/>
              <w:sz w:val="24"/>
            </w:rPr>
            <w:fldChar w:fldCharType="separate"/>
          </w:r>
          <w:r>
            <w:rPr>
              <w:color w:val="auto"/>
              <w:sz w:val="24"/>
            </w:rPr>
            <w:t>59</w:t>
          </w:r>
          <w:r>
            <w:rPr>
              <w:color w:val="auto"/>
              <w:sz w:val="24"/>
            </w:rPr>
            <w:fldChar w:fldCharType="end"/>
          </w:r>
          <w:r>
            <w:rPr>
              <w:color w:val="auto"/>
              <w:sz w:val="24"/>
            </w:rPr>
            <w:fldChar w:fldCharType="end"/>
          </w:r>
        </w:p>
        <w:p w14:paraId="6901B397">
          <w:pPr>
            <w:pStyle w:val="17"/>
            <w:tabs>
              <w:tab w:val="right" w:leader="dot" w:pos="8306"/>
            </w:tabs>
            <w:spacing w:line="500" w:lineRule="exact"/>
            <w:jc w:val="center"/>
            <w:rPr>
              <w:color w:val="auto"/>
              <w:sz w:val="24"/>
            </w:rPr>
          </w:pPr>
          <w:r>
            <w:rPr>
              <w:color w:val="auto"/>
            </w:rPr>
            <w:fldChar w:fldCharType="begin"/>
          </w:r>
          <w:r>
            <w:rPr>
              <w:color w:val="auto"/>
            </w:rPr>
            <w:instrText xml:space="preserve"> HYPERLINK \l "_Toc16095" </w:instrText>
          </w:r>
          <w:r>
            <w:rPr>
              <w:color w:val="auto"/>
            </w:rPr>
            <w:fldChar w:fldCharType="separate"/>
          </w:r>
          <w:r>
            <w:rPr>
              <w:snapToGrid w:val="0"/>
              <w:color w:val="auto"/>
              <w:sz w:val="24"/>
              <w:szCs w:val="30"/>
            </w:rPr>
            <w:t>六、结论</w:t>
          </w:r>
          <w:r>
            <w:rPr>
              <w:color w:val="auto"/>
              <w:sz w:val="24"/>
            </w:rPr>
            <w:tab/>
          </w:r>
          <w:r>
            <w:rPr>
              <w:color w:val="auto"/>
              <w:sz w:val="24"/>
            </w:rPr>
            <w:fldChar w:fldCharType="begin"/>
          </w:r>
          <w:r>
            <w:rPr>
              <w:color w:val="auto"/>
              <w:sz w:val="24"/>
            </w:rPr>
            <w:instrText xml:space="preserve"> PAGEREF _Toc16095 \h </w:instrText>
          </w:r>
          <w:r>
            <w:rPr>
              <w:color w:val="auto"/>
              <w:sz w:val="24"/>
            </w:rPr>
            <w:fldChar w:fldCharType="separate"/>
          </w:r>
          <w:r>
            <w:rPr>
              <w:color w:val="auto"/>
              <w:sz w:val="24"/>
            </w:rPr>
            <w:t>65</w:t>
          </w:r>
          <w:r>
            <w:rPr>
              <w:color w:val="auto"/>
              <w:sz w:val="24"/>
            </w:rPr>
            <w:fldChar w:fldCharType="end"/>
          </w:r>
          <w:r>
            <w:rPr>
              <w:color w:val="auto"/>
              <w:sz w:val="24"/>
            </w:rPr>
            <w:fldChar w:fldCharType="end"/>
          </w:r>
        </w:p>
        <w:p w14:paraId="7927AE4E">
          <w:pPr>
            <w:pStyle w:val="2"/>
            <w:spacing w:line="500" w:lineRule="exact"/>
            <w:rPr>
              <w:color w:val="auto"/>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color w:val="auto"/>
            </w:rPr>
            <w:fldChar w:fldCharType="end"/>
          </w:r>
        </w:p>
      </w:sdtContent>
    </w:sdt>
    <w:p w14:paraId="6104C026">
      <w:pPr>
        <w:rPr>
          <w:color w:val="auto"/>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6062DB8B">
      <w:pPr>
        <w:pStyle w:val="19"/>
        <w:jc w:val="center"/>
        <w:outlineLvl w:val="0"/>
        <w:rPr>
          <w:rFonts w:ascii="Times New Roman" w:hAnsi="Times New Roman" w:eastAsia="黑体"/>
          <w:snapToGrid w:val="0"/>
          <w:color w:val="auto"/>
          <w:sz w:val="30"/>
          <w:szCs w:val="30"/>
        </w:rPr>
      </w:pPr>
      <w:bookmarkStart w:id="3" w:name="_Toc7579"/>
      <w:bookmarkStart w:id="4" w:name="_Toc19675"/>
      <w:r>
        <w:rPr>
          <w:rFonts w:ascii="Times New Roman" w:hAnsi="Times New Roman" w:eastAsia="黑体"/>
          <w:snapToGrid w:val="0"/>
          <w:color w:val="auto"/>
          <w:sz w:val="30"/>
          <w:szCs w:val="30"/>
        </w:rPr>
        <w:t>一、建设项目基本情况</w:t>
      </w:r>
      <w:bookmarkEnd w:id="3"/>
      <w:bookmarkEnd w:id="4"/>
    </w:p>
    <w:tbl>
      <w:tblPr>
        <w:tblStyle w:val="23"/>
        <w:tblW w:w="49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32"/>
        <w:gridCol w:w="2236"/>
        <w:gridCol w:w="2115"/>
        <w:gridCol w:w="3084"/>
      </w:tblGrid>
      <w:tr w14:paraId="0A3BA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900" w:type="pct"/>
            <w:tcMar>
              <w:top w:w="16" w:type="dxa"/>
              <w:left w:w="16" w:type="dxa"/>
              <w:right w:w="16" w:type="dxa"/>
            </w:tcMar>
            <w:vAlign w:val="center"/>
          </w:tcPr>
          <w:p w14:paraId="4D6F84AD">
            <w:pPr>
              <w:adjustRightInd w:val="0"/>
              <w:snapToGrid w:val="0"/>
              <w:spacing w:line="500" w:lineRule="exact"/>
              <w:jc w:val="center"/>
              <w:rPr>
                <w:rFonts w:eastAsiaTheme="minorEastAsia"/>
                <w:color w:val="auto"/>
                <w:sz w:val="24"/>
              </w:rPr>
            </w:pPr>
            <w:r>
              <w:rPr>
                <w:rFonts w:eastAsiaTheme="minorEastAsia"/>
                <w:color w:val="auto"/>
                <w:sz w:val="24"/>
              </w:rPr>
              <w:t>建设项目名称</w:t>
            </w:r>
          </w:p>
        </w:tc>
        <w:tc>
          <w:tcPr>
            <w:tcW w:w="4099" w:type="pct"/>
            <w:gridSpan w:val="3"/>
            <w:vAlign w:val="center"/>
          </w:tcPr>
          <w:p w14:paraId="7ED13738">
            <w:pPr>
              <w:adjustRightInd w:val="0"/>
              <w:snapToGrid w:val="0"/>
              <w:spacing w:line="500" w:lineRule="exact"/>
              <w:jc w:val="center"/>
              <w:rPr>
                <w:rFonts w:eastAsiaTheme="minorEastAsia"/>
                <w:color w:val="auto"/>
                <w:sz w:val="24"/>
              </w:rPr>
            </w:pPr>
            <w:r>
              <w:rPr>
                <w:rFonts w:hint="eastAsia" w:eastAsiaTheme="minorEastAsia"/>
                <w:color w:val="auto"/>
                <w:sz w:val="24"/>
              </w:rPr>
              <w:t>唐山海港倚硕国际船舶代理有限公司集装箱拆、装箱项目</w:t>
            </w:r>
          </w:p>
        </w:tc>
      </w:tr>
      <w:tr w14:paraId="4657A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 w:type="pct"/>
            <w:tcMar>
              <w:top w:w="16" w:type="dxa"/>
              <w:left w:w="16" w:type="dxa"/>
              <w:right w:w="16" w:type="dxa"/>
            </w:tcMar>
            <w:vAlign w:val="center"/>
          </w:tcPr>
          <w:p w14:paraId="31613B67">
            <w:pPr>
              <w:adjustRightInd w:val="0"/>
              <w:snapToGrid w:val="0"/>
              <w:spacing w:line="500" w:lineRule="exact"/>
              <w:jc w:val="center"/>
              <w:rPr>
                <w:rFonts w:eastAsiaTheme="minorEastAsia"/>
                <w:color w:val="auto"/>
                <w:sz w:val="24"/>
              </w:rPr>
            </w:pPr>
            <w:r>
              <w:rPr>
                <w:rFonts w:eastAsiaTheme="minorEastAsia"/>
                <w:color w:val="auto"/>
                <w:sz w:val="24"/>
              </w:rPr>
              <w:t>项目代码</w:t>
            </w:r>
          </w:p>
        </w:tc>
        <w:tc>
          <w:tcPr>
            <w:tcW w:w="4099" w:type="pct"/>
            <w:gridSpan w:val="3"/>
            <w:vAlign w:val="center"/>
          </w:tcPr>
          <w:p w14:paraId="4F95D511">
            <w:pPr>
              <w:adjustRightInd w:val="0"/>
              <w:snapToGrid w:val="0"/>
              <w:spacing w:line="500" w:lineRule="exact"/>
              <w:jc w:val="center"/>
              <w:rPr>
                <w:rFonts w:hint="default" w:eastAsiaTheme="minorEastAsia"/>
                <w:color w:val="auto"/>
                <w:sz w:val="24"/>
                <w:lang w:val="en-US" w:eastAsia="zh-CN"/>
              </w:rPr>
            </w:pPr>
            <w:r>
              <w:rPr>
                <w:rFonts w:hint="eastAsia" w:eastAsiaTheme="minorEastAsia"/>
                <w:color w:val="auto"/>
                <w:sz w:val="24"/>
              </w:rPr>
              <w:t>2</w:t>
            </w:r>
            <w:r>
              <w:rPr>
                <w:rFonts w:hint="eastAsia" w:eastAsiaTheme="minorEastAsia"/>
                <w:color w:val="auto"/>
                <w:sz w:val="24"/>
                <w:lang w:val="en-US" w:eastAsia="zh-CN"/>
              </w:rPr>
              <w:t>407-130274-89-01-526134</w:t>
            </w:r>
          </w:p>
        </w:tc>
      </w:tr>
      <w:tr w14:paraId="38FA7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900" w:type="pct"/>
            <w:tcMar>
              <w:top w:w="16" w:type="dxa"/>
              <w:left w:w="16" w:type="dxa"/>
              <w:right w:w="16" w:type="dxa"/>
            </w:tcMar>
            <w:vAlign w:val="center"/>
          </w:tcPr>
          <w:p w14:paraId="5219A3C2">
            <w:pPr>
              <w:adjustRightInd w:val="0"/>
              <w:snapToGrid w:val="0"/>
              <w:spacing w:line="500" w:lineRule="exact"/>
              <w:jc w:val="center"/>
              <w:rPr>
                <w:rFonts w:eastAsiaTheme="minorEastAsia"/>
                <w:color w:val="auto"/>
                <w:sz w:val="24"/>
              </w:rPr>
            </w:pPr>
            <w:r>
              <w:rPr>
                <w:rFonts w:eastAsiaTheme="minorEastAsia"/>
                <w:color w:val="auto"/>
                <w:sz w:val="24"/>
              </w:rPr>
              <w:t>建设单位联系人</w:t>
            </w:r>
          </w:p>
        </w:tc>
        <w:tc>
          <w:tcPr>
            <w:tcW w:w="1233" w:type="pct"/>
            <w:vAlign w:val="center"/>
          </w:tcPr>
          <w:p w14:paraId="42CDAC25">
            <w:pPr>
              <w:adjustRightInd w:val="0"/>
              <w:snapToGrid w:val="0"/>
              <w:spacing w:line="500" w:lineRule="exact"/>
              <w:jc w:val="center"/>
              <w:rPr>
                <w:rFonts w:hint="eastAsia" w:eastAsiaTheme="minorEastAsia"/>
                <w:color w:val="auto"/>
                <w:sz w:val="24"/>
                <w:lang w:eastAsia="zh-CN"/>
              </w:rPr>
            </w:pPr>
            <w:r>
              <w:rPr>
                <w:rFonts w:hint="eastAsia" w:eastAsiaTheme="minorEastAsia"/>
                <w:color w:val="auto"/>
                <w:sz w:val="24"/>
                <w:lang w:eastAsia="zh-CN"/>
              </w:rPr>
              <w:t>张建强</w:t>
            </w:r>
          </w:p>
        </w:tc>
        <w:tc>
          <w:tcPr>
            <w:tcW w:w="1166" w:type="pct"/>
            <w:vAlign w:val="center"/>
          </w:tcPr>
          <w:p w14:paraId="6D4C9AB9">
            <w:pPr>
              <w:adjustRightInd w:val="0"/>
              <w:snapToGrid w:val="0"/>
              <w:spacing w:line="500" w:lineRule="exact"/>
              <w:jc w:val="center"/>
              <w:rPr>
                <w:rFonts w:eastAsiaTheme="minorEastAsia"/>
                <w:color w:val="auto"/>
                <w:sz w:val="24"/>
              </w:rPr>
            </w:pPr>
            <w:r>
              <w:rPr>
                <w:rFonts w:eastAsiaTheme="minorEastAsia"/>
                <w:color w:val="auto"/>
                <w:sz w:val="24"/>
              </w:rPr>
              <w:t>联系方式</w:t>
            </w:r>
          </w:p>
        </w:tc>
        <w:tc>
          <w:tcPr>
            <w:tcW w:w="1699" w:type="pct"/>
            <w:vAlign w:val="center"/>
          </w:tcPr>
          <w:p w14:paraId="79EDD5B3">
            <w:pPr>
              <w:adjustRightInd w:val="0"/>
              <w:snapToGrid w:val="0"/>
              <w:spacing w:line="500" w:lineRule="exact"/>
              <w:jc w:val="center"/>
              <w:rPr>
                <w:rFonts w:hint="default" w:eastAsiaTheme="minorEastAsia"/>
                <w:color w:val="auto"/>
                <w:sz w:val="24"/>
                <w:lang w:val="en-US" w:eastAsia="zh-CN"/>
              </w:rPr>
            </w:pPr>
            <w:r>
              <w:rPr>
                <w:rFonts w:eastAsiaTheme="minorEastAsia"/>
                <w:color w:val="auto"/>
                <w:sz w:val="24"/>
              </w:rPr>
              <w:t>15</w:t>
            </w:r>
            <w:r>
              <w:rPr>
                <w:rFonts w:hint="eastAsia" w:eastAsiaTheme="minorEastAsia"/>
                <w:color w:val="auto"/>
                <w:sz w:val="24"/>
                <w:lang w:val="en-US" w:eastAsia="zh-CN"/>
              </w:rPr>
              <w:t>7713160195</w:t>
            </w:r>
          </w:p>
        </w:tc>
      </w:tr>
      <w:tr w14:paraId="248FC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900" w:type="pct"/>
            <w:tcMar>
              <w:top w:w="16" w:type="dxa"/>
              <w:left w:w="16" w:type="dxa"/>
              <w:right w:w="16" w:type="dxa"/>
            </w:tcMar>
            <w:vAlign w:val="center"/>
          </w:tcPr>
          <w:p w14:paraId="0D9D1CA8">
            <w:pPr>
              <w:adjustRightInd w:val="0"/>
              <w:snapToGrid w:val="0"/>
              <w:spacing w:line="500" w:lineRule="exact"/>
              <w:jc w:val="center"/>
              <w:rPr>
                <w:rFonts w:eastAsiaTheme="minorEastAsia"/>
                <w:color w:val="auto"/>
                <w:sz w:val="24"/>
              </w:rPr>
            </w:pPr>
            <w:r>
              <w:rPr>
                <w:rFonts w:eastAsiaTheme="minorEastAsia"/>
                <w:color w:val="auto"/>
                <w:sz w:val="24"/>
              </w:rPr>
              <w:t>建设地点</w:t>
            </w:r>
          </w:p>
        </w:tc>
        <w:tc>
          <w:tcPr>
            <w:tcW w:w="4099" w:type="pct"/>
            <w:gridSpan w:val="3"/>
            <w:vAlign w:val="center"/>
          </w:tcPr>
          <w:p w14:paraId="412600B8">
            <w:pPr>
              <w:adjustRightInd w:val="0"/>
              <w:snapToGrid w:val="0"/>
              <w:spacing w:line="500" w:lineRule="exact"/>
              <w:jc w:val="center"/>
              <w:rPr>
                <w:rFonts w:hint="eastAsia" w:eastAsiaTheme="minorEastAsia"/>
                <w:color w:val="auto"/>
                <w:sz w:val="24"/>
                <w:lang w:eastAsia="zh-CN"/>
              </w:rPr>
            </w:pPr>
            <w:r>
              <w:rPr>
                <w:rFonts w:hint="eastAsia" w:eastAsiaTheme="minorEastAsia"/>
                <w:color w:val="auto"/>
                <w:sz w:val="24"/>
              </w:rPr>
              <w:t>河北省唐山市海港开发区港前南街以北，海富路以西</w:t>
            </w:r>
            <w:r>
              <w:rPr>
                <w:rFonts w:hint="eastAsia" w:eastAsiaTheme="minorEastAsia"/>
                <w:color w:val="auto"/>
                <w:sz w:val="24"/>
                <w:lang w:eastAsia="zh-CN"/>
              </w:rPr>
              <w:t>（</w:t>
            </w:r>
            <w:r>
              <w:rPr>
                <w:rFonts w:hint="eastAsia" w:eastAsiaTheme="minorEastAsia"/>
                <w:color w:val="auto"/>
                <w:sz w:val="24"/>
              </w:rPr>
              <w:t>唐山城矿物联网科技有限公司院内</w:t>
            </w:r>
            <w:r>
              <w:rPr>
                <w:rFonts w:hint="eastAsia" w:eastAsiaTheme="minorEastAsia"/>
                <w:color w:val="auto"/>
                <w:sz w:val="24"/>
                <w:lang w:eastAsia="zh-CN"/>
              </w:rPr>
              <w:t>）</w:t>
            </w:r>
          </w:p>
        </w:tc>
      </w:tr>
      <w:tr w14:paraId="09048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900" w:type="pct"/>
            <w:tcMar>
              <w:top w:w="16" w:type="dxa"/>
              <w:left w:w="16" w:type="dxa"/>
              <w:right w:w="16" w:type="dxa"/>
            </w:tcMar>
            <w:vAlign w:val="center"/>
          </w:tcPr>
          <w:p w14:paraId="3A45F327">
            <w:pPr>
              <w:adjustRightInd w:val="0"/>
              <w:snapToGrid w:val="0"/>
              <w:spacing w:line="500" w:lineRule="exact"/>
              <w:jc w:val="center"/>
              <w:rPr>
                <w:rFonts w:eastAsiaTheme="minorEastAsia"/>
                <w:color w:val="auto"/>
                <w:sz w:val="24"/>
              </w:rPr>
            </w:pPr>
            <w:r>
              <w:rPr>
                <w:rFonts w:eastAsiaTheme="minorEastAsia"/>
                <w:color w:val="auto"/>
                <w:sz w:val="24"/>
              </w:rPr>
              <w:t>地理坐标</w:t>
            </w:r>
          </w:p>
        </w:tc>
        <w:tc>
          <w:tcPr>
            <w:tcW w:w="4099" w:type="pct"/>
            <w:gridSpan w:val="3"/>
            <w:vAlign w:val="center"/>
          </w:tcPr>
          <w:p w14:paraId="3C6E8AB2">
            <w:pPr>
              <w:spacing w:line="500" w:lineRule="exact"/>
              <w:jc w:val="center"/>
              <w:rPr>
                <w:rFonts w:eastAsiaTheme="minorEastAsia"/>
                <w:color w:val="auto"/>
                <w:sz w:val="24"/>
              </w:rPr>
            </w:pPr>
            <w:r>
              <w:rPr>
                <w:rFonts w:eastAsiaTheme="minorEastAsia"/>
                <w:color w:val="auto"/>
                <w:sz w:val="24"/>
              </w:rPr>
              <w:t>（</w:t>
            </w:r>
            <w:r>
              <w:rPr>
                <w:rFonts w:eastAsiaTheme="minorEastAsia"/>
                <w:color w:val="auto"/>
                <w:sz w:val="24"/>
                <w:u w:val="single"/>
              </w:rPr>
              <w:t>11</w:t>
            </w:r>
            <w:r>
              <w:rPr>
                <w:rFonts w:hint="eastAsia" w:eastAsiaTheme="minorEastAsia"/>
                <w:color w:val="auto"/>
                <w:sz w:val="24"/>
                <w:u w:val="single"/>
              </w:rPr>
              <w:t>8</w:t>
            </w:r>
            <w:r>
              <w:rPr>
                <w:rFonts w:eastAsiaTheme="minorEastAsia"/>
                <w:color w:val="auto"/>
                <w:sz w:val="24"/>
                <w:u w:val="single"/>
              </w:rPr>
              <w:t xml:space="preserve"> </w:t>
            </w:r>
            <w:r>
              <w:rPr>
                <w:rFonts w:eastAsiaTheme="minorEastAsia"/>
                <w:color w:val="auto"/>
                <w:sz w:val="24"/>
              </w:rPr>
              <w:t>度</w:t>
            </w:r>
            <w:r>
              <w:rPr>
                <w:rFonts w:hint="eastAsia" w:eastAsiaTheme="minorEastAsia"/>
                <w:color w:val="auto"/>
                <w:sz w:val="24"/>
                <w:u w:val="single"/>
                <w:lang w:val="en-US" w:eastAsia="zh-CN"/>
              </w:rPr>
              <w:t>56</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lang w:val="en-US" w:eastAsia="zh-CN"/>
              </w:rPr>
              <w:t>42.266</w:t>
            </w:r>
            <w:r>
              <w:rPr>
                <w:rFonts w:eastAsiaTheme="minorEastAsia"/>
                <w:color w:val="auto"/>
                <w:sz w:val="24"/>
              </w:rPr>
              <w:t>秒，</w:t>
            </w:r>
            <w:r>
              <w:rPr>
                <w:rFonts w:eastAsiaTheme="minorEastAsia"/>
                <w:color w:val="auto"/>
                <w:sz w:val="24"/>
                <w:u w:val="single"/>
              </w:rPr>
              <w:t>39</w:t>
            </w:r>
            <w:r>
              <w:rPr>
                <w:rFonts w:eastAsiaTheme="minorEastAsia"/>
                <w:color w:val="auto"/>
                <w:sz w:val="24"/>
              </w:rPr>
              <w:t>度</w:t>
            </w:r>
            <w:r>
              <w:rPr>
                <w:rFonts w:eastAsiaTheme="minorEastAsia"/>
                <w:color w:val="auto"/>
                <w:sz w:val="24"/>
                <w:u w:val="single"/>
              </w:rPr>
              <w:t xml:space="preserve"> </w:t>
            </w:r>
            <w:r>
              <w:rPr>
                <w:rFonts w:hint="eastAsia" w:eastAsiaTheme="minorEastAsia"/>
                <w:color w:val="auto"/>
                <w:sz w:val="24"/>
                <w:u w:val="single"/>
                <w:lang w:val="en-US" w:eastAsia="zh-CN"/>
              </w:rPr>
              <w:t>12</w:t>
            </w:r>
            <w:r>
              <w:rPr>
                <w:rFonts w:eastAsiaTheme="minorEastAsia"/>
                <w:color w:val="auto"/>
                <w:sz w:val="24"/>
                <w:u w:val="single"/>
              </w:rPr>
              <w:t xml:space="preserve"> </w:t>
            </w:r>
            <w:r>
              <w:rPr>
                <w:rFonts w:eastAsiaTheme="minorEastAsia"/>
                <w:color w:val="auto"/>
                <w:sz w:val="24"/>
              </w:rPr>
              <w:t>分</w:t>
            </w:r>
            <w:r>
              <w:rPr>
                <w:rFonts w:eastAsiaTheme="minorEastAsia"/>
                <w:color w:val="auto"/>
                <w:sz w:val="24"/>
                <w:u w:val="single"/>
              </w:rPr>
              <w:t xml:space="preserve"> </w:t>
            </w:r>
            <w:r>
              <w:rPr>
                <w:rFonts w:hint="eastAsia" w:eastAsiaTheme="minorEastAsia"/>
                <w:color w:val="auto"/>
                <w:sz w:val="24"/>
                <w:u w:val="single"/>
                <w:lang w:val="en-US" w:eastAsia="zh-CN"/>
              </w:rPr>
              <w:t>16.972</w:t>
            </w:r>
            <w:r>
              <w:rPr>
                <w:rFonts w:eastAsiaTheme="minorEastAsia"/>
                <w:color w:val="auto"/>
                <w:sz w:val="24"/>
                <w:u w:val="single"/>
              </w:rPr>
              <w:t xml:space="preserve"> </w:t>
            </w:r>
            <w:r>
              <w:rPr>
                <w:rFonts w:eastAsiaTheme="minorEastAsia"/>
                <w:color w:val="auto"/>
                <w:sz w:val="24"/>
              </w:rPr>
              <w:t>秒）</w:t>
            </w:r>
          </w:p>
        </w:tc>
      </w:tr>
      <w:tr w14:paraId="0980E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900" w:type="pct"/>
            <w:tcMar>
              <w:top w:w="16" w:type="dxa"/>
              <w:left w:w="16" w:type="dxa"/>
              <w:right w:w="16" w:type="dxa"/>
            </w:tcMar>
            <w:vAlign w:val="center"/>
          </w:tcPr>
          <w:p w14:paraId="4AA823D2">
            <w:pPr>
              <w:adjustRightInd w:val="0"/>
              <w:snapToGrid w:val="0"/>
              <w:spacing w:line="500" w:lineRule="exact"/>
              <w:jc w:val="center"/>
              <w:rPr>
                <w:rFonts w:eastAsiaTheme="minorEastAsia"/>
                <w:color w:val="auto"/>
                <w:sz w:val="24"/>
              </w:rPr>
            </w:pPr>
            <w:r>
              <w:rPr>
                <w:rFonts w:eastAsiaTheme="minorEastAsia"/>
                <w:color w:val="auto"/>
                <w:sz w:val="24"/>
              </w:rPr>
              <w:t>国民经济</w:t>
            </w:r>
          </w:p>
          <w:p w14:paraId="460D0F14">
            <w:pPr>
              <w:adjustRightInd w:val="0"/>
              <w:snapToGrid w:val="0"/>
              <w:spacing w:line="500" w:lineRule="exact"/>
              <w:jc w:val="center"/>
              <w:rPr>
                <w:rFonts w:eastAsiaTheme="minorEastAsia"/>
                <w:color w:val="auto"/>
                <w:sz w:val="24"/>
              </w:rPr>
            </w:pPr>
            <w:r>
              <w:rPr>
                <w:rFonts w:eastAsiaTheme="minorEastAsia"/>
                <w:color w:val="auto"/>
                <w:sz w:val="24"/>
              </w:rPr>
              <w:t>行业类别</w:t>
            </w:r>
          </w:p>
        </w:tc>
        <w:tc>
          <w:tcPr>
            <w:tcW w:w="1233" w:type="pct"/>
            <w:vAlign w:val="center"/>
          </w:tcPr>
          <w:p w14:paraId="0C2FC97E">
            <w:pPr>
              <w:adjustRightInd w:val="0"/>
              <w:snapToGrid w:val="0"/>
              <w:spacing w:line="500" w:lineRule="exact"/>
              <w:jc w:val="center"/>
              <w:rPr>
                <w:rFonts w:eastAsiaTheme="minorEastAsia"/>
                <w:color w:val="auto"/>
                <w:sz w:val="24"/>
              </w:rPr>
            </w:pPr>
            <w:r>
              <w:rPr>
                <w:rFonts w:hint="eastAsia" w:eastAsiaTheme="minorEastAsia"/>
                <w:color w:val="auto"/>
                <w:sz w:val="24"/>
              </w:rPr>
              <w:t>B06</w:t>
            </w:r>
            <w:r>
              <w:rPr>
                <w:rFonts w:hint="eastAsia" w:eastAsiaTheme="minorEastAsia"/>
                <w:color w:val="auto"/>
                <w:sz w:val="24"/>
                <w:lang w:val="en-US" w:eastAsia="zh-CN"/>
              </w:rPr>
              <w:t>10</w:t>
            </w:r>
            <w:r>
              <w:rPr>
                <w:rFonts w:hint="eastAsia" w:eastAsiaTheme="minorEastAsia"/>
                <w:color w:val="auto"/>
                <w:sz w:val="24"/>
              </w:rPr>
              <w:t>烟煤和无烟煤开采洗选</w:t>
            </w:r>
          </w:p>
        </w:tc>
        <w:tc>
          <w:tcPr>
            <w:tcW w:w="1166" w:type="pct"/>
            <w:vAlign w:val="center"/>
          </w:tcPr>
          <w:p w14:paraId="0B9705DA">
            <w:pPr>
              <w:adjustRightInd w:val="0"/>
              <w:snapToGrid w:val="0"/>
              <w:spacing w:line="500" w:lineRule="exact"/>
              <w:jc w:val="center"/>
              <w:rPr>
                <w:rFonts w:eastAsiaTheme="minorEastAsia"/>
                <w:color w:val="auto"/>
                <w:sz w:val="24"/>
              </w:rPr>
            </w:pPr>
            <w:bookmarkStart w:id="5" w:name="_Hlk49843745"/>
            <w:r>
              <w:rPr>
                <w:rFonts w:eastAsiaTheme="minorEastAsia"/>
                <w:color w:val="auto"/>
                <w:sz w:val="24"/>
              </w:rPr>
              <w:t>建设项目</w:t>
            </w:r>
          </w:p>
          <w:p w14:paraId="4877C261">
            <w:pPr>
              <w:adjustRightInd w:val="0"/>
              <w:snapToGrid w:val="0"/>
              <w:spacing w:line="500" w:lineRule="exact"/>
              <w:jc w:val="center"/>
              <w:rPr>
                <w:rFonts w:eastAsiaTheme="minorEastAsia"/>
                <w:color w:val="auto"/>
                <w:sz w:val="24"/>
              </w:rPr>
            </w:pPr>
            <w:r>
              <w:rPr>
                <w:rFonts w:eastAsiaTheme="minorEastAsia"/>
                <w:color w:val="auto"/>
                <w:sz w:val="24"/>
              </w:rPr>
              <w:t>行业类别</w:t>
            </w:r>
            <w:bookmarkEnd w:id="5"/>
          </w:p>
        </w:tc>
        <w:tc>
          <w:tcPr>
            <w:tcW w:w="1699" w:type="pct"/>
            <w:vAlign w:val="center"/>
          </w:tcPr>
          <w:p w14:paraId="0CA766D0">
            <w:pPr>
              <w:adjustRightInd w:val="0"/>
              <w:snapToGrid w:val="0"/>
              <w:spacing w:line="500" w:lineRule="exact"/>
              <w:jc w:val="center"/>
              <w:rPr>
                <w:rFonts w:eastAsiaTheme="minorEastAsia"/>
                <w:color w:val="auto"/>
                <w:sz w:val="24"/>
              </w:rPr>
            </w:pPr>
            <w:r>
              <w:rPr>
                <w:rFonts w:hint="eastAsia" w:eastAsiaTheme="minorEastAsia"/>
                <w:color w:val="auto"/>
                <w:sz w:val="24"/>
              </w:rPr>
              <w:t>四、煤炭开采和洗选业06烟煤和无烟煤开采洗选061</w:t>
            </w:r>
            <w:r>
              <w:rPr>
                <w:rFonts w:hint="eastAsia" w:eastAsiaTheme="minorEastAsia"/>
                <w:color w:val="auto"/>
                <w:sz w:val="24"/>
                <w:lang w:eastAsia="zh-CN"/>
              </w:rPr>
              <w:t>－</w:t>
            </w:r>
            <w:r>
              <w:rPr>
                <w:rFonts w:hint="eastAsia" w:eastAsiaTheme="minorEastAsia"/>
                <w:color w:val="auto"/>
                <w:sz w:val="24"/>
              </w:rPr>
              <w:t>煤炭储存、集运</w:t>
            </w:r>
          </w:p>
        </w:tc>
      </w:tr>
      <w:tr w14:paraId="7FAB6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900" w:type="pct"/>
            <w:tcMar>
              <w:top w:w="16" w:type="dxa"/>
              <w:left w:w="16" w:type="dxa"/>
              <w:right w:w="16" w:type="dxa"/>
            </w:tcMar>
            <w:vAlign w:val="center"/>
          </w:tcPr>
          <w:p w14:paraId="45253F84">
            <w:pPr>
              <w:adjustRightInd w:val="0"/>
              <w:snapToGrid w:val="0"/>
              <w:spacing w:line="500" w:lineRule="exact"/>
              <w:jc w:val="center"/>
              <w:rPr>
                <w:rFonts w:eastAsiaTheme="minorEastAsia"/>
                <w:color w:val="auto"/>
                <w:sz w:val="24"/>
              </w:rPr>
            </w:pPr>
            <w:r>
              <w:rPr>
                <w:rFonts w:eastAsiaTheme="minorEastAsia"/>
                <w:color w:val="auto"/>
                <w:sz w:val="24"/>
              </w:rPr>
              <w:t>建设性质</w:t>
            </w:r>
          </w:p>
        </w:tc>
        <w:tc>
          <w:tcPr>
            <w:tcW w:w="1233" w:type="pct"/>
            <w:vAlign w:val="center"/>
          </w:tcPr>
          <w:p w14:paraId="73C1BC00">
            <w:pPr>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新建（迁建）</w:t>
            </w:r>
          </w:p>
          <w:p w14:paraId="158BC6FA">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改建</w:t>
            </w:r>
          </w:p>
          <w:p w14:paraId="760FE045">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扩建</w:t>
            </w:r>
          </w:p>
          <w:p w14:paraId="792AFF12">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技术改造</w:t>
            </w:r>
          </w:p>
        </w:tc>
        <w:tc>
          <w:tcPr>
            <w:tcW w:w="1166" w:type="pct"/>
            <w:vAlign w:val="center"/>
          </w:tcPr>
          <w:p w14:paraId="051D9E37">
            <w:pPr>
              <w:adjustRightInd w:val="0"/>
              <w:snapToGrid w:val="0"/>
              <w:spacing w:line="500" w:lineRule="exact"/>
              <w:jc w:val="center"/>
              <w:rPr>
                <w:rFonts w:eastAsiaTheme="minorEastAsia"/>
                <w:color w:val="auto"/>
                <w:sz w:val="24"/>
              </w:rPr>
            </w:pPr>
            <w:r>
              <w:rPr>
                <w:rFonts w:eastAsiaTheme="minorEastAsia"/>
                <w:color w:val="auto"/>
                <w:sz w:val="24"/>
              </w:rPr>
              <w:t>建设项目</w:t>
            </w:r>
          </w:p>
          <w:p w14:paraId="118D8455">
            <w:pPr>
              <w:adjustRightInd w:val="0"/>
              <w:snapToGrid w:val="0"/>
              <w:spacing w:line="500" w:lineRule="exact"/>
              <w:jc w:val="center"/>
              <w:rPr>
                <w:rFonts w:eastAsiaTheme="minorEastAsia"/>
                <w:color w:val="auto"/>
                <w:sz w:val="24"/>
              </w:rPr>
            </w:pPr>
            <w:r>
              <w:rPr>
                <w:rFonts w:eastAsiaTheme="minorEastAsia"/>
                <w:color w:val="auto"/>
                <w:sz w:val="24"/>
              </w:rPr>
              <w:t>申报情形</w:t>
            </w:r>
          </w:p>
        </w:tc>
        <w:tc>
          <w:tcPr>
            <w:tcW w:w="1699" w:type="pct"/>
            <w:vAlign w:val="center"/>
          </w:tcPr>
          <w:p w14:paraId="1EE70B09">
            <w:pPr>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首次申报项目</w:t>
            </w:r>
          </w:p>
          <w:p w14:paraId="3DFC2EF2">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不予批准后再次申报项目</w:t>
            </w:r>
          </w:p>
          <w:p w14:paraId="0A47AF30">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超五年重新审核项目</w:t>
            </w:r>
          </w:p>
          <w:p w14:paraId="2D228F2A">
            <w:pPr>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重大变动重新报批项目</w:t>
            </w:r>
          </w:p>
        </w:tc>
      </w:tr>
      <w:tr w14:paraId="223A2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900" w:type="pct"/>
            <w:tcMar>
              <w:top w:w="16" w:type="dxa"/>
              <w:left w:w="16" w:type="dxa"/>
              <w:right w:w="16" w:type="dxa"/>
            </w:tcMar>
            <w:vAlign w:val="center"/>
          </w:tcPr>
          <w:p w14:paraId="7FCD8C66">
            <w:pPr>
              <w:adjustRightInd w:val="0"/>
              <w:snapToGrid w:val="0"/>
              <w:spacing w:line="500" w:lineRule="exact"/>
              <w:jc w:val="center"/>
              <w:rPr>
                <w:rFonts w:eastAsiaTheme="minorEastAsia"/>
                <w:color w:val="auto"/>
                <w:sz w:val="24"/>
              </w:rPr>
            </w:pPr>
            <w:r>
              <w:rPr>
                <w:rFonts w:eastAsiaTheme="minorEastAsia"/>
                <w:color w:val="auto"/>
                <w:sz w:val="24"/>
              </w:rPr>
              <w:t>项目审批（核准/</w:t>
            </w:r>
          </w:p>
          <w:p w14:paraId="4B9E29D3">
            <w:pPr>
              <w:adjustRightInd w:val="0"/>
              <w:snapToGrid w:val="0"/>
              <w:spacing w:line="500" w:lineRule="exact"/>
              <w:jc w:val="center"/>
              <w:rPr>
                <w:rFonts w:eastAsiaTheme="minorEastAsia"/>
                <w:color w:val="auto"/>
                <w:sz w:val="24"/>
              </w:rPr>
            </w:pPr>
            <w:r>
              <w:rPr>
                <w:rFonts w:eastAsiaTheme="minorEastAsia"/>
                <w:color w:val="auto"/>
                <w:sz w:val="24"/>
              </w:rPr>
              <w:t>备案）部门（选填）</w:t>
            </w:r>
          </w:p>
        </w:tc>
        <w:tc>
          <w:tcPr>
            <w:tcW w:w="1233" w:type="pct"/>
            <w:vAlign w:val="center"/>
          </w:tcPr>
          <w:p w14:paraId="0281AA71">
            <w:pPr>
              <w:adjustRightInd w:val="0"/>
              <w:snapToGrid w:val="0"/>
              <w:jc w:val="center"/>
              <w:rPr>
                <w:rFonts w:eastAsiaTheme="minorEastAsia"/>
                <w:color w:val="auto"/>
                <w:sz w:val="24"/>
              </w:rPr>
            </w:pPr>
            <w:r>
              <w:rPr>
                <w:rFonts w:hint="eastAsia" w:cs="宋体"/>
                <w:color w:val="auto"/>
                <w:sz w:val="24"/>
                <w:szCs w:val="24"/>
                <w:lang w:eastAsia="zh-CN"/>
              </w:rPr>
              <w:t>唐山海港经济开发区行政审批局</w:t>
            </w:r>
          </w:p>
        </w:tc>
        <w:tc>
          <w:tcPr>
            <w:tcW w:w="1166" w:type="pct"/>
            <w:vAlign w:val="center"/>
          </w:tcPr>
          <w:p w14:paraId="3DB10705">
            <w:pPr>
              <w:adjustRightInd w:val="0"/>
              <w:snapToGrid w:val="0"/>
              <w:jc w:val="center"/>
              <w:rPr>
                <w:rFonts w:hint="eastAsia" w:cs="宋体"/>
                <w:color w:val="auto"/>
                <w:sz w:val="24"/>
                <w:szCs w:val="24"/>
              </w:rPr>
            </w:pPr>
            <w:r>
              <w:rPr>
                <w:rFonts w:hint="eastAsia" w:cs="宋体"/>
                <w:color w:val="auto"/>
                <w:sz w:val="24"/>
                <w:szCs w:val="24"/>
              </w:rPr>
              <w:t>项目审批（核准</w:t>
            </w:r>
            <w:r>
              <w:rPr>
                <w:rFonts w:cs="宋体"/>
                <w:color w:val="auto"/>
                <w:sz w:val="24"/>
                <w:szCs w:val="24"/>
              </w:rPr>
              <w:t>/</w:t>
            </w:r>
          </w:p>
          <w:p w14:paraId="0D040D9F">
            <w:pPr>
              <w:adjustRightInd w:val="0"/>
              <w:snapToGrid w:val="0"/>
              <w:jc w:val="center"/>
              <w:rPr>
                <w:rFonts w:eastAsiaTheme="minorEastAsia"/>
                <w:color w:val="auto"/>
                <w:sz w:val="24"/>
              </w:rPr>
            </w:pPr>
            <w:r>
              <w:rPr>
                <w:rFonts w:hint="eastAsia" w:cs="宋体"/>
                <w:color w:val="auto"/>
                <w:sz w:val="24"/>
                <w:szCs w:val="24"/>
              </w:rPr>
              <w:t>备案）文号（选填）</w:t>
            </w:r>
          </w:p>
        </w:tc>
        <w:tc>
          <w:tcPr>
            <w:tcW w:w="1699" w:type="pct"/>
            <w:vAlign w:val="center"/>
          </w:tcPr>
          <w:p w14:paraId="30C4DB11">
            <w:pPr>
              <w:adjustRightInd w:val="0"/>
              <w:snapToGrid w:val="0"/>
              <w:jc w:val="center"/>
              <w:rPr>
                <w:rFonts w:hint="default" w:eastAsiaTheme="minorEastAsia"/>
                <w:color w:val="auto"/>
                <w:sz w:val="24"/>
                <w:lang w:val="en-US"/>
              </w:rPr>
            </w:pPr>
            <w:r>
              <w:rPr>
                <w:rFonts w:hint="eastAsia" w:cs="宋体"/>
                <w:color w:val="auto"/>
                <w:sz w:val="24"/>
                <w:szCs w:val="24"/>
                <w:lang w:eastAsia="zh-CN"/>
              </w:rPr>
              <w:t>海审批投资备字〔202</w:t>
            </w:r>
            <w:r>
              <w:rPr>
                <w:rFonts w:hint="eastAsia" w:cs="宋体"/>
                <w:color w:val="auto"/>
                <w:sz w:val="24"/>
                <w:szCs w:val="24"/>
                <w:lang w:val="en-US" w:eastAsia="zh-CN"/>
              </w:rPr>
              <w:t>4</w:t>
            </w:r>
            <w:r>
              <w:rPr>
                <w:rFonts w:hint="eastAsia" w:cs="宋体"/>
                <w:color w:val="auto"/>
                <w:sz w:val="24"/>
                <w:szCs w:val="24"/>
                <w:lang w:eastAsia="zh-CN"/>
              </w:rPr>
              <w:t>〕</w:t>
            </w:r>
            <w:r>
              <w:rPr>
                <w:rFonts w:hint="eastAsia" w:cs="宋体"/>
                <w:color w:val="auto"/>
                <w:sz w:val="24"/>
                <w:szCs w:val="24"/>
                <w:lang w:val="en-US" w:eastAsia="zh-CN"/>
              </w:rPr>
              <w:t>119</w:t>
            </w:r>
            <w:r>
              <w:rPr>
                <w:rFonts w:hint="eastAsia" w:cs="宋体"/>
                <w:color w:val="auto"/>
                <w:sz w:val="24"/>
                <w:szCs w:val="24"/>
                <w:lang w:eastAsia="zh-CN"/>
              </w:rPr>
              <w:t>号</w:t>
            </w:r>
          </w:p>
        </w:tc>
      </w:tr>
      <w:tr w14:paraId="17C49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900" w:type="pct"/>
            <w:tcMar>
              <w:top w:w="16" w:type="dxa"/>
              <w:left w:w="16" w:type="dxa"/>
              <w:right w:w="16" w:type="dxa"/>
            </w:tcMar>
            <w:vAlign w:val="center"/>
          </w:tcPr>
          <w:p w14:paraId="7DCA27C5">
            <w:pPr>
              <w:adjustRightInd w:val="0"/>
              <w:snapToGrid w:val="0"/>
              <w:spacing w:line="500" w:lineRule="exact"/>
              <w:jc w:val="center"/>
              <w:rPr>
                <w:rFonts w:eastAsiaTheme="minorEastAsia"/>
                <w:color w:val="auto"/>
                <w:sz w:val="24"/>
              </w:rPr>
            </w:pPr>
            <w:r>
              <w:rPr>
                <w:rFonts w:eastAsiaTheme="minorEastAsia"/>
                <w:color w:val="auto"/>
                <w:sz w:val="24"/>
              </w:rPr>
              <w:t>总投资（万元）</w:t>
            </w:r>
          </w:p>
        </w:tc>
        <w:tc>
          <w:tcPr>
            <w:tcW w:w="1233" w:type="pct"/>
            <w:vAlign w:val="center"/>
          </w:tcPr>
          <w:p w14:paraId="0679DED1">
            <w:pPr>
              <w:adjustRightInd w:val="0"/>
              <w:snapToGrid w:val="0"/>
              <w:spacing w:line="500" w:lineRule="exact"/>
              <w:jc w:val="center"/>
              <w:rPr>
                <w:rFonts w:eastAsiaTheme="minorEastAsia"/>
                <w:color w:val="auto"/>
                <w:sz w:val="24"/>
              </w:rPr>
            </w:pPr>
            <w:r>
              <w:rPr>
                <w:rFonts w:hint="eastAsia" w:eastAsiaTheme="minorEastAsia"/>
                <w:color w:val="auto"/>
                <w:sz w:val="24"/>
              </w:rPr>
              <w:t>500</w:t>
            </w:r>
          </w:p>
        </w:tc>
        <w:tc>
          <w:tcPr>
            <w:tcW w:w="1166" w:type="pct"/>
            <w:tcMar>
              <w:top w:w="16" w:type="dxa"/>
              <w:left w:w="16" w:type="dxa"/>
              <w:right w:w="16" w:type="dxa"/>
            </w:tcMar>
            <w:vAlign w:val="center"/>
          </w:tcPr>
          <w:p w14:paraId="508EC197">
            <w:pPr>
              <w:adjustRightInd w:val="0"/>
              <w:snapToGrid w:val="0"/>
              <w:spacing w:line="500" w:lineRule="exact"/>
              <w:jc w:val="center"/>
              <w:rPr>
                <w:rFonts w:eastAsiaTheme="minorEastAsia"/>
                <w:color w:val="auto"/>
                <w:sz w:val="24"/>
              </w:rPr>
            </w:pPr>
            <w:r>
              <w:rPr>
                <w:rFonts w:eastAsiaTheme="minorEastAsia"/>
                <w:color w:val="auto"/>
                <w:sz w:val="24"/>
              </w:rPr>
              <w:t>环保投资（万元）</w:t>
            </w:r>
          </w:p>
        </w:tc>
        <w:tc>
          <w:tcPr>
            <w:tcW w:w="1699" w:type="pct"/>
            <w:vAlign w:val="center"/>
          </w:tcPr>
          <w:p w14:paraId="673499F9">
            <w:pPr>
              <w:adjustRightInd w:val="0"/>
              <w:snapToGrid w:val="0"/>
              <w:spacing w:line="500" w:lineRule="exact"/>
              <w:jc w:val="center"/>
              <w:rPr>
                <w:rFonts w:eastAsiaTheme="minorEastAsia"/>
                <w:color w:val="auto"/>
                <w:sz w:val="24"/>
              </w:rPr>
            </w:pPr>
            <w:r>
              <w:rPr>
                <w:rFonts w:hint="eastAsia" w:eastAsiaTheme="minorEastAsia"/>
                <w:color w:val="auto"/>
                <w:sz w:val="24"/>
              </w:rPr>
              <w:t>20</w:t>
            </w:r>
          </w:p>
        </w:tc>
      </w:tr>
      <w:tr w14:paraId="0BBFF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900" w:type="pct"/>
            <w:tcMar>
              <w:top w:w="16" w:type="dxa"/>
              <w:left w:w="16" w:type="dxa"/>
              <w:right w:w="16" w:type="dxa"/>
            </w:tcMar>
            <w:vAlign w:val="center"/>
          </w:tcPr>
          <w:p w14:paraId="5BD2D319">
            <w:pPr>
              <w:adjustRightInd w:val="0"/>
              <w:snapToGrid w:val="0"/>
              <w:spacing w:line="500" w:lineRule="exact"/>
              <w:jc w:val="center"/>
              <w:rPr>
                <w:rFonts w:eastAsiaTheme="minorEastAsia"/>
                <w:color w:val="auto"/>
                <w:sz w:val="24"/>
              </w:rPr>
            </w:pPr>
            <w:r>
              <w:rPr>
                <w:rFonts w:eastAsiaTheme="minorEastAsia"/>
                <w:color w:val="auto"/>
                <w:sz w:val="24"/>
              </w:rPr>
              <w:t>环保投资占比（%）</w:t>
            </w:r>
          </w:p>
        </w:tc>
        <w:tc>
          <w:tcPr>
            <w:tcW w:w="1233" w:type="pct"/>
            <w:vAlign w:val="center"/>
          </w:tcPr>
          <w:p w14:paraId="15584FB4">
            <w:pPr>
              <w:adjustRightInd w:val="0"/>
              <w:snapToGrid w:val="0"/>
              <w:spacing w:line="500" w:lineRule="exact"/>
              <w:jc w:val="center"/>
              <w:rPr>
                <w:rFonts w:eastAsiaTheme="minorEastAsia"/>
                <w:color w:val="auto"/>
                <w:sz w:val="24"/>
              </w:rPr>
            </w:pPr>
            <w:r>
              <w:rPr>
                <w:rFonts w:hint="eastAsia" w:eastAsiaTheme="minorEastAsia"/>
                <w:color w:val="auto"/>
                <w:sz w:val="24"/>
              </w:rPr>
              <w:t>4</w:t>
            </w:r>
          </w:p>
        </w:tc>
        <w:tc>
          <w:tcPr>
            <w:tcW w:w="1166" w:type="pct"/>
            <w:tcMar>
              <w:top w:w="16" w:type="dxa"/>
              <w:left w:w="16" w:type="dxa"/>
              <w:right w:w="16" w:type="dxa"/>
            </w:tcMar>
            <w:vAlign w:val="center"/>
          </w:tcPr>
          <w:p w14:paraId="045FFCF1">
            <w:pPr>
              <w:adjustRightInd w:val="0"/>
              <w:snapToGrid w:val="0"/>
              <w:spacing w:line="500" w:lineRule="exact"/>
              <w:jc w:val="center"/>
              <w:rPr>
                <w:rFonts w:eastAsiaTheme="minorEastAsia"/>
                <w:color w:val="auto"/>
                <w:sz w:val="24"/>
              </w:rPr>
            </w:pPr>
            <w:r>
              <w:rPr>
                <w:rFonts w:eastAsiaTheme="minorEastAsia"/>
                <w:color w:val="auto"/>
                <w:sz w:val="24"/>
              </w:rPr>
              <w:t>施工工期</w:t>
            </w:r>
          </w:p>
        </w:tc>
        <w:tc>
          <w:tcPr>
            <w:tcW w:w="1699" w:type="pct"/>
            <w:vAlign w:val="center"/>
          </w:tcPr>
          <w:p w14:paraId="47B0E68D">
            <w:pPr>
              <w:adjustRightInd w:val="0"/>
              <w:snapToGrid w:val="0"/>
              <w:spacing w:line="500" w:lineRule="exact"/>
              <w:jc w:val="center"/>
              <w:rPr>
                <w:rFonts w:eastAsiaTheme="minorEastAsia"/>
                <w:color w:val="auto"/>
                <w:sz w:val="24"/>
              </w:rPr>
            </w:pPr>
            <w:r>
              <w:rPr>
                <w:rFonts w:hint="eastAsia" w:eastAsiaTheme="minorEastAsia"/>
                <w:color w:val="auto"/>
                <w:sz w:val="24"/>
              </w:rPr>
              <w:t>3</w:t>
            </w:r>
            <w:r>
              <w:rPr>
                <w:rFonts w:eastAsiaTheme="minorEastAsia"/>
                <w:color w:val="auto"/>
                <w:sz w:val="24"/>
              </w:rPr>
              <w:t>个月</w:t>
            </w:r>
          </w:p>
        </w:tc>
      </w:tr>
      <w:tr w14:paraId="22BB9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900" w:type="pct"/>
            <w:tcMar>
              <w:top w:w="16" w:type="dxa"/>
              <w:left w:w="16" w:type="dxa"/>
              <w:right w:w="16" w:type="dxa"/>
            </w:tcMar>
            <w:vAlign w:val="center"/>
          </w:tcPr>
          <w:p w14:paraId="19F26851">
            <w:pPr>
              <w:adjustRightInd w:val="0"/>
              <w:snapToGrid w:val="0"/>
              <w:spacing w:line="500" w:lineRule="exact"/>
              <w:jc w:val="center"/>
              <w:rPr>
                <w:rFonts w:eastAsiaTheme="minorEastAsia"/>
                <w:color w:val="auto"/>
                <w:sz w:val="24"/>
              </w:rPr>
            </w:pPr>
            <w:r>
              <w:rPr>
                <w:rFonts w:eastAsiaTheme="minorEastAsia"/>
                <w:color w:val="auto"/>
                <w:sz w:val="24"/>
              </w:rPr>
              <w:t>是否开工建设</w:t>
            </w:r>
          </w:p>
        </w:tc>
        <w:tc>
          <w:tcPr>
            <w:tcW w:w="1233" w:type="pct"/>
            <w:vAlign w:val="center"/>
          </w:tcPr>
          <w:p w14:paraId="1F80B116">
            <w:pPr>
              <w:adjustRightInd w:val="0"/>
              <w:snapToGrid w:val="0"/>
              <w:spacing w:line="500" w:lineRule="exact"/>
              <w:jc w:val="left"/>
              <w:rPr>
                <w:rFonts w:eastAsiaTheme="minorEastAsia"/>
                <w:color w:val="auto"/>
                <w:sz w:val="24"/>
              </w:rPr>
            </w:pPr>
            <w:r>
              <w:rPr>
                <w:rFonts w:eastAsiaTheme="minorEastAsia"/>
                <w:color w:val="auto"/>
                <w:sz w:val="24"/>
              </w:rPr>
              <w:sym w:font="Wingdings 2" w:char="0052"/>
            </w:r>
            <w:r>
              <w:rPr>
                <w:rFonts w:eastAsiaTheme="minorEastAsia"/>
                <w:color w:val="auto"/>
                <w:sz w:val="24"/>
              </w:rPr>
              <w:t>否</w:t>
            </w:r>
          </w:p>
          <w:p w14:paraId="64B4FFB1">
            <w:pPr>
              <w:adjustRightInd w:val="0"/>
              <w:snapToGrid w:val="0"/>
              <w:spacing w:line="500" w:lineRule="exact"/>
              <w:jc w:val="left"/>
              <w:rPr>
                <w:rFonts w:eastAsiaTheme="minorEastAsia"/>
                <w:color w:val="auto"/>
                <w:sz w:val="24"/>
              </w:rPr>
            </w:pPr>
            <w:r>
              <w:rPr>
                <w:rFonts w:eastAsiaTheme="minorEastAsia"/>
                <w:color w:val="auto"/>
                <w:sz w:val="24"/>
              </w:rPr>
              <w:sym w:font="Wingdings 2" w:char="00A3"/>
            </w:r>
            <w:r>
              <w:rPr>
                <w:rFonts w:eastAsiaTheme="minorEastAsia"/>
                <w:color w:val="auto"/>
                <w:sz w:val="24"/>
              </w:rPr>
              <w:t>是：</w:t>
            </w:r>
          </w:p>
        </w:tc>
        <w:tc>
          <w:tcPr>
            <w:tcW w:w="1166" w:type="pct"/>
            <w:tcMar>
              <w:top w:w="16" w:type="dxa"/>
              <w:left w:w="16" w:type="dxa"/>
              <w:right w:w="16" w:type="dxa"/>
            </w:tcMar>
            <w:vAlign w:val="center"/>
          </w:tcPr>
          <w:p w14:paraId="15EDF9C7">
            <w:pPr>
              <w:adjustRightInd w:val="0"/>
              <w:snapToGrid w:val="0"/>
              <w:spacing w:line="500" w:lineRule="exact"/>
              <w:jc w:val="center"/>
              <w:rPr>
                <w:rFonts w:eastAsiaTheme="minorEastAsia"/>
                <w:color w:val="auto"/>
                <w:spacing w:val="-6"/>
                <w:sz w:val="24"/>
              </w:rPr>
            </w:pPr>
            <w:r>
              <w:rPr>
                <w:rFonts w:eastAsiaTheme="minorEastAsia"/>
                <w:color w:val="auto"/>
                <w:spacing w:val="-6"/>
                <w:sz w:val="24"/>
              </w:rPr>
              <w:t>用地（用海）</w:t>
            </w:r>
          </w:p>
          <w:p w14:paraId="426F8D7B">
            <w:pPr>
              <w:adjustRightInd w:val="0"/>
              <w:snapToGrid w:val="0"/>
              <w:spacing w:line="500" w:lineRule="exact"/>
              <w:jc w:val="center"/>
              <w:rPr>
                <w:rFonts w:eastAsiaTheme="minorEastAsia"/>
                <w:color w:val="auto"/>
                <w:sz w:val="24"/>
              </w:rPr>
            </w:pPr>
            <w:r>
              <w:rPr>
                <w:rFonts w:eastAsiaTheme="minorEastAsia"/>
                <w:color w:val="auto"/>
                <w:spacing w:val="-6"/>
                <w:sz w:val="24"/>
              </w:rPr>
              <w:t>面积（m</w:t>
            </w:r>
            <w:r>
              <w:rPr>
                <w:rFonts w:eastAsiaTheme="minorEastAsia"/>
                <w:color w:val="auto"/>
                <w:spacing w:val="-6"/>
                <w:sz w:val="24"/>
                <w:vertAlign w:val="superscript"/>
              </w:rPr>
              <w:t>2</w:t>
            </w:r>
            <w:r>
              <w:rPr>
                <w:rFonts w:eastAsiaTheme="minorEastAsia"/>
                <w:color w:val="auto"/>
                <w:spacing w:val="-6"/>
                <w:sz w:val="24"/>
              </w:rPr>
              <w:t>）</w:t>
            </w:r>
          </w:p>
        </w:tc>
        <w:tc>
          <w:tcPr>
            <w:tcW w:w="1699" w:type="pct"/>
            <w:vAlign w:val="center"/>
          </w:tcPr>
          <w:p w14:paraId="4C962C44">
            <w:pPr>
              <w:adjustRightInd w:val="0"/>
              <w:snapToGrid w:val="0"/>
              <w:spacing w:line="500" w:lineRule="exact"/>
              <w:jc w:val="center"/>
              <w:rPr>
                <w:rFonts w:eastAsiaTheme="minorEastAsia"/>
                <w:color w:val="auto"/>
                <w:sz w:val="24"/>
              </w:rPr>
            </w:pPr>
            <w:r>
              <w:rPr>
                <w:rFonts w:hint="eastAsia" w:eastAsiaTheme="minorEastAsia"/>
                <w:color w:val="auto"/>
                <w:spacing w:val="-6"/>
                <w:sz w:val="24"/>
                <w:lang w:val="en-US" w:eastAsia="zh-CN"/>
              </w:rPr>
              <w:t>61924.34</w:t>
            </w:r>
            <w:r>
              <w:rPr>
                <w:rFonts w:eastAsiaTheme="minorEastAsia"/>
                <w:color w:val="auto"/>
                <w:spacing w:val="-6"/>
                <w:sz w:val="24"/>
              </w:rPr>
              <w:t>m</w:t>
            </w:r>
            <w:r>
              <w:rPr>
                <w:rFonts w:eastAsiaTheme="minorEastAsia"/>
                <w:color w:val="auto"/>
                <w:spacing w:val="-6"/>
                <w:sz w:val="24"/>
                <w:vertAlign w:val="superscript"/>
              </w:rPr>
              <w:t>2</w:t>
            </w:r>
          </w:p>
        </w:tc>
      </w:tr>
      <w:tr w14:paraId="45F61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0" w:type="pct"/>
            <w:vAlign w:val="center"/>
          </w:tcPr>
          <w:p w14:paraId="6A7FA4C6">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专项评价设置情况</w:t>
            </w:r>
          </w:p>
        </w:tc>
        <w:tc>
          <w:tcPr>
            <w:tcW w:w="4099" w:type="pct"/>
            <w:gridSpan w:val="3"/>
            <w:vAlign w:val="center"/>
          </w:tcPr>
          <w:p w14:paraId="193828FB">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无</w:t>
            </w:r>
          </w:p>
        </w:tc>
      </w:tr>
      <w:tr w14:paraId="7F30B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2DDA9D72">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sz w:val="24"/>
              </w:rPr>
              <w:t>规划情况</w:t>
            </w:r>
          </w:p>
        </w:tc>
        <w:tc>
          <w:tcPr>
            <w:tcW w:w="4099" w:type="pct"/>
            <w:gridSpan w:val="3"/>
            <w:vAlign w:val="center"/>
          </w:tcPr>
          <w:p w14:paraId="4A77051B">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eastAsiaTheme="minorEastAsia"/>
                <w:color w:val="auto"/>
                <w:kern w:val="0"/>
                <w:sz w:val="24"/>
                <w:highlight w:val="none"/>
              </w:rPr>
            </w:pPr>
            <w:r>
              <w:rPr>
                <w:rFonts w:hint="eastAsia"/>
                <w:color w:val="auto"/>
                <w:kern w:val="0"/>
                <w:sz w:val="24"/>
                <w:highlight w:val="none"/>
              </w:rPr>
              <w:t>规划</w:t>
            </w:r>
            <w:r>
              <w:rPr>
                <w:rFonts w:hint="eastAsia"/>
                <w:color w:val="auto"/>
                <w:kern w:val="0"/>
                <w:sz w:val="24"/>
                <w:highlight w:val="none"/>
                <w:lang w:val="en-US" w:eastAsia="zh-CN"/>
              </w:rPr>
              <w:t>文件</w:t>
            </w:r>
            <w:r>
              <w:rPr>
                <w:rFonts w:hint="eastAsia"/>
                <w:color w:val="auto"/>
                <w:kern w:val="0"/>
                <w:sz w:val="24"/>
                <w:highlight w:val="none"/>
              </w:rPr>
              <w:t>名称：《河北唐山海港经济开发区总体规划修编</w:t>
            </w:r>
            <w:r>
              <w:rPr>
                <w:rFonts w:hint="eastAsia"/>
                <w:color w:val="auto"/>
                <w:kern w:val="0"/>
                <w:sz w:val="24"/>
                <w:highlight w:val="none"/>
                <w:lang w:eastAsia="zh-CN"/>
              </w:rPr>
              <w:t>（</w:t>
            </w:r>
            <w:r>
              <w:rPr>
                <w:rFonts w:hint="eastAsia"/>
                <w:color w:val="auto"/>
                <w:kern w:val="0"/>
                <w:sz w:val="24"/>
                <w:highlight w:val="none"/>
              </w:rPr>
              <w:t>20</w:t>
            </w:r>
            <w:r>
              <w:rPr>
                <w:rFonts w:hint="eastAsia"/>
                <w:color w:val="auto"/>
                <w:kern w:val="0"/>
                <w:sz w:val="24"/>
                <w:highlight w:val="none"/>
                <w:lang w:val="en-US" w:eastAsia="zh-CN"/>
              </w:rPr>
              <w:t>22</w:t>
            </w:r>
            <w:r>
              <w:rPr>
                <w:rFonts w:hint="eastAsia"/>
                <w:color w:val="auto"/>
                <w:kern w:val="0"/>
                <w:sz w:val="24"/>
                <w:highlight w:val="none"/>
              </w:rPr>
              <w:t>-2030</w:t>
            </w:r>
            <w:r>
              <w:rPr>
                <w:rFonts w:hint="eastAsia"/>
                <w:color w:val="auto"/>
                <w:kern w:val="0"/>
                <w:sz w:val="24"/>
                <w:highlight w:val="none"/>
                <w:lang w:eastAsia="zh-CN"/>
              </w:rPr>
              <w:t>）</w:t>
            </w:r>
            <w:r>
              <w:rPr>
                <w:rFonts w:hint="eastAsia"/>
                <w:color w:val="auto"/>
                <w:kern w:val="0"/>
                <w:sz w:val="24"/>
                <w:highlight w:val="none"/>
              </w:rPr>
              <w:t>》</w:t>
            </w:r>
          </w:p>
        </w:tc>
      </w:tr>
      <w:tr w14:paraId="41A98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00" w:type="pct"/>
            <w:vAlign w:val="center"/>
          </w:tcPr>
          <w:p w14:paraId="4151F338">
            <w:pPr>
              <w:adjustRightInd w:val="0"/>
              <w:snapToGrid w:val="0"/>
              <w:spacing w:line="500" w:lineRule="exact"/>
              <w:jc w:val="center"/>
              <w:rPr>
                <w:rFonts w:eastAsiaTheme="minorEastAsia"/>
                <w:color w:val="auto"/>
                <w:kern w:val="0"/>
                <w:sz w:val="24"/>
              </w:rPr>
            </w:pPr>
            <w:r>
              <w:rPr>
                <w:rFonts w:eastAsiaTheme="minorEastAsia"/>
                <w:color w:val="auto"/>
                <w:sz w:val="24"/>
              </w:rPr>
              <w:t>规划环境影响评价情况</w:t>
            </w:r>
          </w:p>
        </w:tc>
        <w:tc>
          <w:tcPr>
            <w:tcW w:w="4099" w:type="pct"/>
            <w:gridSpan w:val="3"/>
            <w:vAlign w:val="center"/>
          </w:tcPr>
          <w:p w14:paraId="7394F86F">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⑴</w:t>
            </w:r>
            <w:r>
              <w:rPr>
                <w:rFonts w:hint="eastAsia"/>
                <w:color w:val="auto"/>
                <w:kern w:val="0"/>
                <w:sz w:val="24"/>
                <w:highlight w:val="none"/>
              </w:rPr>
              <w:t>规划环评文件名称：唐山海港经济开发区总体规划修编</w:t>
            </w:r>
            <w:r>
              <w:rPr>
                <w:rFonts w:hint="eastAsia"/>
                <w:color w:val="auto"/>
                <w:kern w:val="0"/>
                <w:sz w:val="24"/>
                <w:highlight w:val="none"/>
                <w:lang w:eastAsia="zh-CN"/>
              </w:rPr>
              <w:t>（</w:t>
            </w:r>
            <w:r>
              <w:rPr>
                <w:rFonts w:hint="eastAsia"/>
                <w:color w:val="auto"/>
                <w:kern w:val="0"/>
                <w:sz w:val="24"/>
                <w:highlight w:val="none"/>
              </w:rPr>
              <w:t>2022</w:t>
            </w:r>
            <w:r>
              <w:rPr>
                <w:rFonts w:hint="eastAsia"/>
                <w:color w:val="auto"/>
                <w:kern w:val="0"/>
                <w:sz w:val="24"/>
                <w:highlight w:val="none"/>
                <w:lang w:eastAsia="zh-CN"/>
              </w:rPr>
              <w:t>—</w:t>
            </w:r>
            <w:r>
              <w:rPr>
                <w:rFonts w:hint="eastAsia"/>
                <w:color w:val="auto"/>
                <w:kern w:val="0"/>
                <w:sz w:val="24"/>
                <w:highlight w:val="none"/>
              </w:rPr>
              <w:t>2030年)环境影响报告书</w:t>
            </w:r>
          </w:p>
          <w:p w14:paraId="7AB91EFA">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⑵</w:t>
            </w:r>
            <w:r>
              <w:rPr>
                <w:rFonts w:hint="eastAsia"/>
                <w:color w:val="auto"/>
                <w:kern w:val="0"/>
                <w:sz w:val="24"/>
                <w:highlight w:val="none"/>
              </w:rPr>
              <w:t>规划环评审查机关：河北省生态环境厅</w:t>
            </w:r>
          </w:p>
          <w:p w14:paraId="11DB9625">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color w:val="auto"/>
                <w:kern w:val="0"/>
                <w:sz w:val="24"/>
                <w:highlight w:val="none"/>
              </w:rPr>
            </w:pPr>
            <w:r>
              <w:rPr>
                <w:rFonts w:hint="eastAsia"/>
                <w:color w:val="auto"/>
                <w:kern w:val="0"/>
                <w:sz w:val="24"/>
                <w:highlight w:val="none"/>
                <w:lang w:eastAsia="zh-CN"/>
              </w:rPr>
              <w:t>⑶</w:t>
            </w:r>
            <w:r>
              <w:rPr>
                <w:rFonts w:hint="eastAsia"/>
                <w:color w:val="auto"/>
                <w:kern w:val="0"/>
                <w:sz w:val="24"/>
                <w:highlight w:val="none"/>
              </w:rPr>
              <w:t>审查文件名称： 河北省生态环境厅关于《唐山海港经济开发区总体规划修编 (2022-2030年</w:t>
            </w:r>
            <w:r>
              <w:rPr>
                <w:rFonts w:hint="eastAsia"/>
                <w:color w:val="auto"/>
                <w:kern w:val="0"/>
                <w:sz w:val="24"/>
                <w:highlight w:val="none"/>
                <w:lang w:eastAsia="zh-CN"/>
              </w:rPr>
              <w:t>）</w:t>
            </w:r>
            <w:r>
              <w:rPr>
                <w:rFonts w:hint="eastAsia"/>
                <w:color w:val="auto"/>
                <w:kern w:val="0"/>
                <w:sz w:val="24"/>
                <w:highlight w:val="none"/>
              </w:rPr>
              <w:t>环境影响报告书》的审查意见</w:t>
            </w:r>
          </w:p>
          <w:p w14:paraId="74AE6232">
            <w:pPr>
              <w:keepNext w:val="0"/>
              <w:keepLines w:val="0"/>
              <w:pageBreakBefore w:val="0"/>
              <w:widowControl w:val="0"/>
              <w:kinsoku/>
              <w:wordWrap/>
              <w:overflowPunct/>
              <w:topLinePunct w:val="0"/>
              <w:bidi w:val="0"/>
              <w:spacing w:line="480" w:lineRule="exact"/>
              <w:textAlignment w:val="auto"/>
              <w:rPr>
                <w:rFonts w:eastAsiaTheme="minorEastAsia"/>
                <w:color w:val="auto"/>
                <w:kern w:val="0"/>
                <w:sz w:val="24"/>
                <w:highlight w:val="none"/>
              </w:rPr>
            </w:pPr>
            <w:r>
              <w:rPr>
                <w:rFonts w:hint="eastAsia"/>
                <w:color w:val="auto"/>
                <w:kern w:val="0"/>
                <w:sz w:val="24"/>
                <w:highlight w:val="none"/>
                <w:lang w:eastAsia="zh-CN"/>
              </w:rPr>
              <w:t>⑷</w:t>
            </w:r>
            <w:r>
              <w:rPr>
                <w:rFonts w:hint="eastAsia"/>
                <w:color w:val="auto"/>
                <w:kern w:val="0"/>
                <w:sz w:val="24"/>
                <w:highlight w:val="none"/>
              </w:rPr>
              <w:t>审查意见文号：冀环环评函〔20</w:t>
            </w:r>
            <w:r>
              <w:rPr>
                <w:rFonts w:hint="eastAsia"/>
                <w:color w:val="auto"/>
                <w:kern w:val="0"/>
                <w:sz w:val="24"/>
                <w:highlight w:val="none"/>
                <w:lang w:val="en-US" w:eastAsia="zh-CN"/>
              </w:rPr>
              <w:t>24</w:t>
            </w:r>
            <w:r>
              <w:rPr>
                <w:color w:val="auto"/>
                <w:kern w:val="0"/>
                <w:sz w:val="24"/>
                <w:highlight w:val="none"/>
              </w:rPr>
              <w:t>〕</w:t>
            </w:r>
            <w:r>
              <w:rPr>
                <w:rFonts w:hint="eastAsia"/>
                <w:color w:val="auto"/>
                <w:kern w:val="0"/>
                <w:sz w:val="24"/>
                <w:highlight w:val="none"/>
              </w:rPr>
              <w:t>1</w:t>
            </w:r>
            <w:r>
              <w:rPr>
                <w:rFonts w:hint="eastAsia"/>
                <w:color w:val="auto"/>
                <w:kern w:val="0"/>
                <w:sz w:val="24"/>
                <w:highlight w:val="none"/>
                <w:lang w:val="en-US" w:eastAsia="zh-CN"/>
              </w:rPr>
              <w:t>387</w:t>
            </w:r>
            <w:r>
              <w:rPr>
                <w:rFonts w:hint="eastAsia"/>
                <w:color w:val="auto"/>
                <w:kern w:val="0"/>
                <w:sz w:val="24"/>
                <w:highlight w:val="none"/>
              </w:rPr>
              <w:t>号</w:t>
            </w:r>
          </w:p>
        </w:tc>
      </w:tr>
      <w:tr w14:paraId="1D552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56C73E39">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规划及规划环境影响评价符合性分析</w:t>
            </w:r>
          </w:p>
        </w:tc>
        <w:tc>
          <w:tcPr>
            <w:tcW w:w="4099" w:type="pct"/>
            <w:gridSpan w:val="3"/>
            <w:vAlign w:val="center"/>
          </w:tcPr>
          <w:p w14:paraId="5B2A52B7">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rFonts w:hint="eastAsia"/>
                <w:b/>
                <w:bCs/>
                <w:color w:val="auto"/>
                <w:kern w:val="0"/>
                <w:sz w:val="24"/>
                <w:highlight w:val="none"/>
              </w:rPr>
              <w:t>1、与规划符合性分析</w:t>
            </w:r>
          </w:p>
          <w:p w14:paraId="5B21A5A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highlight w:val="none"/>
                <w:lang w:eastAsia="zh-CN"/>
              </w:rPr>
              <w:t>唐山海港开发</w:t>
            </w:r>
            <w:r>
              <w:rPr>
                <w:rFonts w:hint="eastAsia"/>
                <w:color w:val="auto"/>
                <w:kern w:val="0"/>
                <w:sz w:val="24"/>
                <w:highlight w:val="none"/>
                <w:lang w:val="en-US" w:eastAsia="zh-CN"/>
              </w:rPr>
              <w:t>区</w:t>
            </w:r>
            <w:r>
              <w:rPr>
                <w:rFonts w:hint="eastAsia"/>
                <w:color w:val="auto"/>
                <w:kern w:val="0"/>
                <w:sz w:val="24"/>
                <w:highlight w:val="none"/>
              </w:rPr>
              <w:t>位于唐山市东南部，规划修编后，开发区面积67.42km²。其中海域1.056km²</w:t>
            </w:r>
            <w:r>
              <w:rPr>
                <w:rFonts w:hint="eastAsia"/>
                <w:color w:val="auto"/>
                <w:kern w:val="0"/>
                <w:sz w:val="24"/>
                <w:highlight w:val="none"/>
                <w:lang w:eastAsia="zh-CN"/>
              </w:rPr>
              <w:t>（</w:t>
            </w:r>
            <w:r>
              <w:rPr>
                <w:rFonts w:hint="eastAsia"/>
                <w:color w:val="auto"/>
                <w:kern w:val="0"/>
                <w:sz w:val="24"/>
                <w:highlight w:val="none"/>
              </w:rPr>
              <w:t>均为</w:t>
            </w:r>
            <w:r>
              <w:rPr>
                <w:rFonts w:hint="eastAsia"/>
                <w:color w:val="auto"/>
                <w:kern w:val="0"/>
                <w:sz w:val="24"/>
              </w:rPr>
              <w:t>省政府批复范围，人工海岸线长度3.14千米</w:t>
            </w:r>
            <w:r>
              <w:rPr>
                <w:rFonts w:hint="eastAsia"/>
                <w:color w:val="auto"/>
                <w:kern w:val="0"/>
                <w:sz w:val="24"/>
                <w:lang w:eastAsia="zh-CN"/>
              </w:rPr>
              <w:t>），</w:t>
            </w:r>
            <w:r>
              <w:rPr>
                <w:rFonts w:hint="eastAsia"/>
                <w:color w:val="auto"/>
                <w:kern w:val="0"/>
                <w:sz w:val="24"/>
              </w:rPr>
              <w:t>陆域66.364km²</w:t>
            </w:r>
            <w:r>
              <w:rPr>
                <w:rFonts w:hint="eastAsia"/>
                <w:color w:val="auto"/>
                <w:kern w:val="0"/>
                <w:sz w:val="24"/>
                <w:lang w:eastAsia="zh-CN"/>
              </w:rPr>
              <w:t>（</w:t>
            </w:r>
            <w:r>
              <w:rPr>
                <w:rFonts w:hint="eastAsia"/>
                <w:color w:val="auto"/>
                <w:kern w:val="0"/>
                <w:sz w:val="24"/>
              </w:rPr>
              <w:t>陆域与海域以2021年修测海岸线为准</w:t>
            </w:r>
            <w:r>
              <w:rPr>
                <w:rFonts w:hint="eastAsia"/>
                <w:color w:val="auto"/>
                <w:kern w:val="0"/>
                <w:sz w:val="24"/>
                <w:lang w:eastAsia="zh-CN"/>
              </w:rPr>
              <w:t>）</w:t>
            </w:r>
            <w:r>
              <w:rPr>
                <w:rFonts w:hint="eastAsia"/>
                <w:color w:val="auto"/>
                <w:kern w:val="0"/>
                <w:sz w:val="24"/>
              </w:rPr>
              <w:t>。陆域范围为：北至沿海公路新线，东至唐港高速公路及延长线，西至小河子，南至9号路及渤海。其中62.917km²位于城镇开发边界内，3.447km²位于城镇开发边界外。</w:t>
            </w:r>
          </w:p>
          <w:p w14:paraId="519902F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规划构筑“一心三区”的组团式空间布局结构。</w:t>
            </w:r>
          </w:p>
          <w:p w14:paraId="5AD408B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“一心”</w:t>
            </w:r>
            <w:r>
              <w:rPr>
                <w:rFonts w:hint="eastAsia"/>
                <w:color w:val="auto"/>
                <w:kern w:val="0"/>
                <w:sz w:val="24"/>
                <w:lang w:eastAsia="zh-CN"/>
              </w:rPr>
              <w:t>：</w:t>
            </w:r>
            <w:r>
              <w:rPr>
                <w:rFonts w:hint="eastAsia"/>
                <w:color w:val="auto"/>
                <w:kern w:val="0"/>
                <w:sz w:val="24"/>
              </w:rPr>
              <w:t>指在文化大街西段的湖林新河周边一带，充分利用湖林新河的良 好自然景观，打造集行政、商业、文化、体育等功能的综合性公共服务中心，带动生活服务用地向西、向北发展，对接曹妃甸新城。</w:t>
            </w:r>
          </w:p>
          <w:p w14:paraId="0D198C2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“三区”</w:t>
            </w:r>
            <w:r>
              <w:rPr>
                <w:rFonts w:hint="eastAsia"/>
                <w:color w:val="auto"/>
                <w:kern w:val="0"/>
                <w:sz w:val="24"/>
                <w:lang w:eastAsia="zh-CN"/>
              </w:rPr>
              <w:t>：</w:t>
            </w:r>
            <w:r>
              <w:rPr>
                <w:rFonts w:hint="eastAsia"/>
                <w:color w:val="auto"/>
                <w:kern w:val="0"/>
                <w:sz w:val="24"/>
              </w:rPr>
              <w:t>指结合开发区发展特点、现状基础和区域功能格局，进一步构建功能较集中的组团式布局，形成三大片区：工业片区、物流片区和办公金融服务区。工业片区与办公金融服务区以海滨路和海港大道为界，物流片区与办公金融服务区以港兴大街为界。</w:t>
            </w:r>
          </w:p>
          <w:p w14:paraId="00D2773B">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rPr>
            </w:pPr>
            <w:r>
              <w:rPr>
                <w:rFonts w:hint="eastAsia"/>
                <w:color w:val="auto"/>
                <w:kern w:val="0"/>
                <w:sz w:val="24"/>
              </w:rPr>
              <w:t>工业片区以兴业大街、港兴大街、海港大路及二排干等为界形成四个工业组团：西北部组团主要发展新兴产业，以一类、二类工业为主，中部组团重点发展机械制造及建材产业，以一类、二类工业为主；东北部组团重点发展钢材及钢材深加工，以三类工业为主；东部组团重点发展化工产业，以三类工业为主。</w:t>
            </w:r>
          </w:p>
          <w:p w14:paraId="2B5A463F">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left"/>
              <w:textAlignment w:val="auto"/>
              <w:rPr>
                <w:color w:val="auto"/>
                <w:kern w:val="0"/>
                <w:sz w:val="24"/>
                <w:highlight w:val="none"/>
              </w:rPr>
            </w:pPr>
            <w:r>
              <w:rPr>
                <w:rFonts w:hint="eastAsia"/>
                <w:color w:val="auto"/>
                <w:kern w:val="0"/>
                <w:sz w:val="24"/>
                <w:highlight w:val="none"/>
              </w:rPr>
              <w:t>本项目</w:t>
            </w:r>
            <w:r>
              <w:rPr>
                <w:rFonts w:hint="eastAsia"/>
                <w:color w:val="auto"/>
                <w:kern w:val="0"/>
                <w:sz w:val="24"/>
                <w:highlight w:val="none"/>
                <w:lang w:val="en-US" w:eastAsia="zh-CN"/>
              </w:rPr>
              <w:t>主要为煤炭储存、集运项目，</w:t>
            </w:r>
            <w:r>
              <w:rPr>
                <w:rFonts w:hint="eastAsia"/>
                <w:color w:val="auto"/>
                <w:kern w:val="0"/>
                <w:sz w:val="24"/>
                <w:highlight w:val="none"/>
              </w:rPr>
              <w:t>位于</w:t>
            </w:r>
            <w:r>
              <w:rPr>
                <w:rFonts w:hint="eastAsia"/>
                <w:color w:val="auto"/>
                <w:kern w:val="0"/>
                <w:sz w:val="24"/>
                <w:highlight w:val="none"/>
                <w:lang w:eastAsia="zh-CN"/>
              </w:rPr>
              <w:t>加工物流区</w:t>
            </w:r>
            <w:r>
              <w:rPr>
                <w:rFonts w:hint="eastAsia"/>
                <w:color w:val="auto"/>
                <w:kern w:val="0"/>
                <w:sz w:val="24"/>
                <w:highlight w:val="none"/>
                <w:lang w:val="en-US" w:eastAsia="zh-CN"/>
              </w:rPr>
              <w:t>内</w:t>
            </w:r>
            <w:r>
              <w:rPr>
                <w:rFonts w:hint="eastAsia"/>
                <w:color w:val="auto"/>
                <w:kern w:val="0"/>
                <w:sz w:val="24"/>
                <w:highlight w:val="none"/>
              </w:rPr>
              <w:t>，符合园区产业定位。本项目在园区中的位置见附图</w:t>
            </w:r>
            <w:r>
              <w:rPr>
                <w:rFonts w:hint="eastAsia"/>
                <w:color w:val="auto"/>
                <w:kern w:val="0"/>
                <w:sz w:val="24"/>
                <w:highlight w:val="none"/>
                <w:lang w:val="en-US" w:eastAsia="zh-CN"/>
              </w:rPr>
              <w:t>3</w:t>
            </w:r>
            <w:r>
              <w:rPr>
                <w:rFonts w:hint="eastAsia"/>
                <w:color w:val="auto"/>
                <w:kern w:val="0"/>
                <w:sz w:val="24"/>
                <w:highlight w:val="none"/>
                <w:lang w:eastAsia="zh-CN"/>
              </w:rPr>
              <w:t>、</w:t>
            </w:r>
            <w:r>
              <w:rPr>
                <w:rFonts w:hint="eastAsia"/>
                <w:color w:val="auto"/>
                <w:kern w:val="0"/>
                <w:sz w:val="24"/>
                <w:highlight w:val="none"/>
                <w:lang w:val="en-US" w:eastAsia="zh-CN"/>
              </w:rPr>
              <w:t>附图4</w:t>
            </w:r>
            <w:r>
              <w:rPr>
                <w:rFonts w:hint="eastAsia"/>
                <w:color w:val="auto"/>
                <w:kern w:val="0"/>
                <w:sz w:val="24"/>
                <w:highlight w:val="none"/>
              </w:rPr>
              <w:t>。</w:t>
            </w:r>
          </w:p>
          <w:p w14:paraId="41DBC0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b/>
                <w:bCs/>
                <w:color w:val="auto"/>
                <w:kern w:val="0"/>
                <w:sz w:val="24"/>
                <w:highlight w:val="none"/>
              </w:rPr>
              <w:t>与规划环评</w:t>
            </w:r>
            <w:r>
              <w:rPr>
                <w:rFonts w:hint="eastAsia"/>
                <w:b/>
                <w:bCs/>
                <w:color w:val="auto"/>
                <w:kern w:val="0"/>
                <w:sz w:val="24"/>
                <w:highlight w:val="none"/>
                <w:lang w:val="en-US" w:eastAsia="zh-CN"/>
              </w:rPr>
              <w:t>结论</w:t>
            </w:r>
            <w:r>
              <w:rPr>
                <w:b/>
                <w:bCs/>
                <w:color w:val="auto"/>
                <w:kern w:val="0"/>
                <w:sz w:val="24"/>
                <w:highlight w:val="none"/>
              </w:rPr>
              <w:t>符合性分析</w:t>
            </w:r>
          </w:p>
          <w:p w14:paraId="5CD714C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jc w:val="left"/>
              <w:textAlignment w:val="auto"/>
              <w:rPr>
                <w:rFonts w:hint="eastAsia"/>
                <w:color w:val="auto"/>
                <w:kern w:val="0"/>
                <w:sz w:val="24"/>
                <w:highlight w:val="none"/>
              </w:rPr>
            </w:pPr>
            <w:r>
              <w:rPr>
                <w:rFonts w:hint="eastAsia"/>
                <w:color w:val="auto"/>
                <w:kern w:val="0"/>
                <w:sz w:val="24"/>
                <w:highlight w:val="none"/>
              </w:rPr>
              <w:t>本项目</w:t>
            </w:r>
            <w:r>
              <w:rPr>
                <w:rFonts w:hint="eastAsia"/>
                <w:color w:val="auto"/>
                <w:kern w:val="0"/>
                <w:sz w:val="24"/>
                <w:highlight w:val="none"/>
                <w:lang w:val="en-US" w:eastAsia="zh-CN"/>
              </w:rPr>
              <w:t>为物料储存、集运项目，</w:t>
            </w:r>
            <w:r>
              <w:rPr>
                <w:rFonts w:hint="eastAsia"/>
                <w:color w:val="auto"/>
                <w:kern w:val="0"/>
                <w:sz w:val="24"/>
                <w:highlight w:val="none"/>
              </w:rPr>
              <w:t>位于</w:t>
            </w:r>
            <w:r>
              <w:rPr>
                <w:rFonts w:hint="eastAsia"/>
                <w:color w:val="auto"/>
                <w:kern w:val="0"/>
                <w:sz w:val="24"/>
                <w:highlight w:val="none"/>
                <w:lang w:eastAsia="zh-CN"/>
              </w:rPr>
              <w:t>加工物流区</w:t>
            </w:r>
            <w:r>
              <w:rPr>
                <w:rFonts w:hint="eastAsia"/>
                <w:color w:val="auto"/>
                <w:kern w:val="0"/>
                <w:sz w:val="24"/>
                <w:highlight w:val="none"/>
              </w:rPr>
              <w:t>，本项目</w:t>
            </w:r>
            <w:r>
              <w:rPr>
                <w:rFonts w:hint="eastAsia"/>
                <w:color w:val="auto"/>
                <w:kern w:val="0"/>
                <w:sz w:val="24"/>
                <w:highlight w:val="none"/>
                <w:lang w:val="en-US" w:eastAsia="zh-CN"/>
              </w:rPr>
              <w:t>与规划环评结论符合性分析见下表</w:t>
            </w:r>
            <w:r>
              <w:rPr>
                <w:rFonts w:hint="eastAsia"/>
                <w:color w:val="auto"/>
                <w:kern w:val="0"/>
                <w:sz w:val="24"/>
                <w:highlight w:val="none"/>
              </w:rPr>
              <w:t>。</w:t>
            </w:r>
          </w:p>
          <w:p w14:paraId="76FB8A6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ascii="Times New Roman" w:hAnsi="Times New Roman" w:eastAsia="宋体" w:cs="Times New Roman"/>
                <w:b/>
                <w:bCs/>
                <w:color w:val="auto"/>
                <w:kern w:val="0"/>
                <w:sz w:val="24"/>
                <w:highlight w:val="none"/>
              </w:rPr>
            </w:pPr>
            <w:r>
              <w:rPr>
                <w:b/>
                <w:bCs/>
                <w:color w:val="auto"/>
                <w:kern w:val="0"/>
                <w:sz w:val="24"/>
                <w:highlight w:val="none"/>
              </w:rPr>
              <w:t>表</w:t>
            </w:r>
            <w:r>
              <w:rPr>
                <w:rFonts w:hint="eastAsia"/>
                <w:b/>
                <w:bCs/>
                <w:color w:val="auto"/>
                <w:kern w:val="0"/>
                <w:sz w:val="24"/>
                <w:highlight w:val="none"/>
              </w:rPr>
              <w:t>1</w:t>
            </w:r>
            <w:r>
              <w:rPr>
                <w:b/>
                <w:bCs/>
                <w:color w:val="auto"/>
                <w:kern w:val="0"/>
                <w:sz w:val="24"/>
                <w:highlight w:val="none"/>
              </w:rPr>
              <w:t xml:space="preserve">  </w:t>
            </w:r>
            <w:r>
              <w:rPr>
                <w:rFonts w:ascii="Times New Roman" w:hAnsi="Times New Roman" w:eastAsia="宋体" w:cs="Times New Roman"/>
                <w:b/>
                <w:bCs/>
                <w:color w:val="auto"/>
                <w:kern w:val="0"/>
                <w:sz w:val="24"/>
                <w:highlight w:val="none"/>
              </w:rPr>
              <w:t>与</w:t>
            </w:r>
            <w:r>
              <w:rPr>
                <w:rFonts w:hint="eastAsia" w:ascii="Times New Roman" w:hAnsi="Times New Roman" w:eastAsia="宋体" w:cs="Times New Roman"/>
                <w:b/>
                <w:bCs/>
                <w:color w:val="auto"/>
                <w:kern w:val="0"/>
                <w:sz w:val="24"/>
                <w:highlight w:val="none"/>
                <w:lang w:val="en-US" w:eastAsia="zh-CN"/>
              </w:rPr>
              <w:t>规划环评结论符合性分析</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36"/>
              <w:gridCol w:w="3665"/>
              <w:gridCol w:w="1502"/>
              <w:gridCol w:w="637"/>
            </w:tblGrid>
            <w:tr w14:paraId="1FD4F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1" w:type="pct"/>
                  <w:gridSpan w:val="3"/>
                  <w:noWrap w:val="0"/>
                  <w:vAlign w:val="center"/>
                </w:tcPr>
                <w:p w14:paraId="07DD4E97">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lang w:val="en-US" w:eastAsia="zh-CN"/>
                    </w:rPr>
                    <w:t>规划环评结论</w:t>
                  </w:r>
                  <w:r>
                    <w:rPr>
                      <w:color w:val="0000FF"/>
                      <w:sz w:val="21"/>
                      <w:szCs w:val="21"/>
                      <w:highlight w:val="none"/>
                    </w:rPr>
                    <w:t>中要求</w:t>
                  </w:r>
                </w:p>
              </w:tc>
              <w:tc>
                <w:tcPr>
                  <w:tcW w:w="1045" w:type="pct"/>
                  <w:noWrap w:val="0"/>
                  <w:vAlign w:val="center"/>
                </w:tcPr>
                <w:p w14:paraId="4F2A611B">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项目建设情况</w:t>
                  </w:r>
                </w:p>
              </w:tc>
              <w:tc>
                <w:tcPr>
                  <w:tcW w:w="443" w:type="pct"/>
                  <w:noWrap w:val="0"/>
                  <w:vAlign w:val="center"/>
                </w:tcPr>
                <w:p w14:paraId="3DE69219">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符合性</w:t>
                  </w:r>
                </w:p>
              </w:tc>
            </w:tr>
            <w:tr w14:paraId="0AA4C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pct"/>
                  <w:vMerge w:val="restart"/>
                  <w:noWrap w:val="0"/>
                  <w:vAlign w:val="center"/>
                </w:tcPr>
                <w:p w14:paraId="1A1F842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rPr>
                    <w:t>资源承载力分析</w:t>
                  </w:r>
                </w:p>
              </w:tc>
              <w:tc>
                <w:tcPr>
                  <w:tcW w:w="512" w:type="pct"/>
                  <w:noWrap w:val="0"/>
                  <w:vAlign w:val="center"/>
                </w:tcPr>
                <w:p w14:paraId="557C4DD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color w:val="0000FF"/>
                      <w:sz w:val="21"/>
                      <w:szCs w:val="21"/>
                      <w:highlight w:val="none"/>
                      <w:lang w:val="en-US" w:eastAsia="zh-CN"/>
                    </w:rPr>
                    <w:t>水资源承载力分析</w:t>
                  </w:r>
                </w:p>
              </w:tc>
              <w:tc>
                <w:tcPr>
                  <w:tcW w:w="2549" w:type="pct"/>
                  <w:noWrap w:val="0"/>
                  <w:vAlign w:val="center"/>
                </w:tcPr>
                <w:p w14:paraId="6D12ED0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rFonts w:hint="eastAsia"/>
                      <w:color w:val="0000FF"/>
                      <w:sz w:val="21"/>
                      <w:szCs w:val="21"/>
                      <w:highlight w:val="none"/>
                    </w:rPr>
                    <w:t>开发区规划新鲜水由外调地表水、外调地下水、海水淡化水和再生水组成。开发区可利用水资源量均大于需水量，因此在充分利用污水处理厂再生水的前提下，区域水资源可以承载规划的实施。本评价要求开发区加快完善再生水回用管网建设，在满足用水水质要求的前提下，优先利用再生水。开发区产业的发展规模、进度和结构，应视不同时期的水资源条件具体调整，根据同期可用水资源量以及规划产业水耗情况对规划产业规模进行实时调整，做到“量水而行”。</w:t>
                  </w:r>
                </w:p>
              </w:tc>
              <w:tc>
                <w:tcPr>
                  <w:tcW w:w="1045" w:type="pct"/>
                  <w:noWrap w:val="0"/>
                  <w:vAlign w:val="center"/>
                </w:tcPr>
                <w:p w14:paraId="5DCBE9FC">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eastAsia="宋体"/>
                      <w:color w:val="0000FF"/>
                      <w:sz w:val="21"/>
                      <w:szCs w:val="21"/>
                      <w:highlight w:val="none"/>
                      <w:lang w:val="en-US" w:eastAsia="zh-CN"/>
                    </w:rPr>
                    <w:t>本项目洗车废水循环使用；初期雨水经沉淀后回用于厂区地面及道路降尘用水</w:t>
                  </w:r>
                </w:p>
              </w:tc>
              <w:tc>
                <w:tcPr>
                  <w:tcW w:w="443" w:type="pct"/>
                  <w:noWrap w:val="0"/>
                  <w:vAlign w:val="center"/>
                </w:tcPr>
                <w:p w14:paraId="7F4B9763">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0000FF"/>
                      <w:sz w:val="21"/>
                      <w:szCs w:val="21"/>
                      <w:highlight w:val="none"/>
                    </w:rPr>
                  </w:pPr>
                  <w:r>
                    <w:rPr>
                      <w:color w:val="0000FF"/>
                      <w:sz w:val="21"/>
                      <w:szCs w:val="21"/>
                      <w:highlight w:val="none"/>
                    </w:rPr>
                    <w:t>符合</w:t>
                  </w:r>
                </w:p>
              </w:tc>
            </w:tr>
            <w:tr w14:paraId="1ACB4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49" w:type="pct"/>
                  <w:vMerge w:val="continue"/>
                  <w:noWrap w:val="0"/>
                  <w:vAlign w:val="center"/>
                </w:tcPr>
                <w:p w14:paraId="32AEA94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p>
              </w:tc>
              <w:tc>
                <w:tcPr>
                  <w:tcW w:w="512" w:type="pct"/>
                  <w:noWrap w:val="0"/>
                  <w:vAlign w:val="center"/>
                </w:tcPr>
                <w:p w14:paraId="15D78CD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土壤资源承载力分析</w:t>
                  </w:r>
                </w:p>
              </w:tc>
              <w:tc>
                <w:tcPr>
                  <w:tcW w:w="2549" w:type="pct"/>
                  <w:noWrap w:val="0"/>
                  <w:vAlign w:val="center"/>
                </w:tcPr>
                <w:p w14:paraId="179A47C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土地承载力分析结果表明，开发区土地资源能够承载规划的实施。</w:t>
                  </w:r>
                </w:p>
              </w:tc>
              <w:tc>
                <w:tcPr>
                  <w:tcW w:w="1045" w:type="pct"/>
                  <w:noWrap w:val="0"/>
                  <w:vAlign w:val="center"/>
                </w:tcPr>
                <w:p w14:paraId="5EB774AD">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0000FF"/>
                      <w:sz w:val="21"/>
                      <w:szCs w:val="21"/>
                      <w:highlight w:val="none"/>
                      <w:lang w:val="en-US" w:eastAsia="zh-CN"/>
                    </w:rPr>
                  </w:pPr>
                  <w:r>
                    <w:rPr>
                      <w:rFonts w:hint="eastAsia" w:eastAsia="宋体"/>
                      <w:color w:val="0000FF"/>
                      <w:sz w:val="21"/>
                      <w:szCs w:val="21"/>
                      <w:highlight w:val="none"/>
                      <w:lang w:val="en-US" w:eastAsia="zh-CN"/>
                    </w:rPr>
                    <w:t>本项目租赁</w:t>
                  </w:r>
                  <w:r>
                    <w:rPr>
                      <w:rFonts w:hint="eastAsia"/>
                      <w:color w:val="0000FF"/>
                      <w:sz w:val="21"/>
                      <w:szCs w:val="21"/>
                      <w:highlight w:val="none"/>
                      <w:lang w:val="en-US" w:eastAsia="zh-CN"/>
                    </w:rPr>
                    <w:t>现有厂区内进行建设，不新增占地</w:t>
                  </w:r>
                </w:p>
              </w:tc>
              <w:tc>
                <w:tcPr>
                  <w:tcW w:w="443" w:type="pct"/>
                  <w:noWrap w:val="0"/>
                  <w:vAlign w:val="center"/>
                </w:tcPr>
                <w:p w14:paraId="654E8877">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r w14:paraId="5B42B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pct"/>
                  <w:vMerge w:val="restart"/>
                  <w:noWrap w:val="0"/>
                  <w:vAlign w:val="center"/>
                </w:tcPr>
                <w:p w14:paraId="748360B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lang w:val="en-US" w:eastAsia="zh-CN"/>
                    </w:rPr>
                    <w:t>环境</w:t>
                  </w:r>
                  <w:r>
                    <w:rPr>
                      <w:rFonts w:hint="eastAsia"/>
                      <w:color w:val="0000FF"/>
                      <w:sz w:val="21"/>
                      <w:szCs w:val="21"/>
                      <w:highlight w:val="none"/>
                    </w:rPr>
                    <w:t>承载力分析</w:t>
                  </w:r>
                </w:p>
              </w:tc>
              <w:tc>
                <w:tcPr>
                  <w:tcW w:w="512" w:type="pct"/>
                  <w:noWrap w:val="0"/>
                  <w:vAlign w:val="center"/>
                </w:tcPr>
                <w:p w14:paraId="751A50C7">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环境空气承载力分析</w:t>
                  </w:r>
                </w:p>
              </w:tc>
              <w:tc>
                <w:tcPr>
                  <w:tcW w:w="2549" w:type="pct"/>
                  <w:noWrap w:val="0"/>
                  <w:vAlign w:val="center"/>
                </w:tcPr>
                <w:p w14:paraId="205A4C0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开发区颗粒物、二氧化硫及二氧化氮环境容量可满足园区的发展，通过企业提升改造、减少无组织排放等改造措施对开发区污染物排放量进行了削减，污染物削减量大于规划期末开发区颗粒物排放量，能够满足规划实施。因此从环境容量角度分析，当地环境容量可支撑规划的实施。同时本评价建议开发区应结合“十四五”及后续总量控制目标和减排任务，并根据《关于进一步改革 和优化建设项目主要污染物排放总量核定工作的通知</w:t>
                  </w:r>
                  <w:r>
                    <w:rPr>
                      <w:rFonts w:hint="eastAsia"/>
                      <w:color w:val="0000FF"/>
                      <w:sz w:val="21"/>
                      <w:szCs w:val="21"/>
                      <w:highlight w:val="none"/>
                      <w:lang w:eastAsia="zh-CN"/>
                    </w:rPr>
                    <w:t>》《</w:t>
                  </w:r>
                  <w:r>
                    <w:rPr>
                      <w:rFonts w:hint="eastAsia"/>
                      <w:color w:val="0000FF"/>
                      <w:sz w:val="21"/>
                      <w:szCs w:val="21"/>
                      <w:highlight w:val="none"/>
                    </w:rPr>
                    <w:t>河北省排污权有偿使用和交易管理》等文件相关要求，加强污染物总量控制工作。</w:t>
                  </w:r>
                </w:p>
              </w:tc>
              <w:tc>
                <w:tcPr>
                  <w:tcW w:w="1045" w:type="pct"/>
                  <w:noWrap w:val="0"/>
                  <w:vAlign w:val="center"/>
                </w:tcPr>
                <w:p w14:paraId="5E888072">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本</w:t>
                  </w:r>
                  <w:r>
                    <w:rPr>
                      <w:color w:val="0000FF"/>
                      <w:sz w:val="21"/>
                      <w:szCs w:val="21"/>
                      <w:highlight w:val="none"/>
                    </w:rPr>
                    <w:t>项目</w:t>
                  </w:r>
                  <w:r>
                    <w:rPr>
                      <w:rFonts w:hint="eastAsia"/>
                      <w:color w:val="0000FF"/>
                      <w:kern w:val="0"/>
                      <w:sz w:val="21"/>
                      <w:szCs w:val="21"/>
                      <w:highlight w:val="none"/>
                      <w:lang w:val="en-US" w:eastAsia="zh-CN"/>
                    </w:rPr>
                    <w:t>为物料储存、集运项目</w:t>
                  </w:r>
                  <w:r>
                    <w:rPr>
                      <w:rFonts w:hint="eastAsia"/>
                      <w:color w:val="0000FF"/>
                      <w:sz w:val="21"/>
                      <w:szCs w:val="21"/>
                      <w:highlight w:val="none"/>
                    </w:rPr>
                    <w:t>，</w:t>
                  </w:r>
                  <w:r>
                    <w:rPr>
                      <w:rFonts w:hint="eastAsia"/>
                      <w:color w:val="0000FF"/>
                      <w:sz w:val="21"/>
                      <w:szCs w:val="21"/>
                      <w:highlight w:val="none"/>
                      <w:lang w:eastAsia="zh-CN"/>
                    </w:rPr>
                    <w:t>严格落实</w:t>
                  </w:r>
                  <w:r>
                    <w:rPr>
                      <w:rFonts w:hint="eastAsia"/>
                      <w:color w:val="0000FF"/>
                      <w:sz w:val="21"/>
                      <w:szCs w:val="21"/>
                      <w:highlight w:val="none"/>
                      <w:lang w:val="en-US" w:eastAsia="zh-CN"/>
                    </w:rPr>
                    <w:t>颗粒物</w:t>
                  </w:r>
                  <w:r>
                    <w:rPr>
                      <w:rFonts w:hint="eastAsia"/>
                      <w:color w:val="0000FF"/>
                      <w:sz w:val="21"/>
                      <w:szCs w:val="21"/>
                      <w:highlight w:val="none"/>
                      <w:lang w:eastAsia="zh-CN"/>
                    </w:rPr>
                    <w:t>倍量削减方案</w:t>
                  </w:r>
                </w:p>
              </w:tc>
              <w:tc>
                <w:tcPr>
                  <w:tcW w:w="443" w:type="pct"/>
                  <w:noWrap w:val="0"/>
                  <w:vAlign w:val="center"/>
                </w:tcPr>
                <w:p w14:paraId="7D46A5F1">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r w14:paraId="0B7F0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449" w:type="pct"/>
                  <w:vMerge w:val="continue"/>
                  <w:noWrap w:val="0"/>
                  <w:vAlign w:val="center"/>
                </w:tcPr>
                <w:p w14:paraId="2B6A678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p>
              </w:tc>
              <w:tc>
                <w:tcPr>
                  <w:tcW w:w="512" w:type="pct"/>
                  <w:noWrap w:val="0"/>
                  <w:vAlign w:val="center"/>
                </w:tcPr>
                <w:p w14:paraId="0BDD486B">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lang w:val="en-US" w:eastAsia="zh-CN"/>
                    </w:rPr>
                  </w:pPr>
                  <w:r>
                    <w:rPr>
                      <w:rFonts w:hint="eastAsia"/>
                      <w:color w:val="0000FF"/>
                      <w:sz w:val="21"/>
                      <w:szCs w:val="21"/>
                      <w:highlight w:val="none"/>
                      <w:lang w:val="en-US" w:eastAsia="zh-CN"/>
                    </w:rPr>
                    <w:t>水环境承载力分析</w:t>
                  </w:r>
                </w:p>
              </w:tc>
              <w:tc>
                <w:tcPr>
                  <w:tcW w:w="2549" w:type="pct"/>
                  <w:noWrap w:val="0"/>
                  <w:vAlign w:val="center"/>
                </w:tcPr>
                <w:p w14:paraId="6B465A66">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0000FF"/>
                      <w:sz w:val="21"/>
                      <w:szCs w:val="21"/>
                      <w:highlight w:val="none"/>
                    </w:rPr>
                  </w:pPr>
                  <w:r>
                    <w:rPr>
                      <w:rFonts w:hint="eastAsia"/>
                      <w:color w:val="0000FF"/>
                      <w:sz w:val="21"/>
                      <w:szCs w:val="21"/>
                      <w:highlight w:val="none"/>
                    </w:rPr>
                    <w:t>开发区规划实施后，通过提高再生水回用率等措施，降低废水外排量，可使开发区废水污染物排放量有所减少，有利于区域地表水环境质量的改善。同时本次评价建议应结合“十四五”及后续总量控制目标和减排任务，加强污染物总量控制工作。</w:t>
                  </w:r>
                </w:p>
              </w:tc>
              <w:tc>
                <w:tcPr>
                  <w:tcW w:w="1045" w:type="pct"/>
                  <w:noWrap w:val="0"/>
                  <w:vAlign w:val="center"/>
                </w:tcPr>
                <w:p w14:paraId="4807DCEF">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bCs/>
                      <w:color w:val="0000FF"/>
                      <w:sz w:val="21"/>
                      <w:szCs w:val="21"/>
                      <w:highlight w:val="none"/>
                    </w:rPr>
                    <w:t>本项目员工生活污水经园区管网排入海港经济开发区污水处理厂处理；喷淋用水直接蒸发；洗车废水循环使用，无废水直接排入地表水</w:t>
                  </w:r>
                </w:p>
              </w:tc>
              <w:tc>
                <w:tcPr>
                  <w:tcW w:w="443" w:type="pct"/>
                  <w:noWrap w:val="0"/>
                  <w:vAlign w:val="center"/>
                </w:tcPr>
                <w:p w14:paraId="76725D95">
                  <w:pPr>
                    <w:pStyle w:val="6"/>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0000FF"/>
                      <w:sz w:val="21"/>
                      <w:szCs w:val="21"/>
                      <w:highlight w:val="none"/>
                      <w:lang w:val="en-US" w:eastAsia="zh-CN"/>
                    </w:rPr>
                  </w:pPr>
                  <w:r>
                    <w:rPr>
                      <w:rFonts w:hint="eastAsia"/>
                      <w:color w:val="0000FF"/>
                      <w:sz w:val="21"/>
                      <w:szCs w:val="21"/>
                      <w:highlight w:val="none"/>
                      <w:lang w:val="en-US" w:eastAsia="zh-CN"/>
                    </w:rPr>
                    <w:t>符合</w:t>
                  </w:r>
                </w:p>
              </w:tc>
            </w:tr>
          </w:tbl>
          <w:p w14:paraId="48BBC7E7">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b/>
                <w:bCs/>
                <w:color w:val="auto"/>
                <w:kern w:val="0"/>
                <w:sz w:val="24"/>
                <w:highlight w:val="none"/>
              </w:rPr>
            </w:pPr>
            <w:r>
              <w:rPr>
                <w:rFonts w:hint="eastAsia"/>
                <w:b/>
                <w:bCs/>
                <w:color w:val="auto"/>
                <w:kern w:val="0"/>
                <w:sz w:val="24"/>
                <w:highlight w:val="none"/>
                <w:lang w:val="en-US" w:eastAsia="zh-CN"/>
              </w:rPr>
              <w:t>3</w:t>
            </w:r>
            <w:r>
              <w:rPr>
                <w:b/>
                <w:bCs/>
                <w:color w:val="auto"/>
                <w:kern w:val="0"/>
                <w:sz w:val="24"/>
                <w:highlight w:val="none"/>
              </w:rPr>
              <w:t>、与规划环评审查意见符合性分析</w:t>
            </w:r>
          </w:p>
          <w:p w14:paraId="574D759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color w:val="auto"/>
                <w:kern w:val="0"/>
                <w:sz w:val="24"/>
                <w:highlight w:val="none"/>
              </w:rPr>
            </w:pPr>
            <w:r>
              <w:rPr>
                <w:b/>
                <w:bCs/>
                <w:color w:val="auto"/>
                <w:kern w:val="0"/>
                <w:sz w:val="24"/>
                <w:highlight w:val="none"/>
              </w:rPr>
              <w:t>表</w:t>
            </w:r>
            <w:r>
              <w:rPr>
                <w:rFonts w:hint="eastAsia"/>
                <w:b/>
                <w:bCs/>
                <w:color w:val="auto"/>
                <w:kern w:val="0"/>
                <w:sz w:val="24"/>
                <w:highlight w:val="none"/>
                <w:lang w:val="en-US" w:eastAsia="zh-CN"/>
              </w:rPr>
              <w:t>2</w:t>
            </w:r>
            <w:r>
              <w:rPr>
                <w:b/>
                <w:bCs/>
                <w:color w:val="auto"/>
                <w:kern w:val="0"/>
                <w:sz w:val="24"/>
                <w:highlight w:val="none"/>
              </w:rPr>
              <w:t xml:space="preserve">  与河北唐山海港经济开发区规划环评审查意见符合性分析</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06"/>
              <w:gridCol w:w="1908"/>
              <w:gridCol w:w="475"/>
            </w:tblGrid>
            <w:tr w14:paraId="308B4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jc w:val="center"/>
              </w:trPr>
              <w:tc>
                <w:tcPr>
                  <w:tcW w:w="0" w:type="auto"/>
                  <w:shd w:val="clear" w:color="auto" w:fill="auto"/>
                  <w:noWrap w:val="0"/>
                  <w:vAlign w:val="center"/>
                </w:tcPr>
                <w:p w14:paraId="0B6E901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审查意见中要求</w:t>
                  </w:r>
                </w:p>
              </w:tc>
              <w:tc>
                <w:tcPr>
                  <w:tcW w:w="0" w:type="auto"/>
                  <w:shd w:val="clear" w:color="auto" w:fill="auto"/>
                  <w:noWrap w:val="0"/>
                  <w:vAlign w:val="center"/>
                </w:tcPr>
                <w:p w14:paraId="2A2C293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项目建设情况</w:t>
                  </w:r>
                </w:p>
              </w:tc>
              <w:tc>
                <w:tcPr>
                  <w:tcW w:w="0" w:type="auto"/>
                  <w:shd w:val="clear" w:color="auto" w:fill="auto"/>
                  <w:noWrap w:val="0"/>
                  <w:vAlign w:val="center"/>
                </w:tcPr>
                <w:p w14:paraId="552D402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color w:val="auto"/>
                      <w:sz w:val="21"/>
                      <w:szCs w:val="21"/>
                      <w:highlight w:val="none"/>
                    </w:rPr>
                    <w:t>符合性</w:t>
                  </w:r>
                </w:p>
              </w:tc>
            </w:tr>
            <w:tr w14:paraId="23F37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0" w:type="auto"/>
                  <w:shd w:val="clear" w:color="auto" w:fill="auto"/>
                  <w:noWrap w:val="0"/>
                  <w:vAlign w:val="center"/>
                </w:tcPr>
                <w:p w14:paraId="1E3D35F9">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落实国家及区域发展战略，坚持生态优先、提质增效，以生态环境质量改善为核心，做好与各级国土空间规划和生态环境分区管控体系的协调</w:t>
                  </w:r>
                  <w:r>
                    <w:rPr>
                      <w:rFonts w:hint="eastAsia" w:ascii="Times New Roman" w:hAnsi="Times New Roman" w:cs="Times New Roman"/>
                      <w:color w:val="auto"/>
                      <w:sz w:val="21"/>
                      <w:szCs w:val="21"/>
                      <w:highlight w:val="none"/>
                      <w:lang w:eastAsia="zh-CN"/>
                    </w:rPr>
                    <w:t>衔接</w:t>
                  </w:r>
                  <w:r>
                    <w:rPr>
                      <w:rFonts w:hint="default" w:ascii="Times New Roman" w:hAnsi="Times New Roman" w:eastAsia="宋体" w:cs="Times New Roman"/>
                      <w:color w:val="auto"/>
                      <w:sz w:val="21"/>
                      <w:szCs w:val="21"/>
                      <w:highlight w:val="none"/>
                    </w:rPr>
                    <w:t>，进一步优化《规划》布局、产业定位和发展规模。</w:t>
                  </w:r>
                </w:p>
              </w:tc>
              <w:tc>
                <w:tcPr>
                  <w:tcW w:w="0" w:type="auto"/>
                  <w:shd w:val="clear" w:color="auto" w:fill="auto"/>
                  <w:noWrap w:val="0"/>
                  <w:vAlign w:val="center"/>
                </w:tcPr>
                <w:p w14:paraId="07DA25C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rPr>
                    <w:t>主要为煤炭储存、集运项目，位于物流片区内，符合园区产业定位。</w:t>
                  </w:r>
                </w:p>
              </w:tc>
              <w:tc>
                <w:tcPr>
                  <w:tcW w:w="0" w:type="auto"/>
                  <w:shd w:val="clear" w:color="auto" w:fill="auto"/>
                  <w:noWrap w:val="0"/>
                  <w:vAlign w:val="center"/>
                </w:tcPr>
                <w:p w14:paraId="1DBF89E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sz w:val="21"/>
                      <w:szCs w:val="21"/>
                      <w:highlight w:val="none"/>
                      <w:lang w:val="en-US" w:eastAsia="zh-CN"/>
                    </w:rPr>
                  </w:pPr>
                  <w:r>
                    <w:rPr>
                      <w:color w:val="auto"/>
                      <w:sz w:val="21"/>
                      <w:szCs w:val="21"/>
                      <w:highlight w:val="none"/>
                    </w:rPr>
                    <w:t>符合</w:t>
                  </w:r>
                </w:p>
              </w:tc>
            </w:tr>
            <w:tr w14:paraId="38C3B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0" w:type="auto"/>
                  <w:shd w:val="clear" w:color="auto" w:fill="auto"/>
                  <w:noWrap w:val="0"/>
                  <w:vAlign w:val="center"/>
                </w:tcPr>
                <w:p w14:paraId="1583677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推进开发区绿色低碳转型发展，实现减污降碳协同增效目标。根据国家、地方碳减排和碳达峰行动方案及路径要求，进一步优化开发区能源结构、交通运输方式等《规划》内容。</w:t>
                  </w:r>
                </w:p>
              </w:tc>
              <w:tc>
                <w:tcPr>
                  <w:tcW w:w="0" w:type="auto"/>
                  <w:shd w:val="clear" w:color="auto" w:fill="auto"/>
                  <w:noWrap w:val="0"/>
                  <w:vAlign w:val="center"/>
                </w:tcPr>
                <w:p w14:paraId="002C9EF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cs="Times New Roman"/>
                      <w:color w:val="auto"/>
                      <w:sz w:val="21"/>
                      <w:szCs w:val="21"/>
                      <w:highlight w:val="none"/>
                      <w:lang w:val="en-US" w:eastAsia="zh-CN"/>
                    </w:rPr>
                    <w:t>运输车辆全部采用新能源车辆</w:t>
                  </w:r>
                </w:p>
              </w:tc>
              <w:tc>
                <w:tcPr>
                  <w:tcW w:w="0" w:type="auto"/>
                  <w:shd w:val="clear" w:color="auto" w:fill="auto"/>
                  <w:noWrap w:val="0"/>
                  <w:vAlign w:val="center"/>
                </w:tcPr>
                <w:p w14:paraId="66EED11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61CE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0" w:type="auto"/>
                  <w:shd w:val="clear" w:color="auto" w:fill="auto"/>
                  <w:noWrap w:val="0"/>
                  <w:vAlign w:val="center"/>
                </w:tcPr>
                <w:p w14:paraId="4F569C5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严格空间管控要求，进一步优化开发区空间布局。结合村庄、居住区、饮用水井及生态环境分区管控要求，设置梯度产业管控空间，与敏感点保持足够的防护距离，加强对涉VOC 项目的管控，减少污染物排放和突发事件可能对敏感目标环境产生的影响。城镇开发边界外的区域维持现状，不得进行开发建设</w:t>
                  </w:r>
                  <w:r>
                    <w:rPr>
                      <w:rFonts w:hint="eastAsia" w:ascii="Times New Roman" w:hAnsi="Times New Roman" w:cs="Times New Roman"/>
                      <w:color w:val="auto"/>
                      <w:sz w:val="21"/>
                      <w:szCs w:val="21"/>
                      <w:highlight w:val="none"/>
                      <w:lang w:eastAsia="zh-CN"/>
                    </w:rPr>
                    <w:t>。</w:t>
                  </w:r>
                </w:p>
              </w:tc>
              <w:tc>
                <w:tcPr>
                  <w:tcW w:w="0" w:type="auto"/>
                  <w:shd w:val="clear" w:color="auto" w:fill="auto"/>
                  <w:noWrap w:val="0"/>
                  <w:vAlign w:val="center"/>
                </w:tcPr>
                <w:p w14:paraId="1C6CA5B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val="en-US" w:eastAsia="zh-CN"/>
                    </w:rPr>
                    <w:t>500m范围内无敏感点，不涉及VOCs排放，</w:t>
                  </w:r>
                  <w:r>
                    <w:rPr>
                      <w:rFonts w:hint="default" w:ascii="Times New Roman" w:hAnsi="Times New Roman" w:cs="Times New Roman"/>
                      <w:color w:val="auto"/>
                      <w:sz w:val="21"/>
                      <w:szCs w:val="21"/>
                      <w:highlight w:val="none"/>
                    </w:rPr>
                    <w:t>各废气污染源经处理后均</w:t>
                  </w:r>
                  <w:r>
                    <w:rPr>
                      <w:rFonts w:hint="default" w:ascii="Times New Roman" w:hAnsi="Times New Roman" w:cs="Times New Roman"/>
                      <w:bCs/>
                      <w:color w:val="auto"/>
                      <w:sz w:val="21"/>
                      <w:szCs w:val="21"/>
                      <w:highlight w:val="none"/>
                    </w:rPr>
                    <w:t>可达标排放，对环境产生的影响较小</w:t>
                  </w:r>
                </w:p>
              </w:tc>
              <w:tc>
                <w:tcPr>
                  <w:tcW w:w="0" w:type="auto"/>
                  <w:shd w:val="clear" w:color="auto" w:fill="auto"/>
                  <w:noWrap w:val="0"/>
                  <w:vAlign w:val="center"/>
                </w:tcPr>
                <w:p w14:paraId="08FEA58B">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4D7E7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0FE66C1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highlight w:val="none"/>
                    </w:rPr>
                  </w:pPr>
                  <w:r>
                    <w:rPr>
                      <w:rFonts w:hint="eastAsia"/>
                      <w:color w:val="auto"/>
                      <w:sz w:val="21"/>
                      <w:szCs w:val="21"/>
                      <w:highlight w:val="none"/>
                    </w:rPr>
                    <w:t>严守环境质量底线，强化污染物排放总量管控。提升现有及入区企业污染治理设施及环境管理水平，严格落实开发区污染减排方案，通过实施工业企业提标改造、优化交通运输结构等措施，减少污染物排放量，确保区域环境质量持续改善。严格按照《关于加强重点行业建设项目区域削减措施监督管理的通知》</w:t>
                  </w:r>
                  <w:r>
                    <w:rPr>
                      <w:rFonts w:hint="eastAsia"/>
                      <w:color w:val="auto"/>
                      <w:sz w:val="21"/>
                      <w:szCs w:val="21"/>
                      <w:highlight w:val="none"/>
                      <w:lang w:eastAsia="zh-CN"/>
                    </w:rPr>
                    <w:t>，</w:t>
                  </w:r>
                  <w:r>
                    <w:rPr>
                      <w:rFonts w:hint="eastAsia"/>
                      <w:color w:val="auto"/>
                      <w:sz w:val="21"/>
                      <w:szCs w:val="21"/>
                      <w:highlight w:val="none"/>
                    </w:rPr>
                    <w:t>环境质量未达到国家或者地方环境质量标准之前，重点行业建设项目主要污染物实行区域倍量削减。严格按照《关于进一步加强  重金属污染防控的意见》及《河北省重金属污染防控工作方案》</w:t>
                  </w:r>
                  <w:r>
                    <w:rPr>
                      <w:rFonts w:hint="eastAsia"/>
                      <w:color w:val="auto"/>
                      <w:sz w:val="21"/>
                      <w:szCs w:val="21"/>
                      <w:highlight w:val="none"/>
                      <w:lang w:eastAsia="zh-CN"/>
                    </w:rPr>
                    <w:t>，</w:t>
                  </w:r>
                  <w:r>
                    <w:rPr>
                      <w:rFonts w:hint="eastAsia"/>
                      <w:color w:val="auto"/>
                      <w:sz w:val="21"/>
                      <w:szCs w:val="21"/>
                      <w:highlight w:val="none"/>
                    </w:rPr>
                    <w:t>落实重金属管控要求，第一类重金属车间口处理并满足相应排放标准后排入开发区集中式污水处理厂进一步处理。</w:t>
                  </w:r>
                </w:p>
              </w:tc>
              <w:tc>
                <w:tcPr>
                  <w:tcW w:w="0" w:type="auto"/>
                  <w:shd w:val="clear" w:color="auto" w:fill="auto"/>
                  <w:noWrap w:val="0"/>
                  <w:vAlign w:val="center"/>
                </w:tcPr>
                <w:p w14:paraId="1500F3C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sz w:val="21"/>
                      <w:szCs w:val="21"/>
                      <w:highlight w:val="none"/>
                      <w:lang w:eastAsia="zh-CN"/>
                    </w:rPr>
                  </w:pPr>
                  <w:r>
                    <w:rPr>
                      <w:color w:val="auto"/>
                      <w:sz w:val="21"/>
                      <w:szCs w:val="21"/>
                      <w:highlight w:val="none"/>
                    </w:rPr>
                    <w:t>项目</w:t>
                  </w:r>
                  <w:r>
                    <w:rPr>
                      <w:rFonts w:hint="eastAsia"/>
                      <w:color w:val="auto"/>
                      <w:kern w:val="0"/>
                      <w:sz w:val="21"/>
                      <w:szCs w:val="21"/>
                      <w:highlight w:val="none"/>
                      <w:lang w:val="en-US" w:eastAsia="zh-CN"/>
                    </w:rPr>
                    <w:t>主要为仓储集运类项目</w:t>
                  </w:r>
                  <w:r>
                    <w:rPr>
                      <w:color w:val="auto"/>
                      <w:sz w:val="21"/>
                      <w:szCs w:val="21"/>
                      <w:highlight w:val="none"/>
                    </w:rPr>
                    <w:t>，</w:t>
                  </w:r>
                  <w:r>
                    <w:rPr>
                      <w:rFonts w:hint="eastAsia"/>
                      <w:color w:val="auto"/>
                      <w:sz w:val="21"/>
                      <w:szCs w:val="21"/>
                      <w:highlight w:val="none"/>
                    </w:rPr>
                    <w:t>本项目满足规划环评文件提出的各项目入区要求，</w:t>
                  </w:r>
                  <w:r>
                    <w:rPr>
                      <w:rFonts w:hint="eastAsia"/>
                      <w:color w:val="auto"/>
                      <w:sz w:val="21"/>
                      <w:szCs w:val="21"/>
                      <w:highlight w:val="none"/>
                      <w:lang w:eastAsia="zh-CN"/>
                    </w:rPr>
                    <w:t>严格落实倍量削减方案</w:t>
                  </w:r>
                </w:p>
              </w:tc>
              <w:tc>
                <w:tcPr>
                  <w:tcW w:w="0" w:type="auto"/>
                  <w:shd w:val="clear" w:color="auto" w:fill="auto"/>
                  <w:noWrap w:val="0"/>
                  <w:vAlign w:val="center"/>
                </w:tcPr>
                <w:p w14:paraId="2F6833B1">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F48B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301B32A">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严格入区项目生态环境准入，推动绿色低碳高质量发展。严格落实《报告书》提出的开发区生态环境准入要求和与规划不符的现有企业环境管理要求。“两高”产能维持现状不得扩大， 其中炼焦产能708万吨/年、炼铁产能896万吨/年、炼钢产能810 万吨/年、水泥粉磨产能440万吨/年、卫生陶瓷产能400万件/年、 火力发电总装机容量1200MW、热电联产总装机容量50MW。化工产 业禁止发展农药制造及炸药、火工及焰火产品制造，仅在省政府 认定的化工集中区内发展；建材产业禁止发展水泥熟料、平板玻璃制造、石棉制品制造；新兴产业区禁止新建铸造、专业电镀等表面处理工艺、含有毒有害废气污染物的项目；加工物流区港兴大街以北仅发展仓储物流项目，不得新增有毒有害和易燃易爆危险物质存储项目。开发区不断提高现有企业清洁生产水平，促进开发区产业转型升级与生态环境保护、人居环境安全相协调</w:t>
                  </w:r>
                </w:p>
              </w:tc>
              <w:tc>
                <w:tcPr>
                  <w:tcW w:w="0" w:type="auto"/>
                  <w:shd w:val="clear" w:color="auto" w:fill="auto"/>
                  <w:noWrap w:val="0"/>
                  <w:vAlign w:val="center"/>
                </w:tcPr>
                <w:p w14:paraId="034B026F">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本项目</w:t>
                  </w:r>
                  <w:r>
                    <w:rPr>
                      <w:rFonts w:hint="eastAsia" w:ascii="Times New Roman" w:hAnsi="Times New Roman" w:cs="Times New Roman"/>
                      <w:color w:val="auto"/>
                      <w:sz w:val="21"/>
                      <w:szCs w:val="21"/>
                      <w:highlight w:val="none"/>
                      <w:lang w:eastAsia="zh-CN"/>
                    </w:rPr>
                    <w:t>不属于“两高”类项目，项目在加工物料区内，不涉及有毒有害和易燃易爆物质存储</w:t>
                  </w:r>
                </w:p>
              </w:tc>
              <w:tc>
                <w:tcPr>
                  <w:tcW w:w="0" w:type="auto"/>
                  <w:shd w:val="clear" w:color="auto" w:fill="auto"/>
                  <w:noWrap w:val="0"/>
                  <w:vAlign w:val="center"/>
                </w:tcPr>
                <w:p w14:paraId="1256F36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1C3DD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54C4C0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统筹基础设施建设，严格落实建设内容及时限。加快海水淡化水及再生水供水设施及配套管网建设，地下水使用不破许可取水量，抓紧关停自备水井，禁止新增自备水井。根据供热需求，优化供热规划规模和形式，充分利用工业余热资源，禁止新建分散燃煤、生物质供热设施。</w:t>
                  </w:r>
                </w:p>
              </w:tc>
              <w:tc>
                <w:tcPr>
                  <w:tcW w:w="0" w:type="auto"/>
                  <w:shd w:val="clear" w:color="auto" w:fill="auto"/>
                  <w:noWrap w:val="0"/>
                  <w:vAlign w:val="center"/>
                </w:tcPr>
                <w:p w14:paraId="38A9FEB0">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本项目用水来自园区供水管网，车间不采暖，厂区无供热设施</w:t>
                  </w:r>
                </w:p>
              </w:tc>
              <w:tc>
                <w:tcPr>
                  <w:tcW w:w="0" w:type="auto"/>
                  <w:shd w:val="clear" w:color="auto" w:fill="auto"/>
                  <w:noWrap w:val="0"/>
                  <w:vAlign w:val="center"/>
                </w:tcPr>
                <w:p w14:paraId="7989FB7C">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7167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3B059CE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优化运输方式，落实应急运输响应方案。鼓励开发区 提高廊道、铁路、水路运输及清洁能源汽车比例，减轻运输产生的不利环境影响。结合秋冬行业错峰生产和重污染天气应急响应 要求，在黄色及以上重污染天气预警期间，重点用车企业实施应急运输响应。</w:t>
                  </w:r>
                </w:p>
              </w:tc>
              <w:tc>
                <w:tcPr>
                  <w:tcW w:w="0" w:type="auto"/>
                  <w:shd w:val="clear" w:color="auto" w:fill="auto"/>
                  <w:noWrap w:val="0"/>
                  <w:vAlign w:val="center"/>
                </w:tcPr>
                <w:p w14:paraId="7B7A7AC3">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项目运输车辆全部采用新能源车辆</w:t>
                  </w:r>
                </w:p>
              </w:tc>
              <w:tc>
                <w:tcPr>
                  <w:tcW w:w="0" w:type="auto"/>
                  <w:shd w:val="clear" w:color="auto" w:fill="auto"/>
                  <w:noWrap w:val="0"/>
                  <w:vAlign w:val="center"/>
                </w:tcPr>
                <w:p w14:paraId="7CED6C8B">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690DB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4877F852">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健全完善环境监测体系，强化环境风险防范。</w:t>
                  </w:r>
                  <w:r>
                    <w:rPr>
                      <w:rFonts w:hint="eastAsia" w:ascii="Times New Roman" w:hAnsi="Times New Roman" w:cs="Times New Roman"/>
                      <w:color w:val="auto"/>
                      <w:sz w:val="21"/>
                      <w:szCs w:val="21"/>
                      <w:highlight w:val="none"/>
                      <w:lang w:eastAsia="zh-CN"/>
                    </w:rPr>
                    <w:t>健全完善</w:t>
                  </w:r>
                  <w:r>
                    <w:rPr>
                      <w:rFonts w:hint="default" w:ascii="Times New Roman" w:hAnsi="Times New Roman" w:cs="Times New Roman"/>
                      <w:color w:val="auto"/>
                      <w:sz w:val="21"/>
                      <w:szCs w:val="21"/>
                      <w:highlight w:val="none"/>
                    </w:rPr>
                    <w:t>包括环境空气、海洋、地表水、地下水、土壤等环境要素的监控体系；强化开发区风险防控体系的建立，健全应急响应联动机制。严格落实《报告书》提出的各项环境风险防控措施，提升环境风险防控和应急响应能力，保障区域环境安全。</w:t>
                  </w:r>
                </w:p>
              </w:tc>
              <w:tc>
                <w:tcPr>
                  <w:tcW w:w="0" w:type="auto"/>
                  <w:shd w:val="clear" w:color="auto" w:fill="auto"/>
                  <w:noWrap w:val="0"/>
                  <w:vAlign w:val="center"/>
                </w:tcPr>
                <w:p w14:paraId="2AF60318">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本项目严格落实风险防范措施</w:t>
                  </w:r>
                </w:p>
              </w:tc>
              <w:tc>
                <w:tcPr>
                  <w:tcW w:w="0" w:type="auto"/>
                  <w:shd w:val="clear" w:color="auto" w:fill="auto"/>
                  <w:noWrap w:val="0"/>
                  <w:vAlign w:val="center"/>
                </w:tcPr>
                <w:p w14:paraId="7AA5C041">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r w14:paraId="2F1CF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noWrap w:val="0"/>
                  <w:vAlign w:val="center"/>
                </w:tcPr>
                <w:p w14:paraId="63803974">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在《规划》实施过程中，按照相关要求适时开展环境影响跟踪评价；规划发生重大调整或修订的，应当依法重新或补充开展规划环评工作。</w:t>
                  </w:r>
                </w:p>
              </w:tc>
              <w:tc>
                <w:tcPr>
                  <w:tcW w:w="0" w:type="auto"/>
                  <w:shd w:val="clear" w:color="auto" w:fill="auto"/>
                  <w:noWrap w:val="0"/>
                  <w:vAlign w:val="center"/>
                </w:tcPr>
                <w:p w14:paraId="221C534D">
                  <w:pPr>
                    <w:pStyle w:val="6"/>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本项目不涉及</w:t>
                  </w:r>
                </w:p>
              </w:tc>
              <w:tc>
                <w:tcPr>
                  <w:tcW w:w="0" w:type="auto"/>
                  <w:shd w:val="clear" w:color="auto" w:fill="auto"/>
                  <w:noWrap w:val="0"/>
                  <w:vAlign w:val="center"/>
                </w:tcPr>
                <w:p w14:paraId="20F703E4">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sz w:val="21"/>
                      <w:szCs w:val="21"/>
                      <w:highlight w:val="none"/>
                    </w:rPr>
                  </w:pPr>
                  <w:r>
                    <w:rPr>
                      <w:rFonts w:hint="eastAsia"/>
                      <w:color w:val="auto"/>
                      <w:sz w:val="21"/>
                      <w:szCs w:val="21"/>
                      <w:highlight w:val="none"/>
                    </w:rPr>
                    <w:t>符合</w:t>
                  </w:r>
                </w:p>
              </w:tc>
            </w:tr>
          </w:tbl>
          <w:p w14:paraId="7D8FDF7A">
            <w:pPr>
              <w:keepNext w:val="0"/>
              <w:keepLines w:val="0"/>
              <w:pageBreakBefore w:val="0"/>
              <w:widowControl w:val="0"/>
              <w:kinsoku/>
              <w:wordWrap/>
              <w:overflowPunct/>
              <w:topLinePunct w:val="0"/>
              <w:bidi w:val="0"/>
              <w:spacing w:line="480" w:lineRule="exact"/>
              <w:ind w:firstLine="480" w:firstLineChars="200"/>
              <w:textAlignment w:val="auto"/>
              <w:rPr>
                <w:rFonts w:eastAsiaTheme="minorEastAsia"/>
                <w:color w:val="auto"/>
                <w:kern w:val="0"/>
                <w:sz w:val="24"/>
                <w:highlight w:val="yellow"/>
              </w:rPr>
            </w:pPr>
          </w:p>
        </w:tc>
      </w:tr>
      <w:tr w14:paraId="4B02C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pct"/>
            <w:vAlign w:val="center"/>
          </w:tcPr>
          <w:p w14:paraId="24AD3B4C">
            <w:pPr>
              <w:autoSpaceDE w:val="0"/>
              <w:autoSpaceDN w:val="0"/>
              <w:adjustRightInd w:val="0"/>
              <w:snapToGrid w:val="0"/>
              <w:spacing w:line="500" w:lineRule="exact"/>
              <w:jc w:val="center"/>
              <w:rPr>
                <w:rFonts w:eastAsiaTheme="minorEastAsia"/>
                <w:color w:val="auto"/>
                <w:kern w:val="0"/>
                <w:sz w:val="24"/>
              </w:rPr>
            </w:pPr>
            <w:r>
              <w:rPr>
                <w:rFonts w:eastAsiaTheme="minorEastAsia"/>
                <w:color w:val="auto"/>
                <w:kern w:val="0"/>
                <w:sz w:val="24"/>
              </w:rPr>
              <w:t>其他符合性分析</w:t>
            </w:r>
          </w:p>
        </w:tc>
        <w:tc>
          <w:tcPr>
            <w:tcW w:w="4099" w:type="pct"/>
            <w:gridSpan w:val="3"/>
            <w:vAlign w:val="center"/>
          </w:tcPr>
          <w:p w14:paraId="7186E56D">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cs="宋体" w:eastAsiaTheme="minorEastAsia"/>
                <w:b/>
                <w:bCs/>
                <w:color w:val="auto"/>
                <w:kern w:val="0"/>
                <w:sz w:val="24"/>
              </w:rPr>
            </w:pPr>
            <w:r>
              <w:rPr>
                <w:rFonts w:hint="eastAsia" w:eastAsiaTheme="minorEastAsia"/>
                <w:b/>
                <w:bCs/>
                <w:color w:val="auto"/>
                <w:kern w:val="0"/>
                <w:sz w:val="24"/>
                <w:lang w:val="en-US" w:eastAsia="zh-CN"/>
              </w:rPr>
              <w:t>1</w:t>
            </w:r>
            <w:r>
              <w:rPr>
                <w:rFonts w:eastAsiaTheme="minorEastAsia"/>
                <w:b/>
                <w:bCs/>
                <w:color w:val="auto"/>
                <w:kern w:val="0"/>
                <w:sz w:val="24"/>
              </w:rPr>
              <w:t>、</w:t>
            </w:r>
            <w:r>
              <w:rPr>
                <w:rFonts w:hint="eastAsia" w:cs="宋体" w:eastAsiaTheme="minorEastAsia"/>
                <w:b/>
                <w:bCs/>
                <w:color w:val="auto"/>
                <w:kern w:val="0"/>
                <w:sz w:val="24"/>
              </w:rPr>
              <w:t>“三线一单”符合性分析</w:t>
            </w:r>
          </w:p>
          <w:p w14:paraId="36B7FD6C">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14:paraId="0C437CC5">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为适应以改善环境质量为核心的环境管理要求，切实加强环境影响评价（以下简称环评）管理，落实</w:t>
            </w:r>
            <w:r>
              <w:rPr>
                <w:rFonts w:hint="eastAsia" w:eastAsiaTheme="minorEastAsia"/>
                <w:color w:val="auto"/>
                <w:sz w:val="24"/>
              </w:rPr>
              <w:t>“</w:t>
            </w:r>
            <w:r>
              <w:rPr>
                <w:rFonts w:eastAsiaTheme="minorEastAsia"/>
                <w:color w:val="auto"/>
                <w:sz w:val="24"/>
              </w:rPr>
              <w:t>三线一单</w:t>
            </w:r>
            <w:r>
              <w:rPr>
                <w:rFonts w:hint="eastAsia" w:eastAsiaTheme="minorEastAsia"/>
                <w:color w:val="auto"/>
                <w:sz w:val="24"/>
              </w:rPr>
              <w:t>”</w:t>
            </w:r>
            <w:r>
              <w:rPr>
                <w:rFonts w:eastAsiaTheme="minorEastAsia"/>
                <w:color w:val="auto"/>
                <w:sz w:val="24"/>
              </w:rPr>
              <w:t>，建立项目环评审批与规划环评、现有项目环境管理、区域环境质量联动机制（以下简称“三挂钩”机制），更好地发挥环评制度从源头防范环境污染和生态破坏的作用，加快推进改善环境质量，现就有关事项通知如下：</w:t>
            </w:r>
          </w:p>
          <w:p w14:paraId="1893C9F5">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eastAsiaTheme="minorEastAsia"/>
                <w:color w:val="auto"/>
                <w:kern w:val="0"/>
                <w:sz w:val="24"/>
                <w:highlight w:val="yellow"/>
              </w:rPr>
            </w:pPr>
            <w:r>
              <w:rPr>
                <w:rFonts w:hint="eastAsia" w:eastAsiaTheme="minorEastAsia"/>
                <w:b/>
                <w:bCs/>
                <w:color w:val="auto"/>
                <w:sz w:val="24"/>
              </w:rPr>
              <w:t>（1）</w:t>
            </w:r>
            <w:r>
              <w:rPr>
                <w:rFonts w:eastAsiaTheme="minorEastAsia"/>
                <w:b/>
                <w:bCs/>
                <w:color w:val="auto"/>
                <w:sz w:val="24"/>
              </w:rPr>
              <w:t>生态保护红线是生态空间范围内具有特殊重点生态功能必须实行强制性严格保护的区域。相关规划环评应将生态空间管控作为重点内容，规划区域涉及生态保护红线的，在规划环评结论和审查意见中应落实生态保护红线的管理要求，提出相对应对策措施。除受自然条件限制、确实无法避让的铁路、公路、航道、防洪、管道、干渠、通讯、输变电等重要基础设施项目外，在生态保护红线范围内，严控</w:t>
            </w:r>
          </w:p>
        </w:tc>
      </w:tr>
      <w:tr w14:paraId="19AA4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3" w:hRule="atLeast"/>
          <w:jc w:val="center"/>
        </w:trPr>
        <w:tc>
          <w:tcPr>
            <w:tcW w:w="900" w:type="pct"/>
            <w:vAlign w:val="center"/>
          </w:tcPr>
          <w:p w14:paraId="53A80C88">
            <w:pPr>
              <w:autoSpaceDE w:val="0"/>
              <w:autoSpaceDN w:val="0"/>
              <w:adjustRightInd w:val="0"/>
              <w:snapToGrid w:val="0"/>
              <w:spacing w:line="500" w:lineRule="exact"/>
              <w:jc w:val="center"/>
              <w:rPr>
                <w:rFonts w:eastAsiaTheme="minorEastAsia"/>
                <w:color w:val="auto"/>
                <w:kern w:val="0"/>
                <w:sz w:val="24"/>
              </w:rPr>
            </w:pPr>
          </w:p>
        </w:tc>
        <w:tc>
          <w:tcPr>
            <w:tcW w:w="4099" w:type="pct"/>
            <w:gridSpan w:val="3"/>
            <w:vAlign w:val="center"/>
          </w:tcPr>
          <w:p w14:paraId="3D025964">
            <w:pPr>
              <w:pStyle w:val="28"/>
              <w:keepNext w:val="0"/>
              <w:keepLines w:val="0"/>
              <w:pageBreakBefore w:val="0"/>
              <w:widowControl w:val="0"/>
              <w:tabs>
                <w:tab w:val="left" w:pos="1315"/>
              </w:tabs>
              <w:kinsoku/>
              <w:wordWrap/>
              <w:overflowPunct/>
              <w:topLinePunct w:val="0"/>
              <w:bidi w:val="0"/>
              <w:adjustRightInd w:val="0"/>
              <w:snapToGrid w:val="0"/>
              <w:spacing w:line="500" w:lineRule="exact"/>
              <w:ind w:left="0" w:leftChars="0" w:firstLine="0" w:firstLineChars="0"/>
              <w:textAlignment w:val="auto"/>
              <w:rPr>
                <w:rFonts w:eastAsiaTheme="minorEastAsia"/>
                <w:snapToGrid w:val="0"/>
                <w:color w:val="auto"/>
                <w:kern w:val="0"/>
                <w:sz w:val="24"/>
              </w:rPr>
            </w:pPr>
            <w:r>
              <w:rPr>
                <w:rFonts w:eastAsiaTheme="minorEastAsia"/>
                <w:b/>
                <w:bCs/>
                <w:color w:val="auto"/>
                <w:sz w:val="24"/>
              </w:rPr>
              <w:t>各类开发建设活动，依法不予审批新建工业项目和矿产开发项目的环评文件</w:t>
            </w:r>
            <w:r>
              <w:rPr>
                <w:rFonts w:eastAsiaTheme="minorEastAsia"/>
                <w:color w:val="auto"/>
                <w:kern w:val="0"/>
                <w:sz w:val="24"/>
              </w:rPr>
              <w:t>。</w:t>
            </w:r>
            <w:r>
              <w:rPr>
                <w:rFonts w:hint="eastAsia" w:eastAsiaTheme="minorEastAsia"/>
                <w:color w:val="auto"/>
                <w:sz w:val="24"/>
              </w:rPr>
              <w:t>根据《河北省生态保护红线》，唐山市生态保护红线总面积</w:t>
            </w:r>
            <w:r>
              <w:rPr>
                <w:rFonts w:eastAsiaTheme="minorEastAsia"/>
                <w:color w:val="auto"/>
                <w:sz w:val="24"/>
              </w:rPr>
              <w:t>1383.02km</w:t>
            </w:r>
            <w:r>
              <w:rPr>
                <w:rFonts w:eastAsiaTheme="minorEastAsia"/>
                <w:color w:val="auto"/>
                <w:sz w:val="24"/>
                <w:vertAlign w:val="superscript"/>
              </w:rPr>
              <w:t>2</w:t>
            </w:r>
            <w:r>
              <w:rPr>
                <w:rFonts w:hint="eastAsia" w:eastAsiaTheme="minorEastAsia"/>
                <w:color w:val="auto"/>
                <w:sz w:val="24"/>
              </w:rPr>
              <w:t>（剔除重叠面积）。红线区分布在开平区、古冶区、丰南区、丰润区、滦县、滦南县、乐亭县、玉田县、遵化市、迁西县、迁安市、曹妃甸区，包括重点生态功能区（主要为水源涵养、土壤保持、洪水调蓄和生物多样性保护区）、生态环境敏感脆弱区（主要为河湖滨岸带）、禁止开发区（自然保护区、饮用水水源保护区、森林公园、湿地公园、地质公园、水产种质资源保护区、风景名胜区）。</w:t>
            </w:r>
            <w:r>
              <w:rPr>
                <w:rFonts w:hint="eastAsia" w:cs="宋体" w:eastAsiaTheme="minorEastAsia"/>
                <w:color w:val="auto"/>
                <w:kern w:val="0"/>
                <w:sz w:val="24"/>
              </w:rPr>
              <w:t>与本项目最近的生态保护红线为厂区</w:t>
            </w:r>
            <w:r>
              <w:rPr>
                <w:rFonts w:hint="eastAsia" w:cs="宋体" w:eastAsiaTheme="minorEastAsia"/>
                <w:color w:val="auto"/>
                <w:kern w:val="0"/>
                <w:sz w:val="24"/>
                <w:lang w:eastAsia="zh-CN"/>
              </w:rPr>
              <w:t>西南</w:t>
            </w:r>
            <w:r>
              <w:rPr>
                <w:rFonts w:hint="eastAsia" w:cs="宋体" w:eastAsiaTheme="minorEastAsia"/>
                <w:color w:val="auto"/>
                <w:kern w:val="0"/>
                <w:sz w:val="24"/>
              </w:rPr>
              <w:t>侧</w:t>
            </w:r>
            <w:r>
              <w:rPr>
                <w:rFonts w:hint="eastAsia" w:cs="宋体" w:eastAsiaTheme="minorEastAsia"/>
                <w:color w:val="auto"/>
                <w:kern w:val="0"/>
                <w:sz w:val="24"/>
                <w:lang w:val="en-US" w:eastAsia="zh-CN"/>
              </w:rPr>
              <w:t>3062</w:t>
            </w:r>
            <w:r>
              <w:rPr>
                <w:rFonts w:hint="eastAsia" w:cs="宋体" w:eastAsiaTheme="minorEastAsia"/>
                <w:color w:val="auto"/>
                <w:kern w:val="0"/>
                <w:sz w:val="24"/>
              </w:rPr>
              <w:t>m的</w:t>
            </w:r>
            <w:r>
              <w:rPr>
                <w:rFonts w:hint="eastAsia" w:cs="宋体" w:eastAsiaTheme="minorEastAsia"/>
                <w:color w:val="auto"/>
                <w:kern w:val="0"/>
                <w:sz w:val="24"/>
                <w:lang w:eastAsia="zh-CN"/>
              </w:rPr>
              <w:t>祥云岛风景度假区</w:t>
            </w:r>
            <w:r>
              <w:rPr>
                <w:rFonts w:hint="eastAsia" w:cs="宋体" w:eastAsiaTheme="minorEastAsia"/>
                <w:color w:val="auto"/>
                <w:kern w:val="0"/>
                <w:sz w:val="24"/>
              </w:rPr>
              <w:t>，不在生态红线区域保护规划区域内，符合《河北省生态红线区域保护规划》的要求。</w:t>
            </w:r>
            <w:r>
              <w:rPr>
                <w:rFonts w:eastAsiaTheme="minorEastAsia"/>
                <w:color w:val="auto"/>
                <w:sz w:val="24"/>
              </w:rPr>
              <w:t>项目与生态红线关系见附图</w:t>
            </w:r>
            <w:r>
              <w:rPr>
                <w:rFonts w:hint="eastAsia" w:eastAsiaTheme="minorEastAsia"/>
                <w:color w:val="auto"/>
                <w:sz w:val="24"/>
                <w:lang w:val="en-US" w:eastAsia="zh-CN"/>
              </w:rPr>
              <w:t>5</w:t>
            </w:r>
            <w:r>
              <w:rPr>
                <w:rFonts w:eastAsiaTheme="minorEastAsia"/>
                <w:color w:val="auto"/>
                <w:sz w:val="24"/>
              </w:rPr>
              <w:t>。</w:t>
            </w:r>
          </w:p>
          <w:p w14:paraId="064D9626">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color w:val="auto"/>
                <w:kern w:val="0"/>
                <w:sz w:val="24"/>
              </w:rPr>
            </w:pPr>
            <w:r>
              <w:rPr>
                <w:rFonts w:hint="eastAsia" w:eastAsiaTheme="minorEastAsia"/>
                <w:b/>
                <w:bCs/>
                <w:color w:val="auto"/>
                <w:sz w:val="24"/>
              </w:rPr>
              <w:t>（2）</w:t>
            </w:r>
            <w:r>
              <w:rPr>
                <w:rFonts w:eastAsiaTheme="minorEastAsia"/>
                <w:b/>
                <w:bCs/>
                <w:color w:val="auto"/>
                <w:sz w:val="24"/>
              </w:rPr>
              <w:t>环境质量底线是国家和地方设置的大气、水和土壤环境质量目标，也是改善环境质量的基准线。项目环评应对照区域环境质量目标，深入分析预测项目建设对环境质量的影响，强化污染防治措施和污染物排放控制要求。</w:t>
            </w:r>
          </w:p>
          <w:p w14:paraId="17BAF19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sz w:val="24"/>
              </w:rPr>
            </w:pPr>
            <w:r>
              <w:rPr>
                <w:rFonts w:eastAsiaTheme="minorEastAsia"/>
                <w:color w:val="auto"/>
                <w:sz w:val="24"/>
              </w:rPr>
              <w:t>区域大气环境质量目标为《环境空气质量标准》（GB3095-2012）及其修改单中的二级标准；区域声环境质量目标为《声环境质量标准》（GB3096-2008）</w:t>
            </w:r>
            <w:r>
              <w:rPr>
                <w:rFonts w:hint="eastAsia" w:eastAsiaTheme="minorEastAsia"/>
                <w:color w:val="auto"/>
                <w:sz w:val="24"/>
                <w:lang w:val="en-US" w:eastAsia="zh-CN"/>
              </w:rPr>
              <w:t>3、4</w:t>
            </w:r>
            <w:r>
              <w:rPr>
                <w:rFonts w:eastAsiaTheme="minorEastAsia"/>
                <w:color w:val="auto"/>
                <w:sz w:val="24"/>
              </w:rPr>
              <w:t>类区标准</w:t>
            </w:r>
            <w:r>
              <w:rPr>
                <w:rFonts w:hint="eastAsia" w:eastAsiaTheme="minorEastAsia"/>
                <w:color w:val="auto"/>
                <w:sz w:val="24"/>
              </w:rPr>
              <w:t>；区域地下水环境质量目标为《地下水质量标准》（GB/T14848-2017）中</w:t>
            </w:r>
            <w:r>
              <w:rPr>
                <w:rFonts w:eastAsiaTheme="minorEastAsia"/>
                <w:color w:val="auto"/>
                <w:sz w:val="24"/>
              </w:rPr>
              <w:t>Ⅲ</w:t>
            </w:r>
            <w:r>
              <w:rPr>
                <w:rFonts w:hint="eastAsia" w:eastAsiaTheme="minorEastAsia"/>
                <w:color w:val="auto"/>
                <w:sz w:val="24"/>
              </w:rPr>
              <w:t>类标准</w:t>
            </w:r>
            <w:r>
              <w:rPr>
                <w:rFonts w:eastAsiaTheme="minorEastAsia"/>
                <w:color w:val="auto"/>
                <w:sz w:val="24"/>
              </w:rPr>
              <w:t>。</w:t>
            </w:r>
          </w:p>
          <w:p w14:paraId="28DEEFCD">
            <w:pPr>
              <w:pStyle w:val="29"/>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项目对产生的废气、噪声、固废等污染物均采取了严格的治理和处置措施，</w:t>
            </w:r>
            <w:r>
              <w:rPr>
                <w:rFonts w:hint="eastAsia" w:eastAsiaTheme="minorEastAsia"/>
                <w:color w:val="auto"/>
                <w:sz w:val="24"/>
              </w:rPr>
              <w:t>各</w:t>
            </w:r>
            <w:r>
              <w:rPr>
                <w:rFonts w:eastAsiaTheme="minorEastAsia"/>
                <w:color w:val="auto"/>
                <w:sz w:val="24"/>
              </w:rPr>
              <w:t>污染物均能达标排放。</w:t>
            </w:r>
          </w:p>
          <w:p w14:paraId="7C32FAAF">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eastAsiaTheme="minorEastAsia"/>
                <w:color w:val="auto"/>
                <w:sz w:val="24"/>
              </w:rPr>
              <w:t>综上所述，本项目的建设符合环境质量底线要求。</w:t>
            </w:r>
          </w:p>
          <w:p w14:paraId="1CA7ABED">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color w:val="auto"/>
                <w:sz w:val="24"/>
              </w:rPr>
            </w:pPr>
            <w:r>
              <w:rPr>
                <w:rFonts w:hint="eastAsia" w:eastAsiaTheme="minorEastAsia"/>
                <w:b/>
                <w:bCs/>
                <w:color w:val="auto"/>
                <w:sz w:val="24"/>
              </w:rPr>
              <w:t>（3）</w:t>
            </w:r>
            <w:r>
              <w:rPr>
                <w:rFonts w:eastAsiaTheme="minorEastAsia"/>
                <w:b/>
                <w:bCs/>
                <w:color w:val="auto"/>
                <w:sz w:val="24"/>
              </w:rPr>
              <w:t>资源是环境的载体，资源利用上线是各地区能源、水、土地等资源消耗不得突破的“天花板”。</w:t>
            </w:r>
          </w:p>
          <w:p w14:paraId="276CEDBE">
            <w:pPr>
              <w:pStyle w:val="28"/>
              <w:keepNext w:val="0"/>
              <w:keepLines w:val="0"/>
              <w:pageBreakBefore w:val="0"/>
              <w:widowControl w:val="0"/>
              <w:tabs>
                <w:tab w:val="left" w:pos="1315"/>
              </w:tabs>
              <w:kinsoku/>
              <w:wordWrap/>
              <w:overflowPunct/>
              <w:topLinePunct w:val="0"/>
              <w:bidi w:val="0"/>
              <w:adjustRightInd w:val="0"/>
              <w:snapToGrid w:val="0"/>
              <w:spacing w:line="500" w:lineRule="exact"/>
              <w:ind w:firstLine="480"/>
              <w:textAlignment w:val="auto"/>
              <w:rPr>
                <w:rFonts w:eastAsiaTheme="minorEastAsia"/>
                <w:color w:val="auto"/>
                <w:sz w:val="24"/>
              </w:rPr>
            </w:pPr>
            <w:r>
              <w:rPr>
                <w:rFonts w:eastAsiaTheme="minorEastAsia"/>
                <w:color w:val="auto"/>
                <w:sz w:val="24"/>
              </w:rPr>
              <w:t>本项目用水</w:t>
            </w:r>
            <w:r>
              <w:rPr>
                <w:rFonts w:hint="eastAsia" w:eastAsiaTheme="minorEastAsia"/>
                <w:color w:val="auto"/>
                <w:sz w:val="24"/>
                <w:lang w:eastAsia="zh-CN"/>
              </w:rPr>
              <w:t>取自园区管网</w:t>
            </w:r>
            <w:r>
              <w:rPr>
                <w:rFonts w:eastAsiaTheme="minorEastAsia"/>
                <w:color w:val="auto"/>
                <w:sz w:val="24"/>
              </w:rPr>
              <w:t>，用电由</w:t>
            </w:r>
            <w:r>
              <w:rPr>
                <w:rFonts w:hint="eastAsia" w:eastAsiaTheme="minorEastAsia"/>
                <w:color w:val="auto"/>
                <w:sz w:val="24"/>
              </w:rPr>
              <w:t>当地</w:t>
            </w:r>
            <w:r>
              <w:rPr>
                <w:rFonts w:eastAsiaTheme="minorEastAsia"/>
                <w:color w:val="auto"/>
                <w:sz w:val="24"/>
              </w:rPr>
              <w:t>电网</w:t>
            </w:r>
            <w:r>
              <w:rPr>
                <w:rFonts w:hint="eastAsia" w:eastAsiaTheme="minorEastAsia"/>
                <w:color w:val="auto"/>
                <w:sz w:val="24"/>
              </w:rPr>
              <w:t>提供。</w:t>
            </w:r>
            <w:r>
              <w:rPr>
                <w:rFonts w:hint="eastAsia" w:cs="宋体" w:eastAsiaTheme="minorEastAsia"/>
                <w:color w:val="auto"/>
                <w:kern w:val="0"/>
                <w:sz w:val="24"/>
              </w:rPr>
              <w:t>项目</w:t>
            </w:r>
            <w:r>
              <w:rPr>
                <w:rFonts w:hint="eastAsia" w:cs="宋体" w:eastAsiaTheme="minorEastAsia"/>
                <w:color w:val="auto"/>
                <w:kern w:val="0"/>
                <w:sz w:val="24"/>
                <w:lang w:eastAsia="zh-CN"/>
              </w:rPr>
              <w:t>租赁唐山城矿物联网科技有限公司土地</w:t>
            </w:r>
            <w:r>
              <w:rPr>
                <w:rFonts w:hint="eastAsia" w:cs="宋体" w:eastAsiaTheme="minorEastAsia"/>
                <w:color w:val="auto"/>
                <w:kern w:val="0"/>
                <w:sz w:val="24"/>
              </w:rPr>
              <w:t>，用地为仓储物流</w:t>
            </w:r>
            <w:r>
              <w:rPr>
                <w:rFonts w:hint="eastAsia" w:cs="宋体" w:eastAsiaTheme="minorEastAsia"/>
                <w:color w:val="auto"/>
                <w:kern w:val="0"/>
                <w:sz w:val="24"/>
                <w:lang w:eastAsia="zh-CN"/>
              </w:rPr>
              <w:t>用地</w:t>
            </w:r>
            <w:r>
              <w:rPr>
                <w:rFonts w:hint="eastAsia" w:eastAsiaTheme="minorEastAsia"/>
                <w:color w:val="auto"/>
                <w:sz w:val="24"/>
              </w:rPr>
              <w:t>，符合用地性质要求，</w:t>
            </w:r>
            <w:r>
              <w:rPr>
                <w:rFonts w:eastAsiaTheme="minorEastAsia"/>
                <w:color w:val="auto"/>
                <w:sz w:val="24"/>
              </w:rPr>
              <w:t>项目建设符合资源利用上线。</w:t>
            </w:r>
          </w:p>
          <w:p w14:paraId="2E502BD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eastAsiaTheme="minorEastAsia"/>
                <w:color w:val="auto"/>
                <w:sz w:val="24"/>
              </w:rPr>
            </w:pPr>
            <w:r>
              <w:rPr>
                <w:rFonts w:hint="eastAsia" w:eastAsiaTheme="minorEastAsia"/>
                <w:b/>
                <w:bCs/>
                <w:color w:val="auto"/>
                <w:sz w:val="24"/>
              </w:rPr>
              <w:t>（4）</w:t>
            </w:r>
            <w:r>
              <w:rPr>
                <w:rFonts w:eastAsiaTheme="minorEastAsia"/>
                <w:b/>
                <w:bCs/>
                <w:color w:val="auto"/>
                <w:sz w:val="24"/>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r>
              <w:rPr>
                <w:rFonts w:eastAsiaTheme="minorEastAsia"/>
                <w:color w:val="auto"/>
                <w:kern w:val="0"/>
                <w:sz w:val="24"/>
              </w:rPr>
              <w:t>。</w:t>
            </w:r>
          </w:p>
          <w:p w14:paraId="03804D1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sz w:val="24"/>
              </w:rPr>
            </w:pPr>
            <w:r>
              <w:rPr>
                <w:rFonts w:eastAsiaTheme="minorEastAsia"/>
                <w:color w:val="auto"/>
                <w:sz w:val="24"/>
              </w:rPr>
              <w:t>本项目不属于高污染高耗能项目，符合产业政策，采取相应的治理措施后污染物能达标</w:t>
            </w:r>
            <w:r>
              <w:rPr>
                <w:rFonts w:eastAsiaTheme="minorEastAsia"/>
                <w:b w:val="0"/>
                <w:bCs w:val="0"/>
                <w:color w:val="auto"/>
                <w:sz w:val="24"/>
              </w:rPr>
              <w:t>排放。本项目不在环境准入负面清单之列</w:t>
            </w:r>
            <w:r>
              <w:rPr>
                <w:rFonts w:hint="eastAsia" w:eastAsiaTheme="minorEastAsia"/>
                <w:b w:val="0"/>
                <w:bCs w:val="0"/>
                <w:color w:val="auto"/>
                <w:sz w:val="24"/>
                <w:lang w:eastAsia="zh-CN"/>
              </w:rPr>
              <w:t>，</w:t>
            </w:r>
            <w:r>
              <w:rPr>
                <w:rFonts w:hint="eastAsia" w:eastAsiaTheme="minorEastAsia"/>
                <w:color w:val="auto"/>
                <w:sz w:val="24"/>
              </w:rPr>
              <w:t>本</w:t>
            </w:r>
            <w:r>
              <w:rPr>
                <w:rFonts w:eastAsiaTheme="minorEastAsia"/>
                <w:color w:val="auto"/>
                <w:sz w:val="24"/>
              </w:rPr>
              <w:t>项目</w:t>
            </w:r>
            <w:r>
              <w:rPr>
                <w:rFonts w:hint="eastAsia" w:eastAsiaTheme="minorEastAsia"/>
                <w:color w:val="auto"/>
                <w:sz w:val="24"/>
              </w:rPr>
              <w:t>与“开发区总体生态环境准入清单”符合性分析</w:t>
            </w:r>
            <w:r>
              <w:rPr>
                <w:rFonts w:hint="eastAsia" w:eastAsiaTheme="minorEastAsia"/>
                <w:color w:val="auto"/>
                <w:sz w:val="24"/>
                <w:lang w:eastAsia="zh-CN"/>
              </w:rPr>
              <w:t>见表</w:t>
            </w:r>
            <w:r>
              <w:rPr>
                <w:rFonts w:hint="eastAsia" w:eastAsiaTheme="minorEastAsia"/>
                <w:color w:val="auto"/>
                <w:sz w:val="24"/>
                <w:lang w:val="en-US" w:eastAsia="zh-CN"/>
              </w:rPr>
              <w:t>3</w:t>
            </w:r>
            <w:r>
              <w:rPr>
                <w:rFonts w:eastAsiaTheme="minorEastAsia"/>
                <w:b w:val="0"/>
                <w:bCs w:val="0"/>
                <w:color w:val="auto"/>
                <w:sz w:val="24"/>
              </w:rPr>
              <w:t>。</w:t>
            </w:r>
          </w:p>
          <w:p w14:paraId="3C562C0D">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val="0"/>
              <w:spacing w:line="480" w:lineRule="exact"/>
              <w:ind w:left="0" w:leftChars="0" w:firstLine="0" w:firstLineChars="0"/>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lang w:val="en-US" w:eastAsia="zh-CN" w:bidi="ar-SA"/>
              </w:rPr>
              <w:t>表</w:t>
            </w:r>
            <w:r>
              <w:rPr>
                <w:rFonts w:hint="eastAsia" w:cs="Times New Roman"/>
                <w:b/>
                <w:bCs/>
                <w:color w:val="auto"/>
                <w:kern w:val="0"/>
                <w:sz w:val="24"/>
                <w:szCs w:val="24"/>
                <w:highlight w:val="none"/>
                <w:lang w:val="en-US" w:eastAsia="zh-CN" w:bidi="ar-SA"/>
              </w:rPr>
              <w:t xml:space="preserve">3  </w:t>
            </w:r>
            <w:r>
              <w:rPr>
                <w:rFonts w:hint="eastAsia"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与“</w:t>
            </w:r>
            <w:r>
              <w:rPr>
                <w:rFonts w:hint="eastAsia" w:ascii="Times New Roman" w:hAnsi="Times New Roman" w:eastAsia="宋体" w:cs="Times New Roman"/>
                <w:b/>
                <w:bCs/>
                <w:color w:val="auto"/>
                <w:kern w:val="0"/>
                <w:sz w:val="24"/>
                <w:szCs w:val="24"/>
                <w:highlight w:val="none"/>
                <w:lang w:val="en-US" w:eastAsia="zh-CN"/>
              </w:rPr>
              <w:t>开发区总体生态环境</w:t>
            </w:r>
            <w:r>
              <w:rPr>
                <w:rFonts w:hint="default" w:ascii="Times New Roman" w:hAnsi="Times New Roman" w:eastAsia="宋体" w:cs="Times New Roman"/>
                <w:b/>
                <w:bCs/>
                <w:color w:val="auto"/>
                <w:kern w:val="0"/>
                <w:sz w:val="24"/>
                <w:szCs w:val="24"/>
                <w:highlight w:val="none"/>
              </w:rPr>
              <w:t>准入清单”符合性分析判定表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800"/>
              <w:gridCol w:w="1290"/>
              <w:gridCol w:w="479"/>
            </w:tblGrid>
            <w:tr w14:paraId="32D4F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9" w:type="pct"/>
                  <w:noWrap w:val="0"/>
                  <w:vAlign w:val="center"/>
                </w:tcPr>
                <w:p w14:paraId="28D4461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清单类型</w:t>
                  </w:r>
                </w:p>
              </w:tc>
              <w:tc>
                <w:tcPr>
                  <w:tcW w:w="3339" w:type="pct"/>
                  <w:noWrap w:val="0"/>
                  <w:vAlign w:val="center"/>
                </w:tcPr>
                <w:p w14:paraId="4308A8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准入要求</w:t>
                  </w:r>
                </w:p>
              </w:tc>
              <w:tc>
                <w:tcPr>
                  <w:tcW w:w="897" w:type="pct"/>
                  <w:noWrap w:val="0"/>
                  <w:vAlign w:val="center"/>
                </w:tcPr>
                <w:p w14:paraId="1F4E19B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本项目情况</w:t>
                  </w:r>
                </w:p>
              </w:tc>
              <w:tc>
                <w:tcPr>
                  <w:tcW w:w="333" w:type="pct"/>
                  <w:noWrap w:val="0"/>
                  <w:vAlign w:val="center"/>
                </w:tcPr>
                <w:p w14:paraId="666FE03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结论</w:t>
                  </w:r>
                </w:p>
              </w:tc>
            </w:tr>
            <w:tr w14:paraId="6E77A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9" w:type="pct"/>
                  <w:noWrap w:val="0"/>
                  <w:vAlign w:val="center"/>
                </w:tcPr>
                <w:p w14:paraId="3B8E4B13">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总体要</w:t>
                  </w:r>
                  <w:r>
                    <w:rPr>
                      <w:rFonts w:hint="eastAsia" w:ascii="Times New Roman" w:hAnsi="Times New Roman" w:eastAsia="宋体" w:cs="Times New Roman"/>
                      <w:color w:val="auto"/>
                      <w:sz w:val="21"/>
                      <w:szCs w:val="21"/>
                      <w:highlight w:val="none"/>
                      <w:lang w:val="en-US" w:eastAsia="zh-CN"/>
                    </w:rPr>
                    <w:t>求</w:t>
                  </w:r>
                </w:p>
              </w:tc>
              <w:tc>
                <w:tcPr>
                  <w:tcW w:w="3339" w:type="pct"/>
                  <w:noWrap w:val="0"/>
                  <w:vAlign w:val="center"/>
                </w:tcPr>
                <w:p w14:paraId="109EA77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符合《唐山市生态环境准入清单</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2023年版</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》中准入要求。</w:t>
                  </w:r>
                </w:p>
              </w:tc>
              <w:tc>
                <w:tcPr>
                  <w:tcW w:w="897" w:type="pct"/>
                  <w:noWrap w:val="0"/>
                  <w:vAlign w:val="center"/>
                </w:tcPr>
                <w:p w14:paraId="4266BFA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本项目满足唐山市生态环境准入清单</w:t>
                  </w:r>
                </w:p>
                <w:p w14:paraId="45AC8C1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（2023年版）要求</w:t>
                  </w:r>
                </w:p>
              </w:tc>
              <w:tc>
                <w:tcPr>
                  <w:tcW w:w="333" w:type="pct"/>
                  <w:noWrap w:val="0"/>
                  <w:vAlign w:val="center"/>
                </w:tcPr>
                <w:p w14:paraId="771135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24EAF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0"/>
                  <w:vAlign w:val="center"/>
                </w:tcPr>
                <w:p w14:paraId="7D67337D">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空间布局约束</w:t>
                  </w:r>
                </w:p>
              </w:tc>
              <w:tc>
                <w:tcPr>
                  <w:tcW w:w="3339" w:type="pct"/>
                  <w:noWrap w:val="0"/>
                  <w:vAlign w:val="center"/>
                </w:tcPr>
                <w:p w14:paraId="232D93C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1、禁止在公路、铁路两侧建筑控制线范围内，建设除附属设施外的其他永久性建筑物、构筑物和设施；</w:t>
                  </w:r>
                </w:p>
                <w:p w14:paraId="21490E3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2、开发区内村庄搬迁前，周边50m范围内不得建设工业项目。村庄饮用水井封停前保护区外300m内不得布设含电镀工序、产生CODcr浓度≥10000mg/L或氨氮浓度≥2000mg/L有机废液的工序，搬迁后纳入规划用地管理；</w:t>
                  </w:r>
                </w:p>
                <w:p w14:paraId="1443762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3、新兴产业区：规划居住区周边100m范围内不得建设使用非溶剂型低VOCs含量涂料10吨以上、溶剂型涂料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等涉VOCs项目，200m范围内不得布置年用溶剂型涂料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10吨及以上的项目，300m范围内不得建设有毒有害和易燃易爆危险物质存储量超过临界量²的建设项目。</w:t>
                  </w:r>
                </w:p>
                <w:p w14:paraId="5F0623F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4、机械制造及建材产业区：海港大路以东200m范围内禁入排放废气涉及有毒有害污染物，涉及溶剂型涂料</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含稀释剂</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的企业不得超过10吨，临近规划居住区处，禁止布置涉及高VOCs含量物料加工工序、锅炉、污水处理站等，新建企业将办公区域或污染物产生量少、环境影响轻的工序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如包装车间、成品库等</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靠近居住区布置。300m范围内不得新增有毒有害和易燃易爆危险物质存储量超过临界量的建设项目。</w:t>
                  </w:r>
                </w:p>
                <w:p w14:paraId="45FD9D1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5、加工物流区：大清河口海岛旅游区优先保护单元100m范围仅建设仓储物流项目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不得布设加工工序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不得布置有毒有害和易燃易爆危险物质存储项目；300m内不得布设含电镀工序、产生CODcr浓度≥10000mg/L或氨氮浓度≥2000mg/L有机废液的企业。</w:t>
                  </w:r>
                </w:p>
                <w:p w14:paraId="6D80BB5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6、入区项目严格执行规划产业定位及用地布局要求，并严格执行环评文件及批复中环境防护</w:t>
                  </w:r>
                  <w:r>
                    <w:rPr>
                      <w:rFonts w:hint="eastAsia" w:ascii="Times New Roman" w:hAnsi="Times New Roman" w:cs="Times New Roman"/>
                      <w:color w:val="auto"/>
                      <w:sz w:val="21"/>
                      <w:szCs w:val="21"/>
                      <w:highlight w:val="none"/>
                      <w:lang w:eastAsia="zh-CN"/>
                    </w:rPr>
                    <w:t>距</w:t>
                  </w:r>
                  <w:r>
                    <w:rPr>
                      <w:rFonts w:hint="default" w:ascii="Times New Roman" w:hAnsi="Times New Roman" w:eastAsia="宋体" w:cs="Times New Roman"/>
                      <w:color w:val="auto"/>
                      <w:sz w:val="21"/>
                      <w:szCs w:val="21"/>
                      <w:highlight w:val="none"/>
                    </w:rPr>
                    <w:t>离要求；不符合产业布局的现有企业按照本评价提出的管控要求进一步加强管理。</w:t>
                  </w:r>
                </w:p>
                <w:p w14:paraId="56A7BBC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7、位于城镇开发边界外的区域保持现状不变。</w:t>
                  </w:r>
                </w:p>
                <w:p w14:paraId="05F57F0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8、在规划居住区与工业用地之间设置50m缓冲带，不得进行工业生产活动。</w:t>
                  </w:r>
                </w:p>
              </w:tc>
              <w:tc>
                <w:tcPr>
                  <w:tcW w:w="897" w:type="pct"/>
                  <w:noWrap w:val="0"/>
                  <w:vAlign w:val="center"/>
                </w:tcPr>
                <w:p w14:paraId="3C3C444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在公路铁路两侧建筑控制线范围内，不涉及VOCs涂料，本项目不在大清河口海岛旅游区优先保护单元范围内，不涉及有毒有害和易燃易爆危险物质存储，项目位于城镇开发边界内，满足园区产业定位和规划</w:t>
                  </w:r>
                </w:p>
              </w:tc>
              <w:tc>
                <w:tcPr>
                  <w:tcW w:w="333" w:type="pct"/>
                  <w:noWrap w:val="0"/>
                  <w:vAlign w:val="center"/>
                </w:tcPr>
                <w:p w14:paraId="712DE49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63943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9" w:type="pct"/>
                  <w:noWrap w:val="0"/>
                  <w:vAlign w:val="center"/>
                </w:tcPr>
                <w:p w14:paraId="21350C1E">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eastAsia="宋体"/>
                      <w:color w:val="auto"/>
                      <w:highlight w:val="none"/>
                      <w:lang w:eastAsia="zh-CN"/>
                    </w:rPr>
                  </w:pPr>
                  <w:r>
                    <w:rPr>
                      <w:rFonts w:hint="eastAsia"/>
                      <w:color w:val="auto"/>
                      <w:highlight w:val="none"/>
                      <w:lang w:eastAsia="zh-CN"/>
                    </w:rPr>
                    <w:t>污染物排放管控</w:t>
                  </w:r>
                </w:p>
              </w:tc>
              <w:tc>
                <w:tcPr>
                  <w:tcW w:w="3339" w:type="pct"/>
                  <w:noWrap w:val="0"/>
                  <w:vAlign w:val="center"/>
                </w:tcPr>
                <w:p w14:paraId="3941C1E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1、污染物排放：</w:t>
                  </w:r>
                </w:p>
                <w:p w14:paraId="7B01D5E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①污染物允许排放量</w:t>
                  </w:r>
                </w:p>
                <w:p w14:paraId="2092652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大气污染物：颗粒物5107.74t/a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业源2794.498t/a)、二氧化硫1208.142t/a、氮氧化物2513.21t/a、非甲烷总烃108.999t/a、苯3.334t/a、甲苯4t/a、二甲苯0.298t/a、硫化氢0.595t/a、氨137.064t/a、氯化氢20.831t/a、硫酸雾1.226t/a、苯并[a]芘3.463kg/a、沥青烟0.989t/a、甲醛4.236t/a、甲醇8.998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0.002t/a、汞0.011t/a、二噁英类1.681gTEQ/a、铅7.922t/a、酚类2.186t/a、镉0.0186t/a、砷0.0894t/a、氟化物58.585t/a。水污染物COD20.050t/a、氨氮1.0t/a、总磷0.2t/a、总氮10.025t/a、五日生化需氧量4.010t/a、石油类0.668t/a、总铅0.066t/a、总砷0.066t/a、总汞0.001t/a。</w:t>
                  </w:r>
                </w:p>
                <w:p w14:paraId="268CB1CA">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②存量源削减量</w:t>
                  </w:r>
                </w:p>
                <w:p w14:paraId="3472723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大气污染物：颗粒物887.03t/a、二氧化硫91.373t/a、氮氧化物328.412t/a、VOCs17.539t/a。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其中工业削减源：215.589t/a、二氧化硫91.185t/a、氮氧化物231.049t/a、VOCs15.644t/a。区域交通削减源：颗粒物671.441t/a、二氧化硫0.188t/a、氮氧化物97.363t/a、VOCs1.895t/a)</w:t>
                  </w:r>
                </w:p>
                <w:p w14:paraId="4A446E33">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③新增源控制量</w:t>
                  </w:r>
                </w:p>
                <w:p w14:paraId="2FCF7BB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不含已取得环评手续排放量</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颗粒物162.694t/a、二氧化硫79.479t/a、氮氧化物228.995t/a、非甲烷总烃15.006t/a、苯1.716t/a、甲苯0.0.470t/a、二甲苯0.269t/a、硫化氢0.160t/a、氨5.340t/a、氯化氢6.945t/a、硫酸雾0.041t/a、甲醛0.656t/a、甲醇1.444t/a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锰0.002t/a、汞0.0001t/a、二噁英类0.011gTEQ/a、铅0.566t/a、酚类0.320t/a、镉0.01456t/a、砷0.089t/a、氟化物1.479t/a。</w:t>
                  </w:r>
                </w:p>
                <w:p w14:paraId="2A9F802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水污染物：开发区不新增水污染物。</w:t>
                  </w:r>
                </w:p>
                <w:p w14:paraId="057B75BD">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开发区碳排放及强度：规划碳排放量3808.35万tCO</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碳排放强度不得超过3.72tCO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/万元产值；开发区污染物排放强度：SO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0.48kg/万元增加值、NO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1.0kg/万元增加值、颗粒物1.1kg/万元增加值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工业源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、非甲烷总烃0.043kg/万元增加值、COD0.01kg/万元增加值、氨氮0.48g/万元增加值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如行业要求更严，遵循行业要求</w:t>
                  </w:r>
                  <w:r>
                    <w:rPr>
                      <w:rFonts w:hint="eastAsia" w:ascii="Times New Roman" w:hAnsi="Times New Roman" w:cs="Times New Roman"/>
                      <w:color w:val="auto"/>
                      <w:sz w:val="21"/>
                      <w:szCs w:val="21"/>
                      <w:highlight w:val="none"/>
                      <w:lang w:eastAsia="zh-CN"/>
                    </w:rPr>
                    <w:t>；</w:t>
                  </w:r>
                </w:p>
                <w:p w14:paraId="14702AEB">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钢铁项目污染物排放强度满足以下要求：烧结球团工序SO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≤0.10kg/t、氮氧化物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≤0.14kg/t、颗粒物≤0.05kg/t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炼铁工序SO₂≤0.06kg/t、氮氧化物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≤0.20kg/t、颗粒物≤0.1kg/t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炼钢工序颗粒物≤0.10kg/t、热压延工序≤</w:t>
                  </w:r>
                </w:p>
                <w:p w14:paraId="5BD20D88">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SO</w:t>
                  </w:r>
                  <w:r>
                    <w:rPr>
                      <w:rFonts w:hint="eastAsia" w:ascii="Times New Roman" w:hAnsi="Times New Roman"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rPr>
                    <w:t>0.02kg/t、氮氧化物</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以二氧化氮计</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≤0.10kg/t、颗粒物≤0.019kg/t、COD≤0.006kg/t 产品；铁矿采选行业选矿工序废水产量≤0.7m³/t、悬浮物≤0.21kg/t、化学需氧量≤0.11kg/t</w:t>
                  </w:r>
                  <w:r>
                    <w:rPr>
                      <w:rFonts w:hint="eastAsia" w:ascii="Times New Roman" w:hAnsi="Times New Roman" w:cs="Times New Roman"/>
                      <w:color w:val="auto"/>
                      <w:sz w:val="21"/>
                      <w:szCs w:val="21"/>
                      <w:highlight w:val="none"/>
                      <w:lang w:eastAsia="zh-CN"/>
                    </w:rPr>
                    <w:t>；</w:t>
                  </w:r>
                </w:p>
                <w:p w14:paraId="651608A4">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2、入区项目应严格执行《关于加强重点行业建设项目区域削减措施监督管理的通知》的相关要求；</w:t>
                  </w:r>
                </w:p>
                <w:p w14:paraId="6FEA5CA0">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3、新建具有绩效评级要求的涉气建设项目，须达到B级及以上水平；</w:t>
                  </w:r>
                </w:p>
                <w:p w14:paraId="12F7852A">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4、新兴产业区、机械制造及建材产业区入驻项目须充分论证对规划居住区的影响；</w:t>
                  </w:r>
                </w:p>
                <w:p w14:paraId="721060B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5、入区项目清洁生产水平须达到国家已颁布的相应清洁生产标准或清洁生产评价指标体系的国内先进水平</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二级水平</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同时满足相应行业审批原则的规定，无标准的应达到先进及以上水平；</w:t>
                  </w:r>
                </w:p>
                <w:p w14:paraId="557AE9A1">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6、含一类重金属废水车间处理达标并满足相应排放标准后排入园区污水处理厂；难生化降解 废水、高盐废水需在厂区处理满足相应排放标准后方可排入开发区污水处理厂；</w:t>
                  </w:r>
                </w:p>
                <w:p w14:paraId="4B710AD2">
                  <w:pPr>
                    <w:pStyle w:val="51"/>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7、固体废物全部合理处置，其中危险废物收集、贮存、运输、处置、利用须满足国家、地方相关法律法规、技术规范、标准要求。</w:t>
                  </w:r>
                </w:p>
              </w:tc>
              <w:tc>
                <w:tcPr>
                  <w:tcW w:w="897" w:type="pct"/>
                  <w:noWrap w:val="0"/>
                  <w:vAlign w:val="center"/>
                </w:tcPr>
                <w:p w14:paraId="7A8EA8E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本项目颗粒物排放量1.1t/a，生产废水不外排，固体废物全部处置合理，危险废物暂存于厂区危废间，定期交由有资质单位处理</w:t>
                  </w:r>
                </w:p>
              </w:tc>
              <w:tc>
                <w:tcPr>
                  <w:tcW w:w="333" w:type="pct"/>
                  <w:noWrap w:val="0"/>
                  <w:vAlign w:val="center"/>
                </w:tcPr>
                <w:p w14:paraId="0911A19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w:t>
                  </w:r>
                </w:p>
              </w:tc>
            </w:tr>
            <w:tr w14:paraId="123E6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429" w:type="pct"/>
                  <w:noWrap w:val="0"/>
                  <w:vAlign w:val="center"/>
                </w:tcPr>
                <w:p w14:paraId="2B7B805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环境风险防控</w:t>
                  </w:r>
                </w:p>
              </w:tc>
              <w:tc>
                <w:tcPr>
                  <w:tcW w:w="3339" w:type="pct"/>
                  <w:noWrap w:val="0"/>
                  <w:vAlign w:val="center"/>
                </w:tcPr>
                <w:p w14:paraId="7DBCE9F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1、完善区域水环境风险三级防控体系，开发区雨水排放口设置闸阀，化工区内部设置2座初期雨水池</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兼做应急事故水池</w:t>
                  </w:r>
                  <w:r>
                    <w:rPr>
                      <w:rFonts w:hint="eastAsia" w:ascii="Times New Roman" w:hAnsi="Times New Roman" w:cs="Times New Roman"/>
                      <w:color w:val="auto"/>
                      <w:sz w:val="21"/>
                      <w:szCs w:val="21"/>
                      <w:highlight w:val="none"/>
                      <w:lang w:val="en-US" w:eastAsia="zh-CN"/>
                    </w:rPr>
                    <w:t>）；</w:t>
                  </w:r>
                </w:p>
                <w:p w14:paraId="1484AC3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2、定期开展监督性监测，重点监管企业和开发区周边土壤环境中重金属和持久性有机污染物；</w:t>
                  </w:r>
                </w:p>
                <w:p w14:paraId="128EE11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3、加强开发区与周边敏感区生态防护设施建设；</w:t>
                  </w:r>
                </w:p>
                <w:p w14:paraId="0C69CA7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4、加强海洋环境风险防范，确保海洋生态敏感区的海洋环境及海域生态安全；</w:t>
                  </w:r>
                </w:p>
                <w:p w14:paraId="3709D24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5、对于易导致环境风险的有毒有害和易燃易爆物质的生产、使用、排放、贮运等新建、改扩建项目，风险防控措施应满足本评价提出的环境风险管理要求；</w:t>
                  </w:r>
                </w:p>
                <w:p w14:paraId="57B5F11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6、涉风险物质企业应在建设项目环评、安评阶段进一步详细论证其风险状态下的影响范围，新增风险源的大气毒性终点浓度-1范围内不得有常住居民，具体控制距离根据项目环评的风 险分析结论确定；</w:t>
                  </w:r>
                </w:p>
                <w:p w14:paraId="2902B50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7、入区涉风险企业根据要求编制突然环境事件应急预案并在相关生态环境管理部门备案，成立应急组织机构，定期开展应急演练，提高环境风险防范能力；</w:t>
                  </w:r>
                </w:p>
                <w:p w14:paraId="1B6B53E9">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8、建立有效的事故风险防范体系，使开发区建设和环境保护协调发展。</w:t>
                  </w:r>
                </w:p>
              </w:tc>
              <w:tc>
                <w:tcPr>
                  <w:tcW w:w="897" w:type="pct"/>
                  <w:noWrap w:val="0"/>
                  <w:vAlign w:val="center"/>
                </w:tcPr>
                <w:p w14:paraId="4BA720B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项目建设一座初期雨水收集池，严格落实风险防范措施</w:t>
                  </w:r>
                </w:p>
              </w:tc>
              <w:tc>
                <w:tcPr>
                  <w:tcW w:w="333" w:type="pct"/>
                  <w:noWrap w:val="0"/>
                  <w:vAlign w:val="center"/>
                </w:tcPr>
                <w:p w14:paraId="7479DF5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1BCF2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429" w:type="pct"/>
                  <w:noWrap w:val="0"/>
                  <w:vAlign w:val="center"/>
                </w:tcPr>
                <w:p w14:paraId="5F51C1E2">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资源开发利用要求</w:t>
                  </w:r>
                </w:p>
              </w:tc>
              <w:tc>
                <w:tcPr>
                  <w:tcW w:w="3339" w:type="pct"/>
                  <w:noWrap w:val="0"/>
                  <w:vAlign w:val="center"/>
                </w:tcPr>
                <w:p w14:paraId="367CE19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1、优先利用区域集中供热和工业余热资源，禁止新建分散燃煤、生物质供热设施；规划入驻 项目应优先利用集中供热，因工艺需求，企业可自建燃气等清洁能源锅炉，并充分论证可行性；</w:t>
                  </w:r>
                </w:p>
                <w:p w14:paraId="7F696A0D">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2、在集中供水实施前，有自备井企业可暂由自备井供水，使用量不得突破合法取水许可量；待集中供水实施后，逐步关停自备水井，禁止新增自备井；具备使用再生水条件的企业优先利 用再生水；具备使用海水淡化水的企业优先利用海水淡化水；</w:t>
                  </w:r>
                </w:p>
                <w:p w14:paraId="6F15AF2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3、钢铁项目烧结球团工序能耗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不含脱硝</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≤45kgce/t、电力消耗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不含脱硝，回收电量不抵扣</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≤40kwh/t、固体燃料消耗≤41kgce/t、生产取水量≤0.2m³/t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炼铁工序能耗≤361kgce/t、高炉燃料比≤495kg/t、入炉焦比≤315kg/t、高炉喷煤比≥170kg/t、生产取水量≤0.42m³/t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炼钢工序能耗≤-30kgce/t、生产取水量≤0.5m³/t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热压延工序吨产品新水消耗≤0.60kg/t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铁矿采选金属回收率≥80%</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电耗≤28kw·h/t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水耗≤7m³/t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焦炉技改项目顶装焦炉能耗≤110kgce/t</w:t>
                  </w:r>
                  <w:r>
                    <w:rPr>
                      <w:rFonts w:hint="eastAsia" w:ascii="Times New Roman" w:hAnsi="Times New Roman" w:cs="Times New Roman"/>
                      <w:color w:val="auto"/>
                      <w:sz w:val="21"/>
                      <w:szCs w:val="21"/>
                      <w:highlight w:val="none"/>
                      <w:lang w:eastAsia="zh-CN"/>
                    </w:rPr>
                    <w:t>；</w:t>
                  </w:r>
                </w:p>
                <w:p w14:paraId="259A2724">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4、规划入区项目采用资源利用率高、污染物产生量小的清洁生产技术、工艺和设备，单位产品物耗、能耗、水耗、资源综合利用和污染物排放量等指标达到清洁生产先进水平。</w:t>
                  </w:r>
                </w:p>
                <w:p w14:paraId="4E5E52D6">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5、开发区不能突破园区土地资源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66.364km²)、水资源</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新鲜水4125.48万m³/a)、能耗</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930.576万tce/a</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利用上线。</w:t>
                  </w:r>
                </w:p>
              </w:tc>
              <w:tc>
                <w:tcPr>
                  <w:tcW w:w="897" w:type="pct"/>
                  <w:noWrap w:val="0"/>
                  <w:vAlign w:val="center"/>
                </w:tcPr>
                <w:p w14:paraId="6FA3696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本项目生产车间不采暖，用水来自园区供水管网，不突破资源利用上线</w:t>
                  </w:r>
                </w:p>
              </w:tc>
              <w:tc>
                <w:tcPr>
                  <w:tcW w:w="333" w:type="pct"/>
                  <w:noWrap w:val="0"/>
                  <w:vAlign w:val="center"/>
                </w:tcPr>
                <w:p w14:paraId="58972FEA">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snapToGrid w:val="0"/>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符合</w:t>
                  </w:r>
                </w:p>
              </w:tc>
            </w:tr>
            <w:tr w14:paraId="68470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9" w:hRule="atLeast"/>
                <w:jc w:val="center"/>
              </w:trPr>
              <w:tc>
                <w:tcPr>
                  <w:tcW w:w="429" w:type="pct"/>
                  <w:noWrap w:val="0"/>
                  <w:vAlign w:val="center"/>
                </w:tcPr>
                <w:p w14:paraId="0C4D790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产业准入要求</w:t>
                  </w:r>
                </w:p>
              </w:tc>
              <w:tc>
                <w:tcPr>
                  <w:tcW w:w="3339" w:type="pct"/>
                  <w:noWrap w:val="0"/>
                  <w:vAlign w:val="center"/>
                </w:tcPr>
                <w:p w14:paraId="6235817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1、禁止新建国家《产业结构调整指导目录(2024年版)》及后续版本中限制类、淘汰类产业项目，《市场准入负面清单》中禁止准入类及《河北省禁止投资的产业目录》中的产业项目。</w:t>
                  </w:r>
                </w:p>
                <w:p w14:paraId="09368595">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2、禁入不符合开发区产业发展方向或上下游产业、行业准入要求的项目。</w:t>
                  </w:r>
                </w:p>
                <w:p w14:paraId="1BF00B18">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3、严控开发区“两高”行业产能：炼铁(3110)产能上限为896万吨/年，炼钢(3120)产能上限 为810万吨/年，炼焦(2521)产能上限为708万吨/年，水泥粉磨(C3011)440万吨、卫生陶瓷制品制造(C3072)400万件/年，火力发电(D4411)1200MW;热电联产(D4412)50MW。</w:t>
                  </w:r>
                </w:p>
                <w:p w14:paraId="232347AB">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4、化工产业：禁止建设农药制造(263)、禁止建设炸药、火工及焰火产品制造(267)</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新型建材产业：禁止建设水泥制造(3011)中的水泥熟料生产项目，禁止建设平板玻璃制造(3041)</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禁止建设石棉制品制造(3081)</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有色金属冶炼(321)仅限再生资源冶炼项目。</w:t>
                  </w:r>
                </w:p>
                <w:p w14:paraId="22CE8440">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5、开发区钢铁等企业大宗物料和产品采用铁路、水路、管道或者管状带式运输机等清洁方式 运输比例不低于85%</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达不到的，汽车运输部分应全部采用电动重卡、新能源汽车或达到国六 排放标准的汽车。</w:t>
                  </w:r>
                </w:p>
                <w:p w14:paraId="6CB82F5C">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6、新兴产业区：禁止新建涉及铸造、专业电镀等表面处理工艺的项目；禁入涉及有毒有害污 染物、二噁英、苯并[a]芘、氰化物、氯气排放的项目</w:t>
                  </w:r>
                </w:p>
                <w:p w14:paraId="43797C81">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7、加工物流区：港兴大街以北仅建设仓储物流项目，且不得新增有毒有害和易燃易爆危险物质存储项目。</w:t>
                  </w:r>
                </w:p>
              </w:tc>
              <w:tc>
                <w:tcPr>
                  <w:tcW w:w="897" w:type="pct"/>
                  <w:noWrap w:val="0"/>
                  <w:vAlign w:val="center"/>
                </w:tcPr>
                <w:p w14:paraId="75CF5DF7">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本项目不属于</w:t>
                  </w:r>
                  <w:r>
                    <w:rPr>
                      <w:rFonts w:hint="default" w:ascii="Times New Roman" w:hAnsi="Times New Roman" w:eastAsia="宋体" w:cs="Times New Roman"/>
                      <w:color w:val="auto"/>
                      <w:sz w:val="21"/>
                      <w:szCs w:val="21"/>
                      <w:highlight w:val="none"/>
                    </w:rPr>
                    <w:t>《产业结构调整指导目录(2024年版)》</w:t>
                  </w:r>
                  <w:r>
                    <w:rPr>
                      <w:rFonts w:hint="eastAsia" w:ascii="Times New Roman" w:hAnsi="Times New Roman" w:eastAsia="宋体" w:cs="Times New Roman"/>
                      <w:color w:val="auto"/>
                      <w:sz w:val="21"/>
                      <w:szCs w:val="21"/>
                      <w:highlight w:val="none"/>
                      <w:lang w:eastAsia="zh-CN"/>
                    </w:rPr>
                    <w:t>中限制类、淘汰类项目，符合行业准入要求，运输车辆均采用新能源汽车</w:t>
                  </w:r>
                </w:p>
              </w:tc>
              <w:tc>
                <w:tcPr>
                  <w:tcW w:w="333" w:type="pct"/>
                  <w:noWrap w:val="0"/>
                  <w:vAlign w:val="center"/>
                </w:tcPr>
                <w:p w14:paraId="2CAF74DF">
                  <w:pPr>
                    <w:pStyle w:val="51"/>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符合</w:t>
                  </w:r>
                </w:p>
              </w:tc>
            </w:tr>
            <w:tr w14:paraId="49308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0"/>
                  <w:vAlign w:val="center"/>
                </w:tcPr>
                <w:p w14:paraId="5EE99E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其他相关要求</w:t>
                  </w:r>
                </w:p>
              </w:tc>
              <w:tc>
                <w:tcPr>
                  <w:tcW w:w="3339" w:type="pct"/>
                  <w:noWrap w:val="0"/>
                  <w:vAlign w:val="center"/>
                </w:tcPr>
                <w:p w14:paraId="0B19A3E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1、入区项目需严格按照《中华人民共和国防沙治沙法》有关规定，落实防沙治沙措施。</w:t>
                  </w:r>
                </w:p>
                <w:p w14:paraId="267124D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2、新建涉及重点重金属排放的建设项目需明确重点重金属污染物排放总量及来源。</w:t>
                  </w:r>
                </w:p>
                <w:p w14:paraId="08E61F4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3、入区项目严格执行相关行业深度治理要求、重污染天气应急减排措施制定技术指南。</w:t>
                  </w:r>
                </w:p>
              </w:tc>
              <w:tc>
                <w:tcPr>
                  <w:tcW w:w="897" w:type="pct"/>
                  <w:noWrap w:val="0"/>
                  <w:vAlign w:val="center"/>
                </w:tcPr>
                <w:p w14:paraId="2A4CEC1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本项目污染物达标排放</w:t>
                  </w:r>
                </w:p>
              </w:tc>
              <w:tc>
                <w:tcPr>
                  <w:tcW w:w="333" w:type="pct"/>
                  <w:noWrap w:val="0"/>
                  <w:vAlign w:val="center"/>
                </w:tcPr>
                <w:p w14:paraId="7E6776B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bl>
          <w:p w14:paraId="1F4FDB72">
            <w:pPr>
              <w:keepNext w:val="0"/>
              <w:keepLines w:val="0"/>
              <w:pageBreakBefore w:val="0"/>
              <w:widowControl w:val="0"/>
              <w:kinsoku/>
              <w:wordWrap/>
              <w:overflowPunct/>
              <w:topLinePunct w:val="0"/>
              <w:bidi w:val="0"/>
              <w:spacing w:line="500" w:lineRule="exact"/>
              <w:ind w:firstLine="482" w:firstLineChars="200"/>
              <w:textAlignment w:val="auto"/>
              <w:rPr>
                <w:rFonts w:eastAsiaTheme="minorEastAsia"/>
                <w:b/>
                <w:bCs/>
                <w:color w:val="auto"/>
                <w:sz w:val="24"/>
              </w:rPr>
            </w:pPr>
            <w:r>
              <w:rPr>
                <w:rFonts w:hint="eastAsia" w:eastAsiaTheme="minorEastAsia"/>
                <w:b/>
                <w:bCs/>
                <w:color w:val="auto"/>
                <w:sz w:val="24"/>
              </w:rPr>
              <w:t>（5）</w:t>
            </w:r>
            <w:r>
              <w:rPr>
                <w:rFonts w:eastAsiaTheme="minorEastAsia"/>
                <w:b/>
                <w:bCs/>
                <w:color w:val="auto"/>
                <w:sz w:val="24"/>
              </w:rPr>
              <w:t>与《唐山市人民政府关于实施“三线一单”生态环境分区管控的意见》（唐政字〔2021〕48号）符合性分析</w:t>
            </w:r>
          </w:p>
          <w:p w14:paraId="4EEA7946">
            <w:pPr>
              <w:keepNext w:val="0"/>
              <w:keepLines w:val="0"/>
              <w:pageBreakBefore w:val="0"/>
              <w:widowControl w:val="0"/>
              <w:kinsoku/>
              <w:wordWrap/>
              <w:overflowPunct/>
              <w:topLinePunct w:val="0"/>
              <w:bidi w:val="0"/>
              <w:spacing w:line="500" w:lineRule="exact"/>
              <w:ind w:firstLine="480" w:firstLineChars="200"/>
              <w:textAlignment w:val="auto"/>
              <w:rPr>
                <w:rFonts w:eastAsiaTheme="minorEastAsia"/>
                <w:color w:val="auto"/>
                <w:sz w:val="24"/>
              </w:rPr>
            </w:pPr>
            <w:r>
              <w:rPr>
                <w:rFonts w:hint="eastAsia" w:cs="宋体" w:eastAsiaTheme="minorEastAsia"/>
                <w:color w:val="auto"/>
                <w:sz w:val="24"/>
              </w:rPr>
              <w:t>根据</w:t>
            </w:r>
            <w:r>
              <w:rPr>
                <w:rFonts w:hint="eastAsia" w:cs="宋体" w:eastAsiaTheme="minorEastAsia"/>
                <w:color w:val="auto"/>
                <w:sz w:val="24"/>
                <w:lang w:eastAsia="zh-CN"/>
              </w:rPr>
              <w:t>唐山市人民政府关于实施“三线一单”生态环境分区管控的意见》（唐政字〔2021〕48号）及《唐山市生态环境准入清单》（2023年版）</w:t>
            </w:r>
            <w:r>
              <w:rPr>
                <w:rFonts w:eastAsiaTheme="minorEastAsia"/>
                <w:color w:val="auto"/>
                <w:sz w:val="24"/>
              </w:rPr>
              <w:t>，加快实施“三线一单”，构建生态环境分区管控体系，推动经济高质量发展和生态环境高水平保护协同并进。</w:t>
            </w:r>
            <w:r>
              <w:rPr>
                <w:rFonts w:hint="eastAsia" w:eastAsiaTheme="minorEastAsia"/>
                <w:color w:val="auto"/>
                <w:sz w:val="24"/>
              </w:rPr>
              <w:t>全市共划定环境管控单元228个，分为优先管控单元、重点管控单元和一般管控单元，唐山市环境管控单元分布图见附图</w:t>
            </w:r>
            <w:r>
              <w:rPr>
                <w:rFonts w:hint="eastAsia" w:eastAsiaTheme="minorEastAsia"/>
                <w:color w:val="auto"/>
                <w:sz w:val="24"/>
                <w:lang w:val="en-US" w:eastAsia="zh-CN"/>
              </w:rPr>
              <w:t>6</w:t>
            </w:r>
            <w:r>
              <w:rPr>
                <w:rFonts w:hint="eastAsia" w:eastAsiaTheme="minorEastAsia"/>
                <w:color w:val="auto"/>
                <w:sz w:val="24"/>
              </w:rPr>
              <w:t>。</w:t>
            </w:r>
          </w:p>
          <w:p w14:paraId="44BAADE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eastAsiaTheme="minorEastAsia"/>
                <w:color w:val="auto"/>
                <w:kern w:val="0"/>
                <w:sz w:val="24"/>
              </w:rPr>
            </w:pPr>
            <w:r>
              <w:rPr>
                <w:rFonts w:hint="eastAsia" w:eastAsiaTheme="minorEastAsia"/>
                <w:color w:val="auto"/>
                <w:sz w:val="24"/>
              </w:rPr>
              <w:t>本项目位于河北省唐山市河北唐山海港开发区港前南街以北，海富路以西，唐山城矿物联网科技有限公司厂区西部，由唐山市环境管控单元分布图知，本项目属于</w:t>
            </w:r>
            <w:r>
              <w:rPr>
                <w:rFonts w:hint="eastAsia" w:eastAsiaTheme="minorEastAsia"/>
                <w:color w:val="auto"/>
                <w:sz w:val="24"/>
                <w:lang w:eastAsia="zh-CN"/>
              </w:rPr>
              <w:t>重点</w:t>
            </w:r>
            <w:r>
              <w:rPr>
                <w:rFonts w:hint="eastAsia" w:eastAsiaTheme="minorEastAsia"/>
                <w:color w:val="auto"/>
                <w:sz w:val="24"/>
              </w:rPr>
              <w:t>管控单元。</w:t>
            </w:r>
            <w:r>
              <w:rPr>
                <w:rFonts w:eastAsiaTheme="minorEastAsia"/>
                <w:color w:val="auto"/>
                <w:sz w:val="24"/>
              </w:rPr>
              <w:t>与</w:t>
            </w:r>
            <w:r>
              <w:rPr>
                <w:rFonts w:hint="eastAsia" w:cs="宋体" w:eastAsiaTheme="minorEastAsia"/>
                <w:color w:val="auto"/>
                <w:sz w:val="24"/>
              </w:rPr>
              <w:t>唐山市生态环境准入清单</w:t>
            </w:r>
            <w:r>
              <w:rPr>
                <w:rFonts w:hint="eastAsia"/>
                <w:sz w:val="24"/>
                <w:szCs w:val="24"/>
                <w:lang w:eastAsia="zh-CN"/>
              </w:rPr>
              <w:t>（</w:t>
            </w:r>
            <w:r>
              <w:rPr>
                <w:rFonts w:hint="eastAsia"/>
                <w:sz w:val="24"/>
                <w:szCs w:val="24"/>
                <w:lang w:val="en-US" w:eastAsia="zh-CN"/>
              </w:rPr>
              <w:t>2023年版</w:t>
            </w:r>
            <w:r>
              <w:rPr>
                <w:rFonts w:hint="eastAsia"/>
                <w:sz w:val="24"/>
                <w:szCs w:val="24"/>
                <w:lang w:eastAsia="zh-CN"/>
              </w:rPr>
              <w:t>）</w:t>
            </w:r>
            <w:r>
              <w:rPr>
                <w:rFonts w:eastAsiaTheme="minorEastAsia"/>
                <w:color w:val="auto"/>
                <w:sz w:val="24"/>
                <w:szCs w:val="24"/>
              </w:rPr>
              <w:t>符</w:t>
            </w:r>
            <w:r>
              <w:rPr>
                <w:rFonts w:eastAsiaTheme="minorEastAsia"/>
                <w:color w:val="auto"/>
                <w:sz w:val="24"/>
              </w:rPr>
              <w:t>合性分</w:t>
            </w:r>
            <w:r>
              <w:rPr>
                <w:rFonts w:eastAsiaTheme="minorEastAsia"/>
                <w:color w:val="auto"/>
                <w:sz w:val="24"/>
                <w:highlight w:val="none"/>
              </w:rPr>
              <w:t>析见表</w:t>
            </w:r>
            <w:r>
              <w:rPr>
                <w:rFonts w:hint="eastAsia" w:eastAsiaTheme="minorEastAsia"/>
                <w:color w:val="auto"/>
                <w:sz w:val="24"/>
                <w:highlight w:val="none"/>
                <w:lang w:val="en-US" w:eastAsia="zh-CN"/>
              </w:rPr>
              <w:t>5</w:t>
            </w:r>
            <w:r>
              <w:rPr>
                <w:rFonts w:hint="eastAsia" w:eastAsiaTheme="minorEastAsia"/>
                <w:color w:val="auto"/>
                <w:sz w:val="24"/>
                <w:highlight w:val="none"/>
              </w:rPr>
              <w:t>。</w:t>
            </w:r>
          </w:p>
        </w:tc>
      </w:tr>
    </w:tbl>
    <w:p w14:paraId="054703F6">
      <w:pPr>
        <w:pStyle w:val="2"/>
        <w:rPr>
          <w:color w:val="auto"/>
        </w:rPr>
        <w:sectPr>
          <w:footerReference r:id="rId8"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tbl>
      <w:tblPr>
        <w:tblStyle w:val="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3316"/>
      </w:tblGrid>
      <w:tr w14:paraId="3D5C7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4" w:hRule="atLeast"/>
          <w:jc w:val="center"/>
        </w:trPr>
        <w:tc>
          <w:tcPr>
            <w:tcW w:w="317" w:type="pct"/>
            <w:vAlign w:val="center"/>
          </w:tcPr>
          <w:p w14:paraId="11900FF3">
            <w:pPr>
              <w:pStyle w:val="4"/>
              <w:rPr>
                <w:color w:val="auto"/>
              </w:rPr>
            </w:pPr>
          </w:p>
        </w:tc>
        <w:tc>
          <w:tcPr>
            <w:tcW w:w="4682" w:type="pct"/>
          </w:tcPr>
          <w:p w14:paraId="3A723CA0">
            <w:pPr>
              <w:numPr>
                <w:ilvl w:val="0"/>
                <w:numId w:val="0"/>
              </w:numPr>
              <w:tabs>
                <w:tab w:val="left" w:pos="0"/>
              </w:tabs>
              <w:spacing w:line="500" w:lineRule="exact"/>
              <w:ind w:left="3373" w:leftChars="0" w:hanging="3373" w:hangingChars="1400"/>
              <w:jc w:val="center"/>
              <w:rPr>
                <w:b/>
                <w:bCs/>
                <w:color w:val="auto"/>
                <w:sz w:val="24"/>
                <w:lang w:val="zh-CN"/>
              </w:rPr>
            </w:pPr>
            <w:r>
              <w:rPr>
                <w:rFonts w:hint="default" w:ascii="Times New Roman" w:hAnsi="Times New Roman" w:eastAsia="宋体" w:cs="Times New Roman"/>
                <w:b/>
                <w:bCs/>
                <w:color w:val="auto"/>
                <w:kern w:val="2"/>
                <w:sz w:val="24"/>
                <w:szCs w:val="24"/>
                <w:lang w:val="zh-CN" w:eastAsia="zh-CN" w:bidi="ar-SA"/>
              </w:rPr>
              <w:t>表</w:t>
            </w:r>
            <w:r>
              <w:rPr>
                <w:rFonts w:hint="eastAsia" w:cs="Times New Roman"/>
                <w:b/>
                <w:bCs/>
                <w:color w:val="auto"/>
                <w:kern w:val="2"/>
                <w:sz w:val="24"/>
                <w:szCs w:val="24"/>
                <w:lang w:val="en-US" w:eastAsia="zh-CN" w:bidi="ar-SA"/>
              </w:rPr>
              <w:t xml:space="preserve">4  </w:t>
            </w:r>
            <w:r>
              <w:rPr>
                <w:rFonts w:hint="eastAsia"/>
                <w:b/>
                <w:bCs/>
                <w:color w:val="auto"/>
                <w:sz w:val="24"/>
                <w:lang w:val="en-US" w:eastAsia="zh-CN"/>
              </w:rPr>
              <w:t xml:space="preserve"> </w:t>
            </w:r>
            <w:r>
              <w:rPr>
                <w:rFonts w:hint="eastAsia"/>
                <w:b/>
                <w:bCs/>
                <w:color w:val="auto"/>
                <w:sz w:val="24"/>
                <w:lang w:val="zh-CN"/>
              </w:rPr>
              <w:t xml:space="preserve"> </w:t>
            </w:r>
            <w:r>
              <w:rPr>
                <w:b/>
                <w:color w:val="auto"/>
                <w:sz w:val="24"/>
              </w:rPr>
              <w:t>与</w:t>
            </w:r>
            <w:r>
              <w:rPr>
                <w:rFonts w:hint="default" w:ascii="Times New Roman" w:hAnsi="Times New Roman" w:eastAsia="宋体" w:cs="Times New Roman"/>
                <w:b/>
                <w:color w:val="000000"/>
                <w:sz w:val="24"/>
                <w:szCs w:val="24"/>
                <w:highlight w:val="none"/>
              </w:rPr>
              <w:t xml:space="preserve"> “</w:t>
            </w:r>
            <w:r>
              <w:rPr>
                <w:rFonts w:hint="default" w:ascii="Times New Roman" w:hAnsi="Times New Roman" w:cs="Times New Roman"/>
                <w:b/>
                <w:color w:val="000000"/>
                <w:sz w:val="24"/>
                <w:szCs w:val="24"/>
                <w:highlight w:val="none"/>
                <w:lang w:eastAsia="zh-CN"/>
              </w:rPr>
              <w:t>唐山市</w:t>
            </w:r>
            <w:r>
              <w:rPr>
                <w:rFonts w:hint="default" w:ascii="Times New Roman" w:hAnsi="Times New Roman" w:eastAsia="宋体" w:cs="Times New Roman"/>
                <w:b/>
                <w:color w:val="000000"/>
                <w:sz w:val="24"/>
                <w:szCs w:val="24"/>
                <w:highlight w:val="none"/>
                <w:lang w:eastAsia="zh-CN"/>
              </w:rPr>
              <w:t>生态</w:t>
            </w:r>
            <w:r>
              <w:rPr>
                <w:rFonts w:hint="default" w:ascii="Times New Roman" w:hAnsi="Times New Roman" w:eastAsia="宋体" w:cs="Times New Roman"/>
                <w:b/>
                <w:color w:val="000000"/>
                <w:sz w:val="24"/>
                <w:szCs w:val="24"/>
                <w:highlight w:val="none"/>
              </w:rPr>
              <w:t>环境准入清</w:t>
            </w:r>
            <w:r>
              <w:rPr>
                <w:rFonts w:hint="default" w:ascii="Times New Roman" w:hAnsi="Times New Roman" w:eastAsia="宋体" w:cs="Times New Roman"/>
                <w:b/>
                <w:bCs/>
                <w:color w:val="000000"/>
                <w:sz w:val="24"/>
                <w:szCs w:val="24"/>
                <w:highlight w:val="none"/>
                <w:lang w:val="zh-CN"/>
              </w:rPr>
              <w:t>单</w:t>
            </w:r>
            <w:r>
              <w:rPr>
                <w:rFonts w:hint="eastAsia" w:ascii="Times New Roman" w:hAnsi="Times New Roman" w:eastAsia="宋体" w:cs="Times New Roman"/>
                <w:b/>
                <w:bCs/>
                <w:color w:val="000000"/>
                <w:sz w:val="24"/>
                <w:szCs w:val="24"/>
                <w:highlight w:val="none"/>
                <w:lang w:val="zh-CN" w:eastAsia="zh-CN"/>
              </w:rPr>
              <w:t>（</w:t>
            </w:r>
            <w:r>
              <w:rPr>
                <w:rFonts w:hint="eastAsia" w:ascii="Times New Roman" w:hAnsi="Times New Roman" w:eastAsia="宋体" w:cs="Times New Roman"/>
                <w:b/>
                <w:bCs/>
                <w:color w:val="000000"/>
                <w:sz w:val="24"/>
                <w:szCs w:val="24"/>
                <w:highlight w:val="none"/>
                <w:lang w:val="en-US" w:eastAsia="zh-CN"/>
              </w:rPr>
              <w:t>2023年版</w:t>
            </w:r>
            <w:r>
              <w:rPr>
                <w:rFonts w:hint="eastAsia" w:ascii="Times New Roman" w:hAnsi="Times New Roman" w:eastAsia="宋体" w:cs="Times New Roman"/>
                <w:b/>
                <w:bCs/>
                <w:color w:val="000000"/>
                <w:sz w:val="24"/>
                <w:szCs w:val="24"/>
                <w:highlight w:val="none"/>
                <w:lang w:val="zh-CN" w:eastAsia="zh-CN"/>
              </w:rPr>
              <w:t>）</w:t>
            </w:r>
            <w:r>
              <w:rPr>
                <w:rFonts w:hint="eastAsia"/>
                <w:b/>
                <w:bCs/>
                <w:color w:val="auto"/>
                <w:sz w:val="24"/>
                <w:lang w:val="zh-CN"/>
              </w:rPr>
              <w:t>要求符合性分析</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01"/>
              <w:gridCol w:w="1145"/>
              <w:gridCol w:w="7413"/>
              <w:gridCol w:w="2920"/>
              <w:gridCol w:w="886"/>
            </w:tblGrid>
            <w:tr w14:paraId="455DB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68" w:type="pct"/>
                  <w:vAlign w:val="center"/>
                </w:tcPr>
                <w:p w14:paraId="4812E1FC">
                  <w:pPr>
                    <w:spacing w:line="320" w:lineRule="exact"/>
                    <w:jc w:val="center"/>
                    <w:rPr>
                      <w:color w:val="auto"/>
                      <w:szCs w:val="21"/>
                    </w:rPr>
                  </w:pPr>
                  <w:r>
                    <w:rPr>
                      <w:color w:val="auto"/>
                      <w:szCs w:val="21"/>
                    </w:rPr>
                    <w:t>要素属性</w:t>
                  </w:r>
                </w:p>
              </w:tc>
              <w:tc>
                <w:tcPr>
                  <w:tcW w:w="438" w:type="pct"/>
                  <w:vAlign w:val="center"/>
                </w:tcPr>
                <w:p w14:paraId="0C6AA49B">
                  <w:pPr>
                    <w:spacing w:line="320" w:lineRule="exact"/>
                    <w:jc w:val="center"/>
                    <w:rPr>
                      <w:color w:val="auto"/>
                      <w:szCs w:val="21"/>
                    </w:rPr>
                  </w:pPr>
                  <w:r>
                    <w:rPr>
                      <w:color w:val="auto"/>
                      <w:szCs w:val="21"/>
                    </w:rPr>
                    <w:t>管控类别</w:t>
                  </w:r>
                </w:p>
              </w:tc>
              <w:tc>
                <w:tcPr>
                  <w:tcW w:w="2836" w:type="pct"/>
                  <w:vAlign w:val="center"/>
                </w:tcPr>
                <w:p w14:paraId="71BD8FCF">
                  <w:pPr>
                    <w:spacing w:line="320" w:lineRule="exact"/>
                    <w:jc w:val="center"/>
                    <w:rPr>
                      <w:color w:val="auto"/>
                      <w:szCs w:val="21"/>
                    </w:rPr>
                  </w:pPr>
                  <w:r>
                    <w:rPr>
                      <w:color w:val="auto"/>
                      <w:szCs w:val="21"/>
                    </w:rPr>
                    <w:t>管控要求</w:t>
                  </w:r>
                </w:p>
              </w:tc>
              <w:tc>
                <w:tcPr>
                  <w:tcW w:w="1117" w:type="pct"/>
                  <w:vAlign w:val="center"/>
                </w:tcPr>
                <w:p w14:paraId="085EF547">
                  <w:pPr>
                    <w:spacing w:line="320" w:lineRule="exact"/>
                    <w:jc w:val="center"/>
                    <w:rPr>
                      <w:color w:val="auto"/>
                      <w:szCs w:val="21"/>
                    </w:rPr>
                  </w:pPr>
                  <w:r>
                    <w:rPr>
                      <w:color w:val="auto"/>
                      <w:szCs w:val="21"/>
                    </w:rPr>
                    <w:t>本项目实际</w:t>
                  </w:r>
                </w:p>
              </w:tc>
              <w:tc>
                <w:tcPr>
                  <w:tcW w:w="339" w:type="pct"/>
                  <w:vAlign w:val="center"/>
                </w:tcPr>
                <w:p w14:paraId="001B080D">
                  <w:pPr>
                    <w:spacing w:line="320" w:lineRule="exact"/>
                    <w:jc w:val="center"/>
                    <w:rPr>
                      <w:color w:val="auto"/>
                      <w:szCs w:val="21"/>
                    </w:rPr>
                  </w:pPr>
                  <w:r>
                    <w:rPr>
                      <w:color w:val="auto"/>
                      <w:szCs w:val="21"/>
                    </w:rPr>
                    <w:t>结论</w:t>
                  </w:r>
                </w:p>
              </w:tc>
            </w:tr>
            <w:tr w14:paraId="0509EE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68" w:type="pct"/>
                  <w:vMerge w:val="restart"/>
                  <w:vAlign w:val="center"/>
                </w:tcPr>
                <w:p w14:paraId="72B956C5">
                  <w:pPr>
                    <w:pStyle w:val="30"/>
                    <w:tabs>
                      <w:tab w:val="left" w:pos="226"/>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大气环境</w:t>
                  </w:r>
                </w:p>
              </w:tc>
              <w:tc>
                <w:tcPr>
                  <w:tcW w:w="438" w:type="pct"/>
                  <w:vAlign w:val="center"/>
                </w:tcPr>
                <w:p w14:paraId="23BBD069">
                  <w:pPr>
                    <w:spacing w:line="320" w:lineRule="exact"/>
                    <w:jc w:val="center"/>
                    <w:rPr>
                      <w:color w:val="auto"/>
                      <w:szCs w:val="21"/>
                    </w:rPr>
                  </w:pPr>
                  <w:r>
                    <w:rPr>
                      <w:rFonts w:hint="eastAsia"/>
                      <w:color w:val="auto"/>
                      <w:szCs w:val="21"/>
                    </w:rPr>
                    <w:t>污染防控目标</w:t>
                  </w:r>
                </w:p>
              </w:tc>
              <w:tc>
                <w:tcPr>
                  <w:tcW w:w="2836" w:type="pct"/>
                  <w:vAlign w:val="center"/>
                </w:tcPr>
                <w:p w14:paraId="7D4F681A">
                  <w:pPr>
                    <w:widowControl/>
                    <w:spacing w:line="320" w:lineRule="exact"/>
                    <w:jc w:val="center"/>
                    <w:rPr>
                      <w:color w:val="auto"/>
                      <w:szCs w:val="21"/>
                    </w:rPr>
                  </w:pPr>
                  <w:r>
                    <w:rPr>
                      <w:color w:val="auto"/>
                      <w:kern w:val="0"/>
                      <w:szCs w:val="20"/>
                      <w:lang w:bidi="ar"/>
                    </w:rPr>
                    <w:t>2025</w:t>
                  </w:r>
                  <w:r>
                    <w:rPr>
                      <w:rFonts w:hint="eastAsia" w:cs="宋体"/>
                      <w:color w:val="auto"/>
                      <w:kern w:val="0"/>
                      <w:szCs w:val="20"/>
                      <w:lang w:bidi="ar"/>
                    </w:rPr>
                    <w:t>年，全市细颗粒物（</w:t>
                  </w:r>
                  <w:r>
                    <w:rPr>
                      <w:color w:val="auto"/>
                      <w:kern w:val="0"/>
                      <w:szCs w:val="20"/>
                      <w:lang w:bidi="ar"/>
                    </w:rPr>
                    <w:t>PM</w:t>
                  </w:r>
                  <w:r>
                    <w:rPr>
                      <w:color w:val="auto"/>
                      <w:kern w:val="0"/>
                      <w:szCs w:val="13"/>
                      <w:lang w:bidi="ar"/>
                    </w:rPr>
                    <w:t>2.5</w:t>
                  </w:r>
                  <w:r>
                    <w:rPr>
                      <w:rFonts w:hint="eastAsia" w:cs="宋体"/>
                      <w:color w:val="auto"/>
                      <w:kern w:val="0"/>
                      <w:szCs w:val="20"/>
                      <w:lang w:bidi="ar"/>
                    </w:rPr>
                    <w:t>）平均浓度达到</w:t>
                  </w:r>
                  <w:r>
                    <w:rPr>
                      <w:color w:val="auto"/>
                      <w:kern w:val="0"/>
                      <w:szCs w:val="20"/>
                      <w:lang w:bidi="ar"/>
                    </w:rPr>
                    <w:t>40</w:t>
                  </w:r>
                  <w:r>
                    <w:rPr>
                      <w:rFonts w:hint="eastAsia" w:cs="宋体"/>
                      <w:color w:val="auto"/>
                      <w:kern w:val="0"/>
                      <w:szCs w:val="20"/>
                      <w:lang w:bidi="ar"/>
                    </w:rPr>
                    <w:t>微克</w:t>
                  </w:r>
                  <w:r>
                    <w:rPr>
                      <w:color w:val="auto"/>
                      <w:kern w:val="0"/>
                      <w:szCs w:val="20"/>
                      <w:lang w:bidi="ar"/>
                    </w:rPr>
                    <w:t>/</w:t>
                  </w:r>
                  <w:r>
                    <w:rPr>
                      <w:rFonts w:hint="eastAsia" w:cs="宋体"/>
                      <w:color w:val="auto"/>
                      <w:kern w:val="0"/>
                      <w:szCs w:val="20"/>
                      <w:lang w:bidi="ar"/>
                    </w:rPr>
                    <w:t>立方米左右，空气质量优良天数比率达到</w:t>
                  </w:r>
                  <w:r>
                    <w:rPr>
                      <w:color w:val="auto"/>
                      <w:kern w:val="0"/>
                      <w:szCs w:val="20"/>
                      <w:lang w:bidi="ar"/>
                    </w:rPr>
                    <w:t>70%</w:t>
                  </w:r>
                  <w:r>
                    <w:rPr>
                      <w:rFonts w:hint="eastAsia" w:cs="宋体"/>
                      <w:color w:val="auto"/>
                      <w:kern w:val="0"/>
                      <w:szCs w:val="20"/>
                      <w:lang w:bidi="ar"/>
                    </w:rPr>
                    <w:t>以上，单位地区生产总值二氧化碳排放下降比例达河北省要求。</w:t>
                  </w:r>
                </w:p>
              </w:tc>
              <w:tc>
                <w:tcPr>
                  <w:tcW w:w="1117" w:type="pct"/>
                  <w:vAlign w:val="center"/>
                </w:tcPr>
                <w:p w14:paraId="414EACE0">
                  <w:pPr>
                    <w:spacing w:line="320" w:lineRule="exact"/>
                    <w:jc w:val="center"/>
                    <w:rPr>
                      <w:color w:val="auto"/>
                      <w:szCs w:val="21"/>
                    </w:rPr>
                  </w:pPr>
                  <w:r>
                    <w:rPr>
                      <w:rFonts w:hint="eastAsia"/>
                      <w:color w:val="auto"/>
                      <w:szCs w:val="21"/>
                    </w:rPr>
                    <w:t>本项目</w:t>
                  </w:r>
                  <w:r>
                    <w:rPr>
                      <w:rFonts w:hint="eastAsia"/>
                      <w:color w:val="auto"/>
                    </w:rPr>
                    <w:t>煤炭</w:t>
                  </w:r>
                  <w:r>
                    <w:rPr>
                      <w:rFonts w:hint="eastAsia"/>
                      <w:color w:val="auto"/>
                      <w:lang w:eastAsia="zh-CN"/>
                    </w:rPr>
                    <w:t>、矿石</w:t>
                  </w:r>
                  <w:r>
                    <w:rPr>
                      <w:rFonts w:hint="eastAsia"/>
                      <w:color w:val="auto"/>
                    </w:rPr>
                    <w:t>装卸、堆存产生的颗粒物经喷淋设备处理后无组织排放</w:t>
                  </w:r>
                </w:p>
              </w:tc>
              <w:tc>
                <w:tcPr>
                  <w:tcW w:w="339" w:type="pct"/>
                  <w:vAlign w:val="center"/>
                </w:tcPr>
                <w:p w14:paraId="7C47B95A">
                  <w:pPr>
                    <w:spacing w:line="320" w:lineRule="exact"/>
                    <w:jc w:val="center"/>
                    <w:rPr>
                      <w:color w:val="auto"/>
                      <w:szCs w:val="21"/>
                    </w:rPr>
                  </w:pPr>
                  <w:r>
                    <w:rPr>
                      <w:rFonts w:hint="eastAsia"/>
                      <w:color w:val="auto"/>
                      <w:szCs w:val="21"/>
                    </w:rPr>
                    <w:t>符合</w:t>
                  </w:r>
                </w:p>
              </w:tc>
            </w:tr>
            <w:tr w14:paraId="25BD4B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57F9FC8B">
                  <w:pPr>
                    <w:pStyle w:val="30"/>
                    <w:tabs>
                      <w:tab w:val="left" w:pos="226"/>
                    </w:tabs>
                    <w:spacing w:line="320" w:lineRule="exact"/>
                    <w:rPr>
                      <w:rFonts w:ascii="Times New Roman" w:hAnsi="Times New Roman" w:cs="Times New Roman"/>
                      <w:color w:val="auto"/>
                      <w:sz w:val="21"/>
                      <w:szCs w:val="21"/>
                      <w:lang w:eastAsia="zh-CN"/>
                    </w:rPr>
                  </w:pPr>
                </w:p>
              </w:tc>
              <w:tc>
                <w:tcPr>
                  <w:tcW w:w="438" w:type="pct"/>
                  <w:vMerge w:val="restart"/>
                  <w:vAlign w:val="center"/>
                </w:tcPr>
                <w:p w14:paraId="43B90CCB">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2836" w:type="pct"/>
                  <w:vAlign w:val="center"/>
                </w:tcPr>
                <w:p w14:paraId="3E96D98E">
                  <w:pPr>
                    <w:pStyle w:val="30"/>
                    <w:tabs>
                      <w:tab w:val="left" w:pos="326"/>
                    </w:tabs>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color w:val="auto"/>
                      <w:sz w:val="21"/>
                      <w:szCs w:val="21"/>
                    </w:rPr>
                    <w:tab/>
                  </w:r>
                  <w:r>
                    <w:rPr>
                      <w:rFonts w:ascii="Times New Roman" w:hAnsi="Times New Roman" w:cs="Times New Roman"/>
                      <w:color w:val="auto"/>
                      <w:sz w:val="21"/>
                      <w:szCs w:val="21"/>
                    </w:rPr>
                    <w:t>全面推进沿海、迁安、滦州、迁西（遵化）4大片区规划建设，加快推进钢铁企业整合搬迁项目建设，推进</w:t>
                  </w:r>
                  <w:r>
                    <w:rPr>
                      <w:rFonts w:ascii="Times New Roman" w:hAnsi="Times New Roman" w:cs="Times New Roman"/>
                      <w:color w:val="auto"/>
                      <w:sz w:val="21"/>
                      <w:szCs w:val="21"/>
                      <w:lang w:val="zh-CN" w:eastAsia="zh-CN" w:bidi="zh-CN"/>
                    </w:rPr>
                    <w:t>“公转</w:t>
                  </w:r>
                  <w:r>
                    <w:rPr>
                      <w:rFonts w:ascii="Times New Roman" w:hAnsi="Times New Roman" w:cs="Times New Roman"/>
                      <w:color w:val="auto"/>
                      <w:sz w:val="21"/>
                      <w:szCs w:val="21"/>
                    </w:rPr>
                    <w:t>铁”、</w:t>
                  </w:r>
                  <w:r>
                    <w:rPr>
                      <w:rFonts w:ascii="Times New Roman" w:hAnsi="Times New Roman" w:cs="Times New Roman"/>
                      <w:color w:val="auto"/>
                      <w:sz w:val="21"/>
                      <w:szCs w:val="21"/>
                      <w:lang w:val="zh-CN" w:eastAsia="zh-CN" w:bidi="zh-CN"/>
                    </w:rPr>
                    <w:t>“公</w:t>
                  </w:r>
                  <w:r>
                    <w:rPr>
                      <w:rFonts w:ascii="Times New Roman" w:hAnsi="Times New Roman" w:cs="Times New Roman"/>
                      <w:color w:val="auto"/>
                      <w:sz w:val="21"/>
                      <w:szCs w:val="21"/>
                    </w:rPr>
                    <w:t>转水</w:t>
                  </w:r>
                  <w:r>
                    <w:rPr>
                      <w:rFonts w:ascii="Times New Roman" w:hAnsi="Times New Roman" w:cs="Times New Roman"/>
                      <w:color w:val="auto"/>
                      <w:sz w:val="21"/>
                      <w:szCs w:val="21"/>
                      <w:lang w:val="zh-CN" w:eastAsia="zh-CN" w:bidi="zh-CN"/>
                    </w:rPr>
                    <w:t>”和物</w:t>
                  </w:r>
                  <w:r>
                    <w:rPr>
                      <w:rFonts w:ascii="Times New Roman" w:hAnsi="Times New Roman" w:cs="Times New Roman"/>
                      <w:color w:val="auto"/>
                      <w:sz w:val="21"/>
                      <w:szCs w:val="21"/>
                    </w:rPr>
                    <w:t>料集中输送管廊项目建设，形成</w:t>
                  </w:r>
                  <w:r>
                    <w:rPr>
                      <w:rFonts w:ascii="Times New Roman" w:hAnsi="Times New Roman" w:cs="Times New Roman"/>
                      <w:color w:val="auto"/>
                      <w:sz w:val="21"/>
                      <w:szCs w:val="21"/>
                      <w:lang w:val="zh-CN" w:eastAsia="zh-CN" w:bidi="zh-CN"/>
                    </w:rPr>
                    <w:t>“沿海</w:t>
                  </w:r>
                  <w:r>
                    <w:rPr>
                      <w:rFonts w:ascii="Times New Roman" w:hAnsi="Times New Roman" w:cs="Times New Roman"/>
                      <w:color w:val="auto"/>
                      <w:sz w:val="21"/>
                      <w:szCs w:val="21"/>
                    </w:rPr>
                    <w:t>临港、铁路沿线”产业新布局。</w:t>
                  </w:r>
                </w:p>
              </w:tc>
              <w:tc>
                <w:tcPr>
                  <w:tcW w:w="1117" w:type="pct"/>
                  <w:vAlign w:val="center"/>
                </w:tcPr>
                <w:p w14:paraId="6FE8A8F7">
                  <w:pPr>
                    <w:spacing w:line="320" w:lineRule="exact"/>
                    <w:jc w:val="center"/>
                    <w:rPr>
                      <w:color w:val="auto"/>
                      <w:szCs w:val="21"/>
                    </w:rPr>
                  </w:pPr>
                  <w:r>
                    <w:rPr>
                      <w:rFonts w:hint="eastAsia"/>
                      <w:color w:val="auto"/>
                      <w:szCs w:val="21"/>
                    </w:rPr>
                    <w:t>不涉及</w:t>
                  </w:r>
                </w:p>
              </w:tc>
              <w:tc>
                <w:tcPr>
                  <w:tcW w:w="339" w:type="pct"/>
                  <w:vAlign w:val="center"/>
                </w:tcPr>
                <w:p w14:paraId="41C8CBCB">
                  <w:pPr>
                    <w:spacing w:line="320" w:lineRule="exact"/>
                    <w:jc w:val="center"/>
                    <w:rPr>
                      <w:color w:val="auto"/>
                      <w:szCs w:val="21"/>
                    </w:rPr>
                  </w:pPr>
                  <w:r>
                    <w:rPr>
                      <w:rFonts w:hint="eastAsia"/>
                      <w:color w:val="auto"/>
                      <w:szCs w:val="21"/>
                    </w:rPr>
                    <w:t>-</w:t>
                  </w:r>
                </w:p>
              </w:tc>
            </w:tr>
            <w:tr w14:paraId="7D0A6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499B82E7">
                  <w:pPr>
                    <w:spacing w:line="320" w:lineRule="exact"/>
                    <w:jc w:val="center"/>
                    <w:rPr>
                      <w:color w:val="auto"/>
                    </w:rPr>
                  </w:pPr>
                </w:p>
              </w:tc>
              <w:tc>
                <w:tcPr>
                  <w:tcW w:w="438" w:type="pct"/>
                  <w:vMerge w:val="continue"/>
                  <w:vAlign w:val="center"/>
                </w:tcPr>
                <w:p w14:paraId="187E1D86">
                  <w:pPr>
                    <w:spacing w:line="320" w:lineRule="exact"/>
                    <w:jc w:val="center"/>
                    <w:rPr>
                      <w:color w:val="auto"/>
                    </w:rPr>
                  </w:pPr>
                </w:p>
              </w:tc>
              <w:tc>
                <w:tcPr>
                  <w:tcW w:w="2836" w:type="pct"/>
                  <w:vAlign w:val="center"/>
                </w:tcPr>
                <w:p w14:paraId="60820A23">
                  <w:pPr>
                    <w:pStyle w:val="30"/>
                    <w:tabs>
                      <w:tab w:val="left" w:pos="322"/>
                    </w:tabs>
                    <w:spacing w:line="320" w:lineRule="exact"/>
                    <w:rPr>
                      <w:rFonts w:ascii="Times New Roman" w:hAnsi="Times New Roman"/>
                      <w:color w:val="auto"/>
                      <w:sz w:val="21"/>
                      <w:lang w:val="en-US" w:eastAsia="zh-CN"/>
                    </w:rPr>
                  </w:pPr>
                  <w:r>
                    <w:rPr>
                      <w:rFonts w:ascii="Times New Roman" w:hAnsi="Times New Roman" w:cs="Times New Roman"/>
                      <w:color w:val="auto"/>
                      <w:sz w:val="21"/>
                      <w:szCs w:val="21"/>
                    </w:rPr>
                    <w:t>2、</w:t>
                  </w:r>
                  <w:r>
                    <w:rPr>
                      <w:rFonts w:ascii="Times New Roman" w:hAnsi="Times New Roman" w:cs="Times New Roman"/>
                      <w:color w:val="auto"/>
                      <w:sz w:val="21"/>
                      <w:szCs w:val="21"/>
                    </w:rPr>
                    <w:tab/>
                  </w:r>
                  <w:r>
                    <w:rPr>
                      <w:rFonts w:ascii="Times New Roman" w:hAnsi="Times New Roman" w:cs="Times New Roman"/>
                      <w:color w:val="auto"/>
                      <w:sz w:val="21"/>
                      <w:szCs w:val="21"/>
                    </w:rPr>
                    <w:t>严禁</w:t>
                  </w:r>
                  <w:r>
                    <w:rPr>
                      <w:rFonts w:hint="eastAsia" w:ascii="Times New Roman" w:hAnsi="Times New Roman" w:cs="Times New Roman"/>
                      <w:color w:val="auto"/>
                      <w:sz w:val="21"/>
                      <w:szCs w:val="21"/>
                      <w:lang w:val="en-US" w:eastAsia="zh-CN"/>
                    </w:rPr>
                    <w:t>违规新增</w:t>
                  </w:r>
                  <w:r>
                    <w:rPr>
                      <w:rFonts w:ascii="Times New Roman" w:hAnsi="Times New Roman" w:cs="Times New Roman"/>
                      <w:color w:val="auto"/>
                      <w:sz w:val="21"/>
                      <w:szCs w:val="21"/>
                    </w:rPr>
                    <w:t>钢铁、</w:t>
                  </w:r>
                  <w:r>
                    <w:rPr>
                      <w:rFonts w:hint="eastAsia" w:ascii="Times New Roman" w:hAnsi="Times New Roman" w:cs="Times New Roman"/>
                      <w:color w:val="auto"/>
                      <w:sz w:val="21"/>
                      <w:szCs w:val="21"/>
                      <w:lang w:val="en-US" w:eastAsia="zh-CN"/>
                    </w:rPr>
                    <w:t>焦化、平板玻璃、</w:t>
                  </w:r>
                  <w:r>
                    <w:rPr>
                      <w:rFonts w:ascii="Times New Roman" w:hAnsi="Times New Roman" w:cs="Times New Roman"/>
                      <w:color w:val="auto"/>
                      <w:sz w:val="21"/>
                      <w:szCs w:val="21"/>
                    </w:rPr>
                    <w:t>水泥</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陶瓷产能，禁止新建《产业结构调整指导目录》中限制类项目。</w:t>
                  </w:r>
                </w:p>
              </w:tc>
              <w:tc>
                <w:tcPr>
                  <w:tcW w:w="1117" w:type="pct"/>
                  <w:vAlign w:val="center"/>
                </w:tcPr>
                <w:p w14:paraId="09EFBAD5">
                  <w:pPr>
                    <w:spacing w:line="320" w:lineRule="exact"/>
                    <w:jc w:val="center"/>
                    <w:rPr>
                      <w:color w:val="auto"/>
                      <w:szCs w:val="21"/>
                    </w:rPr>
                  </w:pPr>
                  <w:r>
                    <w:rPr>
                      <w:color w:val="auto"/>
                      <w:szCs w:val="21"/>
                    </w:rPr>
                    <w:t>本项目</w:t>
                  </w:r>
                  <w:r>
                    <w:rPr>
                      <w:rFonts w:hint="eastAsia"/>
                      <w:color w:val="auto"/>
                      <w:szCs w:val="21"/>
                    </w:rPr>
                    <w:t>为</w:t>
                  </w:r>
                  <w:r>
                    <w:rPr>
                      <w:rFonts w:hint="eastAsia"/>
                      <w:color w:val="auto"/>
                      <w:szCs w:val="21"/>
                      <w:lang w:eastAsia="zh-CN"/>
                    </w:rPr>
                    <w:t>仓储物流类</w:t>
                  </w:r>
                  <w:r>
                    <w:rPr>
                      <w:rFonts w:hint="eastAsia"/>
                      <w:color w:val="auto"/>
                      <w:szCs w:val="21"/>
                    </w:rPr>
                    <w:t>项目，不属于《产业结构调整指导目录》中限制类项目</w:t>
                  </w:r>
                </w:p>
              </w:tc>
              <w:tc>
                <w:tcPr>
                  <w:tcW w:w="339" w:type="pct"/>
                  <w:vAlign w:val="center"/>
                </w:tcPr>
                <w:p w14:paraId="18D47246">
                  <w:pPr>
                    <w:spacing w:line="320" w:lineRule="exact"/>
                    <w:jc w:val="center"/>
                    <w:rPr>
                      <w:color w:val="auto"/>
                      <w:szCs w:val="21"/>
                    </w:rPr>
                  </w:pPr>
                  <w:r>
                    <w:rPr>
                      <w:rFonts w:hint="eastAsia"/>
                      <w:color w:val="auto"/>
                      <w:szCs w:val="21"/>
                    </w:rPr>
                    <w:t>-</w:t>
                  </w:r>
                </w:p>
              </w:tc>
            </w:tr>
            <w:tr w14:paraId="76272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5F9DBD85">
                  <w:pPr>
                    <w:spacing w:line="320" w:lineRule="exact"/>
                    <w:jc w:val="center"/>
                    <w:rPr>
                      <w:color w:val="auto"/>
                      <w:szCs w:val="21"/>
                    </w:rPr>
                  </w:pPr>
                </w:p>
              </w:tc>
              <w:tc>
                <w:tcPr>
                  <w:tcW w:w="438" w:type="pct"/>
                  <w:vMerge w:val="continue"/>
                  <w:vAlign w:val="center"/>
                </w:tcPr>
                <w:p w14:paraId="5D5C0349">
                  <w:pPr>
                    <w:spacing w:line="320" w:lineRule="exact"/>
                    <w:jc w:val="center"/>
                    <w:rPr>
                      <w:color w:val="auto"/>
                      <w:szCs w:val="21"/>
                    </w:rPr>
                  </w:pPr>
                </w:p>
              </w:tc>
              <w:tc>
                <w:tcPr>
                  <w:tcW w:w="2836" w:type="pct"/>
                  <w:vAlign w:val="center"/>
                </w:tcPr>
                <w:p w14:paraId="3077C169">
                  <w:pPr>
                    <w:pStyle w:val="30"/>
                    <w:tabs>
                      <w:tab w:val="left" w:pos="322"/>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3、</w:t>
                  </w:r>
                  <w:r>
                    <w:rPr>
                      <w:rFonts w:ascii="Times New Roman" w:hAnsi="Times New Roman" w:cs="Times New Roman"/>
                      <w:color w:val="auto"/>
                      <w:sz w:val="21"/>
                      <w:szCs w:val="21"/>
                    </w:rPr>
                    <w:tab/>
                  </w:r>
                  <w:r>
                    <w:rPr>
                      <w:rFonts w:ascii="Times New Roman" w:hAnsi="Times New Roman" w:cs="Times New Roman"/>
                      <w:color w:val="auto"/>
                      <w:sz w:val="21"/>
                      <w:szCs w:val="21"/>
                    </w:rPr>
                    <w:t>新（改、扩）建项目严格执行产能置换、煤炭替代和污染物倍量削减替代制度，当地有相关园区规划的，原则上要进入园区并配套建设高效环保治理设施，符合园区规划环评、建设项目环评要求。</w:t>
                  </w:r>
                </w:p>
              </w:tc>
              <w:tc>
                <w:tcPr>
                  <w:tcW w:w="1117" w:type="pct"/>
                  <w:vAlign w:val="center"/>
                </w:tcPr>
                <w:p w14:paraId="15262131">
                  <w:pPr>
                    <w:spacing w:line="320" w:lineRule="exact"/>
                    <w:jc w:val="center"/>
                    <w:rPr>
                      <w:color w:val="auto"/>
                      <w:szCs w:val="21"/>
                    </w:rPr>
                  </w:pPr>
                  <w:r>
                    <w:rPr>
                      <w:color w:val="auto"/>
                      <w:szCs w:val="21"/>
                    </w:rPr>
                    <w:t>本项目</w:t>
                  </w:r>
                  <w:r>
                    <w:rPr>
                      <w:rFonts w:hint="eastAsia"/>
                      <w:color w:val="auto"/>
                      <w:szCs w:val="21"/>
                    </w:rPr>
                    <w:t>不涉及</w:t>
                  </w:r>
                  <w:r>
                    <w:rPr>
                      <w:color w:val="auto"/>
                      <w:szCs w:val="21"/>
                    </w:rPr>
                    <w:t>产能置换、煤炭替代</w:t>
                  </w:r>
                </w:p>
              </w:tc>
              <w:tc>
                <w:tcPr>
                  <w:tcW w:w="339" w:type="pct"/>
                  <w:vAlign w:val="center"/>
                </w:tcPr>
                <w:p w14:paraId="599D3A59">
                  <w:pPr>
                    <w:spacing w:line="320" w:lineRule="exact"/>
                    <w:jc w:val="center"/>
                    <w:rPr>
                      <w:color w:val="auto"/>
                      <w:szCs w:val="21"/>
                    </w:rPr>
                  </w:pPr>
                  <w:r>
                    <w:rPr>
                      <w:rFonts w:hint="eastAsia"/>
                      <w:color w:val="auto"/>
                      <w:szCs w:val="21"/>
                    </w:rPr>
                    <w:t>符合</w:t>
                  </w:r>
                </w:p>
              </w:tc>
            </w:tr>
            <w:tr w14:paraId="6210A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268" w:type="pct"/>
                  <w:vMerge w:val="continue"/>
                  <w:vAlign w:val="center"/>
                </w:tcPr>
                <w:p w14:paraId="0596491E">
                  <w:pPr>
                    <w:spacing w:line="320" w:lineRule="exact"/>
                    <w:jc w:val="center"/>
                    <w:rPr>
                      <w:color w:val="auto"/>
                      <w:szCs w:val="21"/>
                    </w:rPr>
                  </w:pPr>
                </w:p>
              </w:tc>
              <w:tc>
                <w:tcPr>
                  <w:tcW w:w="438" w:type="pct"/>
                  <w:vMerge w:val="continue"/>
                  <w:vAlign w:val="center"/>
                </w:tcPr>
                <w:p w14:paraId="2A0EC42E">
                  <w:pPr>
                    <w:spacing w:line="320" w:lineRule="exact"/>
                    <w:jc w:val="center"/>
                    <w:rPr>
                      <w:color w:val="auto"/>
                      <w:szCs w:val="21"/>
                    </w:rPr>
                  </w:pPr>
                </w:p>
              </w:tc>
              <w:tc>
                <w:tcPr>
                  <w:tcW w:w="2836" w:type="pct"/>
                  <w:vAlign w:val="center"/>
                </w:tcPr>
                <w:p w14:paraId="0A601797">
                  <w:pPr>
                    <w:pStyle w:val="30"/>
                    <w:tabs>
                      <w:tab w:val="left" w:pos="326"/>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4、</w:t>
                  </w:r>
                  <w:r>
                    <w:rPr>
                      <w:rFonts w:ascii="Times New Roman" w:hAnsi="Times New Roman" w:cs="Times New Roman"/>
                      <w:color w:val="auto"/>
                      <w:sz w:val="21"/>
                      <w:szCs w:val="21"/>
                    </w:rPr>
                    <w:tab/>
                  </w:r>
                  <w:r>
                    <w:rPr>
                      <w:rFonts w:hint="eastAsia" w:ascii="Times New Roman" w:hAnsi="Times New Roman" w:cs="Times New Roman"/>
                      <w:color w:val="auto"/>
                      <w:sz w:val="21"/>
                      <w:szCs w:val="21"/>
                      <w:lang w:val="en-US" w:eastAsia="zh-CN"/>
                    </w:rPr>
                    <w:t>基本</w:t>
                  </w:r>
                  <w:r>
                    <w:rPr>
                      <w:rFonts w:ascii="Times New Roman" w:hAnsi="Times New Roman" w:cs="Times New Roman"/>
                      <w:color w:val="auto"/>
                      <w:sz w:val="21"/>
                      <w:szCs w:val="21"/>
                    </w:rPr>
                    <w:t>取缔燃煤热风炉</w:t>
                  </w:r>
                  <w:r>
                    <w:rPr>
                      <w:rFonts w:hint="eastAsia" w:ascii="Times New Roman" w:hAnsi="Times New Roman" w:cs="Times New Roman"/>
                      <w:color w:val="auto"/>
                      <w:sz w:val="21"/>
                      <w:szCs w:val="21"/>
                      <w:lang w:val="en-US" w:eastAsia="zh-CN"/>
                    </w:rPr>
                    <w:t>和钢铁行业燃煤供热锅炉</w:t>
                  </w:r>
                  <w:r>
                    <w:rPr>
                      <w:rFonts w:ascii="Times New Roman" w:hAnsi="Times New Roman" w:cs="Times New Roman"/>
                      <w:color w:val="auto"/>
                      <w:sz w:val="21"/>
                      <w:szCs w:val="21"/>
                    </w:rPr>
                    <w:t>，基本淘汰热电联产供热管网覆盖范围内的燃煤加热、烘干炉（窑）。</w:t>
                  </w:r>
                </w:p>
              </w:tc>
              <w:tc>
                <w:tcPr>
                  <w:tcW w:w="1117" w:type="pct"/>
                  <w:vMerge w:val="restart"/>
                  <w:vAlign w:val="center"/>
                </w:tcPr>
                <w:p w14:paraId="609034D4">
                  <w:pPr>
                    <w:spacing w:line="320" w:lineRule="exact"/>
                    <w:jc w:val="center"/>
                    <w:rPr>
                      <w:color w:val="auto"/>
                      <w:szCs w:val="21"/>
                    </w:rPr>
                  </w:pPr>
                  <w:r>
                    <w:rPr>
                      <w:color w:val="auto"/>
                      <w:szCs w:val="21"/>
                    </w:rPr>
                    <w:t>本项目</w:t>
                  </w:r>
                  <w:r>
                    <w:rPr>
                      <w:rFonts w:hint="eastAsia"/>
                      <w:color w:val="auto"/>
                      <w:szCs w:val="21"/>
                    </w:rPr>
                    <w:t>不涉及工业炉窑</w:t>
                  </w:r>
                </w:p>
              </w:tc>
              <w:tc>
                <w:tcPr>
                  <w:tcW w:w="339" w:type="pct"/>
                  <w:vAlign w:val="center"/>
                </w:tcPr>
                <w:p w14:paraId="1C3236BA">
                  <w:pPr>
                    <w:spacing w:line="320" w:lineRule="exact"/>
                    <w:jc w:val="center"/>
                    <w:rPr>
                      <w:color w:val="auto"/>
                      <w:szCs w:val="21"/>
                    </w:rPr>
                  </w:pPr>
                  <w:r>
                    <w:rPr>
                      <w:rFonts w:hint="eastAsia"/>
                      <w:color w:val="auto"/>
                      <w:szCs w:val="21"/>
                    </w:rPr>
                    <w:t>-</w:t>
                  </w:r>
                </w:p>
              </w:tc>
            </w:tr>
            <w:tr w14:paraId="16A5E0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268" w:type="pct"/>
                  <w:vMerge w:val="continue"/>
                  <w:vAlign w:val="center"/>
                </w:tcPr>
                <w:p w14:paraId="2027B620">
                  <w:pPr>
                    <w:spacing w:line="320" w:lineRule="exact"/>
                    <w:jc w:val="center"/>
                    <w:rPr>
                      <w:color w:val="auto"/>
                      <w:szCs w:val="21"/>
                    </w:rPr>
                  </w:pPr>
                </w:p>
              </w:tc>
              <w:tc>
                <w:tcPr>
                  <w:tcW w:w="438" w:type="pct"/>
                  <w:vMerge w:val="continue"/>
                  <w:vAlign w:val="center"/>
                </w:tcPr>
                <w:p w14:paraId="5AD9FC8A">
                  <w:pPr>
                    <w:spacing w:line="320" w:lineRule="exact"/>
                    <w:jc w:val="center"/>
                    <w:rPr>
                      <w:color w:val="auto"/>
                      <w:szCs w:val="21"/>
                    </w:rPr>
                  </w:pPr>
                </w:p>
              </w:tc>
              <w:tc>
                <w:tcPr>
                  <w:tcW w:w="2836" w:type="pct"/>
                  <w:vAlign w:val="center"/>
                </w:tcPr>
                <w:p w14:paraId="428F7DA7">
                  <w:pPr>
                    <w:spacing w:line="320" w:lineRule="exact"/>
                    <w:jc w:val="center"/>
                    <w:rPr>
                      <w:color w:val="auto"/>
                      <w:szCs w:val="21"/>
                    </w:rPr>
                  </w:pPr>
                  <w:r>
                    <w:rPr>
                      <w:color w:val="auto"/>
                      <w:szCs w:val="21"/>
                    </w:rPr>
                    <w:t>5、</w:t>
                  </w:r>
                  <w:r>
                    <w:rPr>
                      <w:color w:val="auto"/>
                      <w:szCs w:val="21"/>
                    </w:rPr>
                    <w:tab/>
                  </w:r>
                  <w:r>
                    <w:rPr>
                      <w:color w:val="auto"/>
                      <w:szCs w:val="21"/>
                    </w:rPr>
                    <w:t>对热效率低下、敞开未封闭，装备简易落后、自动化程度低，布局分散、规模小、无组织排放突出，以及无治理设施或治理设施工艺落后的工业炉窑，依法责令停业关闭。</w:t>
                  </w:r>
                </w:p>
              </w:tc>
              <w:tc>
                <w:tcPr>
                  <w:tcW w:w="1117" w:type="pct"/>
                  <w:vMerge w:val="continue"/>
                  <w:vAlign w:val="center"/>
                </w:tcPr>
                <w:p w14:paraId="5FF932C5">
                  <w:pPr>
                    <w:spacing w:line="320" w:lineRule="exact"/>
                    <w:jc w:val="center"/>
                    <w:rPr>
                      <w:color w:val="auto"/>
                      <w:szCs w:val="21"/>
                    </w:rPr>
                  </w:pPr>
                </w:p>
              </w:tc>
              <w:tc>
                <w:tcPr>
                  <w:tcW w:w="339" w:type="pct"/>
                  <w:vAlign w:val="center"/>
                </w:tcPr>
                <w:p w14:paraId="78C45ACA">
                  <w:pPr>
                    <w:spacing w:line="320" w:lineRule="exact"/>
                    <w:jc w:val="center"/>
                    <w:rPr>
                      <w:color w:val="auto"/>
                      <w:szCs w:val="21"/>
                    </w:rPr>
                  </w:pPr>
                  <w:r>
                    <w:rPr>
                      <w:rFonts w:hint="eastAsia"/>
                      <w:color w:val="auto"/>
                      <w:szCs w:val="21"/>
                    </w:rPr>
                    <w:t>-</w:t>
                  </w:r>
                </w:p>
              </w:tc>
            </w:tr>
            <w:tr w14:paraId="2E6405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644906BE">
                  <w:pPr>
                    <w:pStyle w:val="30"/>
                    <w:spacing w:line="320" w:lineRule="exact"/>
                    <w:rPr>
                      <w:rFonts w:ascii="Times New Roman" w:hAnsi="Times New Roman" w:cs="Times New Roman"/>
                      <w:color w:val="auto"/>
                      <w:sz w:val="21"/>
                      <w:szCs w:val="21"/>
                    </w:rPr>
                  </w:pPr>
                </w:p>
              </w:tc>
              <w:tc>
                <w:tcPr>
                  <w:tcW w:w="438" w:type="pct"/>
                  <w:vMerge w:val="restart"/>
                  <w:vAlign w:val="center"/>
                </w:tcPr>
                <w:p w14:paraId="56D38E65">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污染物排放管控</w:t>
                  </w:r>
                </w:p>
              </w:tc>
              <w:tc>
                <w:tcPr>
                  <w:tcW w:w="2836" w:type="pct"/>
                  <w:vAlign w:val="center"/>
                </w:tcPr>
                <w:p w14:paraId="458DFFED">
                  <w:pPr>
                    <w:pStyle w:val="30"/>
                    <w:tabs>
                      <w:tab w:val="left" w:pos="302"/>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1、细颗粒物</w:t>
                  </w:r>
                  <w:r>
                    <w:rPr>
                      <w:rFonts w:ascii="Times New Roman" w:hAnsi="Times New Roman" w:cs="Times New Roman"/>
                      <w:color w:val="auto"/>
                      <w:sz w:val="21"/>
                      <w:szCs w:val="21"/>
                      <w:lang w:val="en-US" w:eastAsia="zh-CN" w:bidi="en-US"/>
                    </w:rPr>
                    <w:t>（PM</w:t>
                  </w:r>
                  <w:r>
                    <w:rPr>
                      <w:rFonts w:hint="eastAsia" w:ascii="Times New Roman" w:hAnsi="Times New Roman" w:cs="Times New Roman"/>
                      <w:color w:val="auto"/>
                      <w:sz w:val="21"/>
                      <w:szCs w:val="21"/>
                      <w:vertAlign w:val="subscript"/>
                      <w:lang w:val="en-US" w:eastAsia="zh-CN" w:bidi="en-US"/>
                    </w:rPr>
                    <w:t>2.5</w:t>
                  </w:r>
                  <w:r>
                    <w:rPr>
                      <w:rFonts w:ascii="Times New Roman" w:hAnsi="Times New Roman" w:cs="Times New Roman"/>
                      <w:color w:val="auto"/>
                      <w:sz w:val="21"/>
                      <w:szCs w:val="21"/>
                      <w:lang w:val="en-US" w:eastAsia="zh-CN" w:bidi="en-US"/>
                    </w:rPr>
                    <w:t>）</w:t>
                  </w:r>
                  <w:r>
                    <w:rPr>
                      <w:rFonts w:ascii="Times New Roman" w:hAnsi="Times New Roman" w:cs="Times New Roman"/>
                      <w:color w:val="auto"/>
                      <w:sz w:val="21"/>
                      <w:szCs w:val="21"/>
                    </w:rPr>
                    <w:t>年平均浓度不达标的城市，二氧化硫、氮氧化物、烟粉尘、挥发性有机物四项污染物均需进行2倍削减</w:t>
                  </w:r>
                  <w:r>
                    <w:rPr>
                      <w:rFonts w:hint="eastAsia" w:ascii="Times New Roman" w:hAnsi="Times New Roman" w:cs="Times New Roman"/>
                      <w:color w:val="auto"/>
                      <w:sz w:val="21"/>
                      <w:szCs w:val="21"/>
                      <w:lang w:eastAsia="zh-CN"/>
                    </w:rPr>
                    <w:t>替代</w:t>
                  </w:r>
                  <w:r>
                    <w:rPr>
                      <w:rFonts w:ascii="Times New Roman" w:hAnsi="Times New Roman" w:cs="Times New Roman"/>
                      <w:color w:val="auto"/>
                      <w:sz w:val="21"/>
                      <w:szCs w:val="21"/>
                    </w:rPr>
                    <w:t>（燃煤发电机组大气污染物排放浓度基本达到燃气轮机组排放限值的除外）。</w:t>
                  </w:r>
                </w:p>
              </w:tc>
              <w:tc>
                <w:tcPr>
                  <w:tcW w:w="1117" w:type="pct"/>
                  <w:vAlign w:val="center"/>
                </w:tcPr>
                <w:p w14:paraId="4424678A">
                  <w:pPr>
                    <w:spacing w:line="320" w:lineRule="exact"/>
                    <w:jc w:val="center"/>
                    <w:rPr>
                      <w:rFonts w:hint="default" w:eastAsia="宋体"/>
                      <w:color w:val="auto"/>
                      <w:szCs w:val="21"/>
                      <w:lang w:val="en-US" w:eastAsia="zh-CN"/>
                    </w:rPr>
                  </w:pPr>
                  <w:r>
                    <w:rPr>
                      <w:rFonts w:hint="eastAsia"/>
                      <w:color w:val="auto"/>
                      <w:szCs w:val="21"/>
                      <w:lang w:eastAsia="zh-CN"/>
                    </w:rPr>
                    <w:t>项目颗粒物进行</w:t>
                  </w:r>
                  <w:r>
                    <w:rPr>
                      <w:rFonts w:hint="eastAsia"/>
                      <w:color w:val="auto"/>
                      <w:szCs w:val="21"/>
                      <w:lang w:val="en-US" w:eastAsia="zh-CN"/>
                    </w:rPr>
                    <w:t>倍量削减</w:t>
                  </w:r>
                </w:p>
              </w:tc>
              <w:tc>
                <w:tcPr>
                  <w:tcW w:w="339" w:type="pct"/>
                  <w:vAlign w:val="center"/>
                </w:tcPr>
                <w:p w14:paraId="52D09696">
                  <w:pPr>
                    <w:spacing w:line="320" w:lineRule="exact"/>
                    <w:jc w:val="center"/>
                    <w:rPr>
                      <w:color w:val="auto"/>
                      <w:szCs w:val="21"/>
                    </w:rPr>
                  </w:pPr>
                  <w:r>
                    <w:rPr>
                      <w:color w:val="auto"/>
                      <w:szCs w:val="21"/>
                    </w:rPr>
                    <w:t>符合</w:t>
                  </w:r>
                </w:p>
              </w:tc>
            </w:tr>
            <w:tr w14:paraId="6C239D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617F288">
                  <w:pPr>
                    <w:spacing w:line="320" w:lineRule="exact"/>
                    <w:jc w:val="center"/>
                    <w:rPr>
                      <w:rFonts w:hint="eastAsia" w:eastAsia="宋体"/>
                      <w:color w:val="auto"/>
                      <w:lang w:eastAsia="zh-CN"/>
                    </w:rPr>
                  </w:pPr>
                  <w:r>
                    <w:rPr>
                      <w:rFonts w:hint="eastAsia"/>
                      <w:color w:val="auto"/>
                      <w:lang w:eastAsia="zh-CN"/>
                    </w:rPr>
                    <w:t>、</w:t>
                  </w:r>
                </w:p>
              </w:tc>
              <w:tc>
                <w:tcPr>
                  <w:tcW w:w="438" w:type="pct"/>
                  <w:vMerge w:val="continue"/>
                  <w:vAlign w:val="center"/>
                </w:tcPr>
                <w:p w14:paraId="0C85EE98">
                  <w:pPr>
                    <w:spacing w:line="320" w:lineRule="exact"/>
                    <w:jc w:val="center"/>
                    <w:rPr>
                      <w:color w:val="auto"/>
                    </w:rPr>
                  </w:pPr>
                </w:p>
              </w:tc>
              <w:tc>
                <w:tcPr>
                  <w:tcW w:w="2836" w:type="pct"/>
                  <w:vAlign w:val="center"/>
                </w:tcPr>
                <w:p w14:paraId="5DB858B4">
                  <w:pPr>
                    <w:pStyle w:val="30"/>
                    <w:tabs>
                      <w:tab w:val="left" w:pos="336"/>
                    </w:tabs>
                    <w:spacing w:line="320" w:lineRule="exact"/>
                    <w:rPr>
                      <w:rFonts w:ascii="Times New Roman" w:hAnsi="Times New Roman"/>
                      <w:color w:val="auto"/>
                      <w:sz w:val="21"/>
                    </w:rPr>
                  </w:pPr>
                  <w:r>
                    <w:rPr>
                      <w:rFonts w:ascii="Times New Roman" w:hAnsi="Times New Roman" w:cs="Times New Roman"/>
                      <w:color w:val="auto"/>
                      <w:sz w:val="21"/>
                      <w:szCs w:val="21"/>
                    </w:rPr>
                    <w:t>2、全市范围内禁止新建35蒸吨/小时及以下燃煤锅炉，城市建成区、县城等人口密集区不再建设燃油、燃生物质锅炉。新建锅炉环评文件审批执行新排放标准。新建锅炉应符合质量、安全、节能、环保等各项指标要求。</w:t>
                  </w:r>
                </w:p>
              </w:tc>
              <w:tc>
                <w:tcPr>
                  <w:tcW w:w="1117" w:type="pct"/>
                  <w:vAlign w:val="center"/>
                </w:tcPr>
                <w:p w14:paraId="42426C4D">
                  <w:pPr>
                    <w:spacing w:line="320" w:lineRule="exact"/>
                    <w:jc w:val="center"/>
                    <w:rPr>
                      <w:color w:val="auto"/>
                      <w:szCs w:val="21"/>
                    </w:rPr>
                  </w:pPr>
                  <w:r>
                    <w:rPr>
                      <w:rFonts w:hint="eastAsia"/>
                      <w:color w:val="auto"/>
                      <w:szCs w:val="21"/>
                    </w:rPr>
                    <w:t>本项目不涉及锅炉，不进行燃煤</w:t>
                  </w:r>
                </w:p>
              </w:tc>
              <w:tc>
                <w:tcPr>
                  <w:tcW w:w="339" w:type="pct"/>
                  <w:vAlign w:val="center"/>
                </w:tcPr>
                <w:p w14:paraId="46401614">
                  <w:pPr>
                    <w:spacing w:line="320" w:lineRule="exact"/>
                    <w:jc w:val="center"/>
                    <w:rPr>
                      <w:color w:val="auto"/>
                      <w:szCs w:val="21"/>
                    </w:rPr>
                  </w:pPr>
                  <w:r>
                    <w:rPr>
                      <w:rFonts w:hint="eastAsia"/>
                      <w:color w:val="auto"/>
                      <w:szCs w:val="21"/>
                    </w:rPr>
                    <w:t>-</w:t>
                  </w:r>
                </w:p>
              </w:tc>
            </w:tr>
            <w:tr w14:paraId="33231D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1F45D7F">
                  <w:pPr>
                    <w:spacing w:line="320" w:lineRule="exact"/>
                    <w:jc w:val="center"/>
                    <w:rPr>
                      <w:color w:val="auto"/>
                      <w:szCs w:val="21"/>
                    </w:rPr>
                  </w:pPr>
                </w:p>
              </w:tc>
              <w:tc>
                <w:tcPr>
                  <w:tcW w:w="438" w:type="pct"/>
                  <w:vMerge w:val="continue"/>
                  <w:vAlign w:val="center"/>
                </w:tcPr>
                <w:p w14:paraId="25F0B968">
                  <w:pPr>
                    <w:spacing w:line="320" w:lineRule="exact"/>
                    <w:jc w:val="center"/>
                    <w:rPr>
                      <w:color w:val="auto"/>
                      <w:szCs w:val="21"/>
                    </w:rPr>
                  </w:pPr>
                </w:p>
              </w:tc>
              <w:tc>
                <w:tcPr>
                  <w:tcW w:w="2836" w:type="pct"/>
                  <w:vAlign w:val="center"/>
                </w:tcPr>
                <w:p w14:paraId="5591C3B6">
                  <w:pPr>
                    <w:spacing w:line="320" w:lineRule="exact"/>
                    <w:jc w:val="center"/>
                    <w:rPr>
                      <w:color w:val="auto"/>
                      <w:szCs w:val="21"/>
                    </w:rPr>
                  </w:pPr>
                  <w:r>
                    <w:rPr>
                      <w:color w:val="auto"/>
                      <w:szCs w:val="21"/>
                    </w:rPr>
                    <w:t>3、巩固</w:t>
                  </w:r>
                  <w:r>
                    <w:rPr>
                      <w:color w:val="auto"/>
                      <w:szCs w:val="21"/>
                      <w:lang w:val="zh-CN" w:bidi="zh-CN"/>
                    </w:rPr>
                    <w:t>“双代</w:t>
                  </w:r>
                  <w:r>
                    <w:rPr>
                      <w:color w:val="auto"/>
                      <w:szCs w:val="21"/>
                    </w:rPr>
                    <w:t>一清”成果，对</w:t>
                  </w:r>
                  <w:r>
                    <w:rPr>
                      <w:color w:val="auto"/>
                      <w:szCs w:val="21"/>
                      <w:lang w:val="zh-CN" w:bidi="zh-CN"/>
                    </w:rPr>
                    <w:t>“双代</w:t>
                  </w:r>
                  <w:r>
                    <w:rPr>
                      <w:color w:val="auto"/>
                      <w:szCs w:val="21"/>
                      <w:lang w:bidi="zh-CN"/>
                    </w:rPr>
                    <w:t>”</w:t>
                  </w:r>
                  <w:r>
                    <w:rPr>
                      <w:color w:val="auto"/>
                      <w:szCs w:val="21"/>
                    </w:rPr>
                    <w:t>改造外的农户，做好洁净型煤、兰炭、优质无烟煤保供和推广工作，确保洁净煤兜底全覆盖，实现温暖过冬、安全过冬、清洁过冬。</w:t>
                  </w:r>
                </w:p>
              </w:tc>
              <w:tc>
                <w:tcPr>
                  <w:tcW w:w="1117" w:type="pct"/>
                  <w:vAlign w:val="center"/>
                </w:tcPr>
                <w:p w14:paraId="730B63FA">
                  <w:pPr>
                    <w:spacing w:line="320" w:lineRule="exact"/>
                    <w:jc w:val="center"/>
                    <w:rPr>
                      <w:color w:val="auto"/>
                      <w:szCs w:val="21"/>
                    </w:rPr>
                  </w:pPr>
                  <w:r>
                    <w:rPr>
                      <w:rFonts w:hint="eastAsia"/>
                      <w:color w:val="auto"/>
                      <w:szCs w:val="21"/>
                    </w:rPr>
                    <w:t>不涉及</w:t>
                  </w:r>
                </w:p>
              </w:tc>
              <w:tc>
                <w:tcPr>
                  <w:tcW w:w="339" w:type="pct"/>
                  <w:vAlign w:val="center"/>
                </w:tcPr>
                <w:p w14:paraId="34E4B8A5">
                  <w:pPr>
                    <w:spacing w:line="320" w:lineRule="exact"/>
                    <w:jc w:val="center"/>
                    <w:rPr>
                      <w:color w:val="auto"/>
                      <w:szCs w:val="21"/>
                    </w:rPr>
                  </w:pPr>
                  <w:r>
                    <w:rPr>
                      <w:rFonts w:hint="eastAsia"/>
                      <w:color w:val="auto"/>
                      <w:szCs w:val="21"/>
                    </w:rPr>
                    <w:t>-</w:t>
                  </w:r>
                </w:p>
              </w:tc>
            </w:tr>
            <w:tr w14:paraId="75AB75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DF3733A">
                  <w:pPr>
                    <w:spacing w:line="320" w:lineRule="exact"/>
                    <w:jc w:val="center"/>
                    <w:rPr>
                      <w:color w:val="auto"/>
                      <w:szCs w:val="21"/>
                    </w:rPr>
                  </w:pPr>
                </w:p>
              </w:tc>
              <w:tc>
                <w:tcPr>
                  <w:tcW w:w="438" w:type="pct"/>
                  <w:vMerge w:val="continue"/>
                  <w:vAlign w:val="center"/>
                </w:tcPr>
                <w:p w14:paraId="57AF6A20">
                  <w:pPr>
                    <w:spacing w:line="320" w:lineRule="exact"/>
                    <w:jc w:val="center"/>
                    <w:rPr>
                      <w:color w:val="auto"/>
                      <w:szCs w:val="21"/>
                    </w:rPr>
                  </w:pPr>
                </w:p>
              </w:tc>
              <w:tc>
                <w:tcPr>
                  <w:tcW w:w="2836" w:type="pct"/>
                  <w:vAlign w:val="center"/>
                </w:tcPr>
                <w:p w14:paraId="1F0E572D">
                  <w:pPr>
                    <w:spacing w:line="320" w:lineRule="exact"/>
                    <w:jc w:val="center"/>
                    <w:rPr>
                      <w:color w:val="auto"/>
                      <w:szCs w:val="21"/>
                    </w:rPr>
                  </w:pPr>
                  <w:r>
                    <w:rPr>
                      <w:rFonts w:hint="eastAsia"/>
                      <w:color w:val="auto"/>
                      <w:szCs w:val="21"/>
                    </w:rPr>
                    <w:t>4、</w:t>
                  </w:r>
                  <w:r>
                    <w:rPr>
                      <w:color w:val="auto"/>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w:t>
                  </w:r>
                  <w:r>
                    <w:rPr>
                      <w:rFonts w:hint="eastAsia"/>
                      <w:color w:val="auto"/>
                      <w:szCs w:val="21"/>
                    </w:rPr>
                    <w:t>，</w:t>
                  </w:r>
                  <w:r>
                    <w:rPr>
                      <w:color w:val="auto"/>
                      <w:szCs w:val="21"/>
                    </w:rPr>
                    <w:t>推进具备条件的焦化企业实施干熄焦改造。在保证生产安全前提下，钢铁烧结（球团）、高炉、转炉、轧钢工序实施车间封闭生产</w:t>
                  </w:r>
                  <w:r>
                    <w:rPr>
                      <w:rFonts w:hint="eastAsia"/>
                      <w:color w:val="auto"/>
                      <w:szCs w:val="21"/>
                      <w:lang w:bidi="en-US"/>
                    </w:rPr>
                    <w:t>。</w:t>
                  </w:r>
                  <w:r>
                    <w:rPr>
                      <w:rFonts w:hint="eastAsia"/>
                      <w:color w:val="auto"/>
                      <w:szCs w:val="21"/>
                      <w:lang w:eastAsia="zh-CN"/>
                    </w:rPr>
                    <w:t>已</w:t>
                  </w:r>
                  <w:r>
                    <w:rPr>
                      <w:color w:val="auto"/>
                      <w:szCs w:val="21"/>
                    </w:rPr>
                    <w:t>实现超低排放企业，对标行业先进，持续推动污染物排放总量降低。</w:t>
                  </w:r>
                </w:p>
              </w:tc>
              <w:tc>
                <w:tcPr>
                  <w:tcW w:w="1117" w:type="pct"/>
                  <w:vAlign w:val="center"/>
                </w:tcPr>
                <w:p w14:paraId="17DB28C2">
                  <w:pPr>
                    <w:spacing w:line="320" w:lineRule="exact"/>
                    <w:jc w:val="center"/>
                    <w:rPr>
                      <w:color w:val="auto"/>
                      <w:szCs w:val="21"/>
                    </w:rPr>
                  </w:pPr>
                  <w:r>
                    <w:rPr>
                      <w:color w:val="auto"/>
                      <w:szCs w:val="21"/>
                    </w:rPr>
                    <w:t>项目</w:t>
                  </w:r>
                  <w:r>
                    <w:rPr>
                      <w:rFonts w:hint="eastAsia"/>
                      <w:color w:val="auto"/>
                      <w:szCs w:val="21"/>
                    </w:rPr>
                    <w:t>不涉及工业炉窑</w:t>
                  </w:r>
                </w:p>
              </w:tc>
              <w:tc>
                <w:tcPr>
                  <w:tcW w:w="339" w:type="pct"/>
                  <w:vAlign w:val="center"/>
                </w:tcPr>
                <w:p w14:paraId="0D87BECC">
                  <w:pPr>
                    <w:spacing w:line="320" w:lineRule="exact"/>
                    <w:jc w:val="center"/>
                    <w:rPr>
                      <w:color w:val="auto"/>
                      <w:szCs w:val="21"/>
                    </w:rPr>
                  </w:pPr>
                  <w:r>
                    <w:rPr>
                      <w:rFonts w:hint="eastAsia"/>
                      <w:color w:val="auto"/>
                      <w:szCs w:val="21"/>
                    </w:rPr>
                    <w:t>-</w:t>
                  </w:r>
                </w:p>
              </w:tc>
            </w:tr>
            <w:tr w14:paraId="7095C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3AFF66F">
                  <w:pPr>
                    <w:spacing w:line="320" w:lineRule="exact"/>
                    <w:jc w:val="center"/>
                    <w:rPr>
                      <w:color w:val="auto"/>
                      <w:szCs w:val="21"/>
                    </w:rPr>
                  </w:pPr>
                </w:p>
              </w:tc>
              <w:tc>
                <w:tcPr>
                  <w:tcW w:w="438" w:type="pct"/>
                  <w:vMerge w:val="continue"/>
                  <w:vAlign w:val="center"/>
                </w:tcPr>
                <w:p w14:paraId="791E9EB2">
                  <w:pPr>
                    <w:spacing w:line="320" w:lineRule="exact"/>
                    <w:jc w:val="center"/>
                    <w:rPr>
                      <w:color w:val="auto"/>
                      <w:szCs w:val="21"/>
                    </w:rPr>
                  </w:pPr>
                </w:p>
              </w:tc>
              <w:tc>
                <w:tcPr>
                  <w:tcW w:w="2836" w:type="pct"/>
                  <w:vAlign w:val="center"/>
                </w:tcPr>
                <w:p w14:paraId="301BD608">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r>
                    <w:rPr>
                      <w:rFonts w:ascii="Times New Roman" w:hAnsi="Times New Roman" w:cs="Times New Roman"/>
                      <w:color w:val="auto"/>
                      <w:sz w:val="21"/>
                      <w:szCs w:val="21"/>
                    </w:rPr>
                    <w:t>加快推广</w:t>
                  </w:r>
                  <w:r>
                    <w:rPr>
                      <w:rFonts w:hint="eastAsia" w:ascii="Times New Roman" w:hAnsi="Times New Roman" w:cs="Times New Roman"/>
                      <w:color w:val="auto"/>
                      <w:sz w:val="21"/>
                      <w:szCs w:val="21"/>
                      <w:lang w:val="en-US" w:eastAsia="zh-CN"/>
                    </w:rPr>
                    <w:t>使</w:t>
                  </w:r>
                  <w:r>
                    <w:rPr>
                      <w:rFonts w:ascii="Times New Roman" w:hAnsi="Times New Roman" w:cs="Times New Roman"/>
                      <w:color w:val="auto"/>
                      <w:sz w:val="21"/>
                      <w:szCs w:val="21"/>
                    </w:rPr>
                    <w:t>用新能源汽车，</w:t>
                  </w:r>
                  <w:r>
                    <w:rPr>
                      <w:rFonts w:hint="eastAsia" w:ascii="Times New Roman" w:hAnsi="Times New Roman" w:cs="Times New Roman"/>
                      <w:color w:val="auto"/>
                      <w:sz w:val="21"/>
                      <w:szCs w:val="21"/>
                      <w:lang w:val="en-US" w:eastAsia="zh-CN"/>
                    </w:rPr>
                    <w:t>加快推进城市建成区公交、环卫、邮政、出租、通勤、轻型物流配送车辆采用新能源或清洁能源汽车：港口、机场、铁路货场等新增或更换作业车辆主要采用新能源汽车或国</w:t>
                  </w:r>
                  <w:r>
                    <w:rPr>
                      <w:rFonts w:ascii="Times New Roman" w:hAnsi="Times New Roman" w:cs="Times New Roman"/>
                      <w:color w:val="auto"/>
                      <w:sz w:val="21"/>
                      <w:szCs w:val="21"/>
                      <w:lang w:val="en-US" w:eastAsia="zh-CN"/>
                    </w:rPr>
                    <w:t>Ⅵ</w:t>
                  </w:r>
                  <w:r>
                    <w:rPr>
                      <w:rFonts w:hint="eastAsia" w:ascii="Times New Roman" w:hAnsi="Times New Roman" w:cs="Times New Roman"/>
                      <w:color w:val="auto"/>
                      <w:sz w:val="21"/>
                      <w:szCs w:val="21"/>
                      <w:lang w:val="en-US" w:eastAsia="zh-CN"/>
                    </w:rPr>
                    <w:t>排放标准清洁能源汽车，完善充电基础设施，建设城市绿色物流体系，发展清洁货运。</w:t>
                  </w:r>
                </w:p>
              </w:tc>
              <w:tc>
                <w:tcPr>
                  <w:tcW w:w="1117" w:type="pct"/>
                  <w:vMerge w:val="restart"/>
                  <w:vAlign w:val="center"/>
                </w:tcPr>
                <w:p w14:paraId="54600DB4">
                  <w:pPr>
                    <w:spacing w:line="320" w:lineRule="exact"/>
                    <w:jc w:val="center"/>
                    <w:rPr>
                      <w:color w:val="auto"/>
                      <w:szCs w:val="21"/>
                    </w:rPr>
                  </w:pPr>
                  <w:r>
                    <w:rPr>
                      <w:rFonts w:hint="eastAsia"/>
                      <w:color w:val="auto"/>
                      <w:szCs w:val="21"/>
                    </w:rPr>
                    <w:t>项目运输均采用</w:t>
                  </w:r>
                  <w:r>
                    <w:rPr>
                      <w:color w:val="auto"/>
                      <w:szCs w:val="21"/>
                    </w:rPr>
                    <w:t>新能源汽车或达到国Ⅵ排放标准</w:t>
                  </w:r>
                  <w:r>
                    <w:rPr>
                      <w:rFonts w:hint="eastAsia"/>
                      <w:color w:val="auto"/>
                      <w:szCs w:val="21"/>
                    </w:rPr>
                    <w:t>及以上</w:t>
                  </w:r>
                  <w:r>
                    <w:rPr>
                      <w:color w:val="auto"/>
                      <w:szCs w:val="21"/>
                    </w:rPr>
                    <w:t>的汽车</w:t>
                  </w:r>
                </w:p>
              </w:tc>
              <w:tc>
                <w:tcPr>
                  <w:tcW w:w="339" w:type="pct"/>
                  <w:vAlign w:val="center"/>
                </w:tcPr>
                <w:p w14:paraId="7F7487D9">
                  <w:pPr>
                    <w:spacing w:line="320" w:lineRule="exact"/>
                    <w:jc w:val="center"/>
                    <w:rPr>
                      <w:color w:val="auto"/>
                      <w:szCs w:val="21"/>
                    </w:rPr>
                  </w:pPr>
                  <w:r>
                    <w:rPr>
                      <w:rFonts w:hint="eastAsia"/>
                      <w:color w:val="auto"/>
                      <w:szCs w:val="21"/>
                    </w:rPr>
                    <w:t>符合</w:t>
                  </w:r>
                </w:p>
              </w:tc>
            </w:tr>
            <w:tr w14:paraId="426C6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D692011">
                  <w:pPr>
                    <w:spacing w:line="320" w:lineRule="exact"/>
                    <w:jc w:val="center"/>
                    <w:rPr>
                      <w:color w:val="auto"/>
                      <w:szCs w:val="21"/>
                    </w:rPr>
                  </w:pPr>
                </w:p>
              </w:tc>
              <w:tc>
                <w:tcPr>
                  <w:tcW w:w="438" w:type="pct"/>
                  <w:vMerge w:val="continue"/>
                  <w:vAlign w:val="center"/>
                </w:tcPr>
                <w:p w14:paraId="214B4A45">
                  <w:pPr>
                    <w:spacing w:line="320" w:lineRule="exact"/>
                    <w:jc w:val="center"/>
                    <w:rPr>
                      <w:color w:val="auto"/>
                      <w:szCs w:val="21"/>
                    </w:rPr>
                  </w:pPr>
                </w:p>
              </w:tc>
              <w:tc>
                <w:tcPr>
                  <w:tcW w:w="2836" w:type="pct"/>
                  <w:vAlign w:val="center"/>
                </w:tcPr>
                <w:p w14:paraId="0C800521">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6、加快油品质量升级，停止销售低于国</w:t>
                  </w:r>
                  <w:r>
                    <w:rPr>
                      <w:rFonts w:ascii="Times New Roman" w:hAnsi="Times New Roman" w:cs="Times New Roman"/>
                      <w:color w:val="auto"/>
                      <w:sz w:val="21"/>
                      <w:szCs w:val="21"/>
                      <w:lang w:val="en-US" w:eastAsia="zh-CN"/>
                    </w:rPr>
                    <w:t>Ⅵ</w:t>
                  </w:r>
                  <w:r>
                    <w:rPr>
                      <w:rFonts w:hint="eastAsia" w:ascii="Times New Roman" w:hAnsi="Times New Roman" w:cs="Times New Roman"/>
                      <w:color w:val="auto"/>
                      <w:sz w:val="21"/>
                      <w:szCs w:val="21"/>
                      <w:lang w:val="en-US" w:eastAsia="zh-CN"/>
                    </w:rPr>
                    <w:t>排放标准的汽柴油，实现车用柴油、普通柴油、部分船舶用油“三油并轨”。</w:t>
                  </w:r>
                </w:p>
              </w:tc>
              <w:tc>
                <w:tcPr>
                  <w:tcW w:w="1117" w:type="pct"/>
                  <w:vMerge w:val="continue"/>
                  <w:vAlign w:val="center"/>
                </w:tcPr>
                <w:p w14:paraId="285B5AFD">
                  <w:pPr>
                    <w:spacing w:line="320" w:lineRule="exact"/>
                    <w:jc w:val="center"/>
                    <w:rPr>
                      <w:color w:val="auto"/>
                      <w:szCs w:val="21"/>
                    </w:rPr>
                  </w:pPr>
                </w:p>
              </w:tc>
              <w:tc>
                <w:tcPr>
                  <w:tcW w:w="339" w:type="pct"/>
                  <w:vAlign w:val="center"/>
                </w:tcPr>
                <w:p w14:paraId="5C5AD8F0">
                  <w:pPr>
                    <w:spacing w:line="320" w:lineRule="exact"/>
                    <w:jc w:val="center"/>
                    <w:rPr>
                      <w:color w:val="auto"/>
                      <w:szCs w:val="21"/>
                    </w:rPr>
                  </w:pPr>
                  <w:r>
                    <w:rPr>
                      <w:rFonts w:hint="eastAsia"/>
                      <w:color w:val="auto"/>
                      <w:szCs w:val="21"/>
                    </w:rPr>
                    <w:t>符合</w:t>
                  </w:r>
                </w:p>
              </w:tc>
            </w:tr>
            <w:tr w14:paraId="78669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5D3EE52">
                  <w:pPr>
                    <w:spacing w:line="320" w:lineRule="exact"/>
                    <w:jc w:val="center"/>
                    <w:rPr>
                      <w:color w:val="auto"/>
                      <w:szCs w:val="21"/>
                    </w:rPr>
                  </w:pPr>
                </w:p>
              </w:tc>
              <w:tc>
                <w:tcPr>
                  <w:tcW w:w="438" w:type="pct"/>
                  <w:vMerge w:val="continue"/>
                  <w:vAlign w:val="center"/>
                </w:tcPr>
                <w:p w14:paraId="2FAB09AF">
                  <w:pPr>
                    <w:spacing w:line="320" w:lineRule="exact"/>
                    <w:jc w:val="center"/>
                    <w:rPr>
                      <w:color w:val="auto"/>
                      <w:szCs w:val="21"/>
                    </w:rPr>
                  </w:pPr>
                </w:p>
              </w:tc>
              <w:tc>
                <w:tcPr>
                  <w:tcW w:w="2836" w:type="pct"/>
                  <w:vAlign w:val="center"/>
                </w:tcPr>
                <w:p w14:paraId="575066D1">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7、持续推进露天矿山综合整治。对不具备环评要求和环保不达标的有证露天矿山一律实施停产整治，对拒不停产或擅自恢复生产的依法强制关闭。</w:t>
                  </w:r>
                </w:p>
              </w:tc>
              <w:tc>
                <w:tcPr>
                  <w:tcW w:w="1117" w:type="pct"/>
                  <w:vAlign w:val="center"/>
                </w:tcPr>
                <w:p w14:paraId="74E11372">
                  <w:pPr>
                    <w:spacing w:line="320" w:lineRule="exact"/>
                    <w:jc w:val="center"/>
                    <w:rPr>
                      <w:color w:val="auto"/>
                      <w:szCs w:val="21"/>
                    </w:rPr>
                  </w:pPr>
                  <w:r>
                    <w:rPr>
                      <w:rFonts w:hint="eastAsia"/>
                      <w:color w:val="auto"/>
                      <w:szCs w:val="21"/>
                    </w:rPr>
                    <w:t>不涉及</w:t>
                  </w:r>
                </w:p>
              </w:tc>
              <w:tc>
                <w:tcPr>
                  <w:tcW w:w="339" w:type="pct"/>
                  <w:vAlign w:val="center"/>
                </w:tcPr>
                <w:p w14:paraId="30EA8830">
                  <w:pPr>
                    <w:spacing w:line="320" w:lineRule="exact"/>
                    <w:jc w:val="center"/>
                    <w:rPr>
                      <w:color w:val="auto"/>
                      <w:szCs w:val="21"/>
                    </w:rPr>
                  </w:pPr>
                  <w:r>
                    <w:rPr>
                      <w:rFonts w:hint="eastAsia"/>
                      <w:color w:val="auto"/>
                      <w:szCs w:val="21"/>
                    </w:rPr>
                    <w:t>-</w:t>
                  </w:r>
                </w:p>
              </w:tc>
            </w:tr>
            <w:tr w14:paraId="15040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F95D29A">
                  <w:pPr>
                    <w:spacing w:line="320" w:lineRule="exact"/>
                    <w:jc w:val="center"/>
                    <w:rPr>
                      <w:color w:val="auto"/>
                      <w:szCs w:val="21"/>
                    </w:rPr>
                  </w:pPr>
                </w:p>
              </w:tc>
              <w:tc>
                <w:tcPr>
                  <w:tcW w:w="438" w:type="pct"/>
                  <w:vMerge w:val="continue"/>
                  <w:vAlign w:val="center"/>
                </w:tcPr>
                <w:p w14:paraId="3EB6E850">
                  <w:pPr>
                    <w:spacing w:line="320" w:lineRule="exact"/>
                    <w:jc w:val="center"/>
                    <w:rPr>
                      <w:color w:val="auto"/>
                      <w:szCs w:val="21"/>
                    </w:rPr>
                  </w:pPr>
                </w:p>
              </w:tc>
              <w:tc>
                <w:tcPr>
                  <w:tcW w:w="2836" w:type="pct"/>
                  <w:vAlign w:val="center"/>
                </w:tcPr>
                <w:p w14:paraId="55E9342D">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r>
                    <w:rPr>
                      <w:rFonts w:ascii="Times New Roman" w:hAnsi="Times New Roman" w:cs="Times New Roman"/>
                      <w:color w:val="auto"/>
                      <w:sz w:val="21"/>
                      <w:szCs w:val="21"/>
                    </w:rPr>
                    <w:t>深化建筑施工扬尘专项整治，</w:t>
                  </w:r>
                  <w:r>
                    <w:rPr>
                      <w:rFonts w:hint="eastAsia" w:ascii="Times New Roman" w:hAnsi="Times New Roman" w:cs="Times New Roman"/>
                      <w:color w:val="auto"/>
                      <w:sz w:val="21"/>
                      <w:szCs w:val="21"/>
                      <w:lang w:val="en-US" w:eastAsia="zh-CN"/>
                    </w:rPr>
                    <w:t>县城及城市规划建设用地范围内建筑工地做到“六个百分之百”和“两个全覆盖”。实施城市土地硬化和复绿。加强道路扬尘综合整治。</w:t>
                  </w:r>
                </w:p>
              </w:tc>
              <w:tc>
                <w:tcPr>
                  <w:tcW w:w="1117" w:type="pct"/>
                  <w:vAlign w:val="center"/>
                </w:tcPr>
                <w:p w14:paraId="7012D640">
                  <w:pPr>
                    <w:spacing w:line="320" w:lineRule="exact"/>
                    <w:jc w:val="center"/>
                    <w:rPr>
                      <w:color w:val="auto"/>
                      <w:szCs w:val="21"/>
                    </w:rPr>
                  </w:pPr>
                  <w:r>
                    <w:rPr>
                      <w:rFonts w:hint="eastAsia"/>
                      <w:color w:val="auto"/>
                      <w:szCs w:val="21"/>
                    </w:rPr>
                    <w:t>项目</w:t>
                  </w:r>
                  <w:r>
                    <w:rPr>
                      <w:rFonts w:hint="eastAsia"/>
                      <w:color w:val="auto"/>
                      <w:szCs w:val="21"/>
                      <w:lang w:eastAsia="zh-CN"/>
                    </w:rPr>
                    <w:t>租赁现有厂房，施工期主要为厂区消防水池及初期雨水池的建设，</w:t>
                  </w:r>
                  <w:r>
                    <w:rPr>
                      <w:rFonts w:hint="eastAsia" w:ascii="Times New Roman" w:hAnsi="Times New Roman" w:cs="Times New Roman"/>
                      <w:color w:val="auto"/>
                      <w:sz w:val="21"/>
                      <w:szCs w:val="21"/>
                      <w:lang w:val="en-US" w:eastAsia="zh-CN"/>
                    </w:rPr>
                    <w:t>建筑工地做到“六个百分之百”和“两个全覆盖”</w:t>
                  </w:r>
                  <w:r>
                    <w:rPr>
                      <w:rFonts w:hint="eastAsia" w:cs="Times New Roman"/>
                      <w:color w:val="auto"/>
                      <w:sz w:val="21"/>
                      <w:szCs w:val="21"/>
                      <w:lang w:val="en-US" w:eastAsia="zh-CN"/>
                    </w:rPr>
                    <w:t>，</w:t>
                  </w:r>
                  <w:r>
                    <w:rPr>
                      <w:rFonts w:hint="eastAsia"/>
                      <w:color w:val="auto"/>
                      <w:szCs w:val="21"/>
                    </w:rPr>
                    <w:t>对周边环境影响较小</w:t>
                  </w:r>
                </w:p>
              </w:tc>
              <w:tc>
                <w:tcPr>
                  <w:tcW w:w="339" w:type="pct"/>
                  <w:vAlign w:val="center"/>
                </w:tcPr>
                <w:p w14:paraId="62B044C5">
                  <w:pPr>
                    <w:spacing w:line="320" w:lineRule="exact"/>
                    <w:jc w:val="center"/>
                    <w:rPr>
                      <w:color w:val="auto"/>
                      <w:szCs w:val="21"/>
                    </w:rPr>
                  </w:pPr>
                  <w:r>
                    <w:rPr>
                      <w:rFonts w:hint="eastAsia"/>
                      <w:color w:val="auto"/>
                      <w:szCs w:val="21"/>
                    </w:rPr>
                    <w:t>符合</w:t>
                  </w:r>
                </w:p>
              </w:tc>
            </w:tr>
            <w:tr w14:paraId="70C587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E7EF427">
                  <w:pPr>
                    <w:spacing w:line="320" w:lineRule="exact"/>
                    <w:jc w:val="center"/>
                    <w:rPr>
                      <w:color w:val="auto"/>
                      <w:szCs w:val="21"/>
                    </w:rPr>
                  </w:pPr>
                </w:p>
              </w:tc>
              <w:tc>
                <w:tcPr>
                  <w:tcW w:w="438" w:type="pct"/>
                  <w:vMerge w:val="continue"/>
                  <w:vAlign w:val="center"/>
                </w:tcPr>
                <w:p w14:paraId="21E1AD39">
                  <w:pPr>
                    <w:spacing w:line="320" w:lineRule="exact"/>
                    <w:jc w:val="center"/>
                    <w:rPr>
                      <w:color w:val="auto"/>
                      <w:szCs w:val="21"/>
                    </w:rPr>
                  </w:pPr>
                </w:p>
              </w:tc>
              <w:tc>
                <w:tcPr>
                  <w:tcW w:w="2836" w:type="pct"/>
                  <w:vAlign w:val="center"/>
                </w:tcPr>
                <w:p w14:paraId="2EAEF693">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9、加快重点行业</w:t>
                  </w:r>
                  <w:r>
                    <w:rPr>
                      <w:rFonts w:ascii="Times New Roman" w:hAnsi="Times New Roman" w:cs="Times New Roman"/>
                      <w:color w:val="auto"/>
                      <w:sz w:val="21"/>
                      <w:szCs w:val="21"/>
                    </w:rPr>
                    <w:t>超低排放改造。深入实施工业企业排放达标计划，未达标排放的企业一律依法停产整治</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以钢铁、焦化等行业为重点，全面实施超低排放改造。</w:t>
                  </w:r>
                  <w:r>
                    <w:rPr>
                      <w:rFonts w:hint="eastAsia" w:ascii="Times New Roman" w:hAnsi="Times New Roman" w:cs="Times New Roman"/>
                      <w:color w:val="auto"/>
                      <w:sz w:val="21"/>
                      <w:szCs w:val="21"/>
                      <w:lang w:val="en-US" w:eastAsia="zh-CN"/>
                    </w:rPr>
                    <w:t>实施重点行业环保“领跑者”制度，</w:t>
                  </w:r>
                  <w:r>
                    <w:rPr>
                      <w:rFonts w:ascii="Times New Roman" w:hAnsi="Times New Roman" w:cs="Times New Roman"/>
                      <w:color w:val="auto"/>
                      <w:sz w:val="21"/>
                      <w:szCs w:val="21"/>
                    </w:rPr>
                    <w:t>推进工业企业</w:t>
                  </w:r>
                  <w:r>
                    <w:rPr>
                      <w:rFonts w:ascii="Times New Roman" w:hAnsi="Times New Roman" w:cs="Times New Roman"/>
                      <w:color w:val="auto"/>
                      <w:sz w:val="21"/>
                      <w:szCs w:val="21"/>
                      <w:lang w:val="zh-CN" w:eastAsia="zh-CN" w:bidi="zh-CN"/>
                    </w:rPr>
                    <w:t>“持证</w:t>
                  </w:r>
                  <w:r>
                    <w:rPr>
                      <w:rFonts w:ascii="Times New Roman" w:hAnsi="Times New Roman" w:cs="Times New Roman"/>
                      <w:color w:val="auto"/>
                      <w:sz w:val="21"/>
                      <w:szCs w:val="21"/>
                    </w:rPr>
                    <w:t>排污”、“按证排污”，推行企业排放绩效管理、</w:t>
                  </w:r>
                  <w:r>
                    <w:rPr>
                      <w:rFonts w:hint="eastAsia" w:ascii="Times New Roman" w:hAnsi="Times New Roman" w:cs="Times New Roman"/>
                      <w:color w:val="auto"/>
                      <w:sz w:val="21"/>
                      <w:szCs w:val="21"/>
                      <w:lang w:val="en-US" w:eastAsia="zh-CN"/>
                    </w:rPr>
                    <w:t>企业排放信息强制性披露和环境信用评价制度</w:t>
                  </w:r>
                  <w:r>
                    <w:rPr>
                      <w:rFonts w:ascii="Times New Roman" w:hAnsi="Times New Roman" w:cs="Times New Roman"/>
                      <w:color w:val="auto"/>
                      <w:sz w:val="21"/>
                      <w:szCs w:val="21"/>
                    </w:rPr>
                    <w:t>。</w:t>
                  </w:r>
                </w:p>
              </w:tc>
              <w:tc>
                <w:tcPr>
                  <w:tcW w:w="1117" w:type="pct"/>
                  <w:vAlign w:val="center"/>
                </w:tcPr>
                <w:p w14:paraId="197285D8">
                  <w:pPr>
                    <w:spacing w:line="320" w:lineRule="exact"/>
                    <w:jc w:val="center"/>
                    <w:rPr>
                      <w:color w:val="auto"/>
                      <w:szCs w:val="21"/>
                    </w:rPr>
                  </w:pPr>
                  <w:r>
                    <w:rPr>
                      <w:rFonts w:hint="eastAsia"/>
                      <w:color w:val="auto"/>
                      <w:szCs w:val="21"/>
                    </w:rPr>
                    <w:t>项目建成后及时申报排污许可手续，做到持证排污，按证排污</w:t>
                  </w:r>
                </w:p>
              </w:tc>
              <w:tc>
                <w:tcPr>
                  <w:tcW w:w="339" w:type="pct"/>
                  <w:vAlign w:val="center"/>
                </w:tcPr>
                <w:p w14:paraId="354BE18D">
                  <w:pPr>
                    <w:spacing w:line="320" w:lineRule="exact"/>
                    <w:jc w:val="center"/>
                    <w:rPr>
                      <w:color w:val="auto"/>
                      <w:szCs w:val="21"/>
                    </w:rPr>
                  </w:pPr>
                  <w:r>
                    <w:rPr>
                      <w:rFonts w:hint="eastAsia"/>
                      <w:color w:val="auto"/>
                      <w:szCs w:val="21"/>
                    </w:rPr>
                    <w:t>符合</w:t>
                  </w:r>
                </w:p>
              </w:tc>
            </w:tr>
            <w:tr w14:paraId="0BDDA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492D4BE6">
                  <w:pPr>
                    <w:spacing w:line="320" w:lineRule="exact"/>
                    <w:jc w:val="center"/>
                    <w:rPr>
                      <w:color w:val="auto"/>
                      <w:szCs w:val="21"/>
                    </w:rPr>
                  </w:pPr>
                </w:p>
              </w:tc>
              <w:tc>
                <w:tcPr>
                  <w:tcW w:w="438" w:type="pct"/>
                  <w:vMerge w:val="continue"/>
                  <w:vAlign w:val="center"/>
                </w:tcPr>
                <w:p w14:paraId="444F89CC">
                  <w:pPr>
                    <w:spacing w:line="320" w:lineRule="exact"/>
                    <w:jc w:val="center"/>
                    <w:rPr>
                      <w:color w:val="auto"/>
                      <w:szCs w:val="21"/>
                    </w:rPr>
                  </w:pPr>
                </w:p>
              </w:tc>
              <w:tc>
                <w:tcPr>
                  <w:tcW w:w="2836" w:type="pct"/>
                  <w:vAlign w:val="center"/>
                </w:tcPr>
                <w:p w14:paraId="74679580">
                  <w:pPr>
                    <w:pStyle w:val="30"/>
                    <w:tabs>
                      <w:tab w:val="left" w:pos="302"/>
                    </w:tabs>
                    <w:spacing w:line="320" w:lineRule="exact"/>
                    <w:rPr>
                      <w:rFonts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r>
                    <w:rPr>
                      <w:rFonts w:ascii="Times New Roman" w:hAnsi="Times New Roman"/>
                      <w:color w:val="auto"/>
                      <w:sz w:val="21"/>
                      <w:szCs w:val="21"/>
                    </w:rPr>
                    <w:t>开展钢铁、建材、火电、焦化、铸造等重点行业无组织排放排查工作，分行业建立无组织排放改造清单和管理台账</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不断强化无组织排放控制管理。</w:t>
                  </w:r>
                </w:p>
              </w:tc>
              <w:tc>
                <w:tcPr>
                  <w:tcW w:w="1117" w:type="pct"/>
                  <w:vAlign w:val="center"/>
                </w:tcPr>
                <w:p w14:paraId="678301EA">
                  <w:pPr>
                    <w:spacing w:line="320" w:lineRule="exact"/>
                    <w:jc w:val="center"/>
                    <w:rPr>
                      <w:color w:val="auto"/>
                      <w:szCs w:val="21"/>
                    </w:rPr>
                  </w:pPr>
                  <w:r>
                    <w:rPr>
                      <w:color w:val="auto"/>
                      <w:szCs w:val="21"/>
                    </w:rPr>
                    <w:t>厂区内物料运输采用</w:t>
                  </w:r>
                  <w:r>
                    <w:rPr>
                      <w:rFonts w:hint="eastAsia"/>
                      <w:color w:val="auto"/>
                      <w:szCs w:val="21"/>
                    </w:rPr>
                    <w:t>密闭形式，严格执行无组织排放控制管理</w:t>
                  </w:r>
                </w:p>
              </w:tc>
              <w:tc>
                <w:tcPr>
                  <w:tcW w:w="339" w:type="pct"/>
                  <w:vAlign w:val="center"/>
                </w:tcPr>
                <w:p w14:paraId="62FEE8BA">
                  <w:pPr>
                    <w:spacing w:line="320" w:lineRule="exact"/>
                    <w:jc w:val="center"/>
                    <w:rPr>
                      <w:color w:val="auto"/>
                      <w:szCs w:val="21"/>
                    </w:rPr>
                  </w:pPr>
                  <w:r>
                    <w:rPr>
                      <w:rFonts w:hint="eastAsia"/>
                      <w:color w:val="auto"/>
                      <w:szCs w:val="21"/>
                    </w:rPr>
                    <w:t>符合</w:t>
                  </w:r>
                </w:p>
              </w:tc>
            </w:tr>
            <w:tr w14:paraId="4F9BEF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27726E29">
                  <w:pPr>
                    <w:spacing w:line="320" w:lineRule="exact"/>
                    <w:jc w:val="center"/>
                    <w:rPr>
                      <w:color w:val="auto"/>
                      <w:szCs w:val="21"/>
                    </w:rPr>
                  </w:pPr>
                </w:p>
              </w:tc>
              <w:tc>
                <w:tcPr>
                  <w:tcW w:w="438" w:type="pct"/>
                  <w:vMerge w:val="continue"/>
                  <w:vAlign w:val="center"/>
                </w:tcPr>
                <w:p w14:paraId="4C1E5D36">
                  <w:pPr>
                    <w:spacing w:line="320" w:lineRule="exact"/>
                    <w:jc w:val="center"/>
                    <w:rPr>
                      <w:color w:val="auto"/>
                      <w:szCs w:val="21"/>
                    </w:rPr>
                  </w:pPr>
                </w:p>
              </w:tc>
              <w:tc>
                <w:tcPr>
                  <w:tcW w:w="2836" w:type="pct"/>
                  <w:vAlign w:val="center"/>
                </w:tcPr>
                <w:p w14:paraId="4826A8D2">
                  <w:pPr>
                    <w:widowControl/>
                    <w:spacing w:line="320" w:lineRule="exact"/>
                    <w:jc w:val="center"/>
                    <w:rPr>
                      <w:color w:val="auto"/>
                      <w:szCs w:val="21"/>
                    </w:rPr>
                  </w:pPr>
                  <w:r>
                    <w:rPr>
                      <w:color w:val="auto"/>
                      <w:kern w:val="0"/>
                      <w:szCs w:val="20"/>
                      <w:lang w:bidi="ar"/>
                    </w:rPr>
                    <w:t>11</w:t>
                  </w:r>
                  <w:r>
                    <w:rPr>
                      <w:rFonts w:hint="eastAsia" w:cs="宋体"/>
                      <w:color w:val="auto"/>
                      <w:kern w:val="0"/>
                      <w:szCs w:val="20"/>
                      <w:lang w:bidi="ar"/>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tc>
              <w:tc>
                <w:tcPr>
                  <w:tcW w:w="1117" w:type="pct"/>
                  <w:vAlign w:val="center"/>
                </w:tcPr>
                <w:p w14:paraId="6E1176F8">
                  <w:pPr>
                    <w:spacing w:line="320" w:lineRule="exact"/>
                    <w:jc w:val="center"/>
                    <w:rPr>
                      <w:color w:val="auto"/>
                      <w:szCs w:val="21"/>
                    </w:rPr>
                  </w:pPr>
                  <w:r>
                    <w:rPr>
                      <w:rFonts w:hint="eastAsia"/>
                      <w:color w:val="auto"/>
                      <w:szCs w:val="21"/>
                    </w:rPr>
                    <w:t>项目加强重污染天气应急响应，严格执行减排措施</w:t>
                  </w:r>
                </w:p>
              </w:tc>
              <w:tc>
                <w:tcPr>
                  <w:tcW w:w="339" w:type="pct"/>
                  <w:vAlign w:val="center"/>
                </w:tcPr>
                <w:p w14:paraId="7E995569">
                  <w:pPr>
                    <w:spacing w:line="320" w:lineRule="exact"/>
                    <w:jc w:val="center"/>
                    <w:rPr>
                      <w:color w:val="auto"/>
                      <w:szCs w:val="21"/>
                    </w:rPr>
                  </w:pPr>
                  <w:r>
                    <w:rPr>
                      <w:rFonts w:hint="eastAsia"/>
                      <w:color w:val="auto"/>
                      <w:szCs w:val="21"/>
                    </w:rPr>
                    <w:t>符合</w:t>
                  </w:r>
                </w:p>
              </w:tc>
            </w:tr>
            <w:tr w14:paraId="0E910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5FBE5FB1">
                  <w:pPr>
                    <w:spacing w:line="320" w:lineRule="exact"/>
                    <w:jc w:val="center"/>
                    <w:rPr>
                      <w:color w:val="auto"/>
                      <w:szCs w:val="21"/>
                    </w:rPr>
                  </w:pPr>
                </w:p>
              </w:tc>
              <w:tc>
                <w:tcPr>
                  <w:tcW w:w="438" w:type="pct"/>
                  <w:vMerge w:val="continue"/>
                  <w:vAlign w:val="center"/>
                </w:tcPr>
                <w:p w14:paraId="6E88F9F7">
                  <w:pPr>
                    <w:spacing w:line="320" w:lineRule="exact"/>
                    <w:jc w:val="center"/>
                    <w:rPr>
                      <w:color w:val="auto"/>
                      <w:szCs w:val="21"/>
                    </w:rPr>
                  </w:pPr>
                </w:p>
              </w:tc>
              <w:tc>
                <w:tcPr>
                  <w:tcW w:w="2836" w:type="pct"/>
                  <w:vAlign w:val="center"/>
                </w:tcPr>
                <w:p w14:paraId="4D3A67B3">
                  <w:pPr>
                    <w:widowControl/>
                    <w:spacing w:line="320" w:lineRule="exact"/>
                    <w:jc w:val="center"/>
                    <w:rPr>
                      <w:color w:val="auto"/>
                      <w:kern w:val="0"/>
                      <w:szCs w:val="20"/>
                      <w:lang w:bidi="ar"/>
                    </w:rPr>
                  </w:pPr>
                  <w:r>
                    <w:rPr>
                      <w:color w:val="auto"/>
                      <w:kern w:val="0"/>
                      <w:szCs w:val="20"/>
                      <w:lang w:bidi="ar"/>
                    </w:rPr>
                    <w:t>12</w:t>
                  </w:r>
                  <w:r>
                    <w:rPr>
                      <w:rFonts w:hint="eastAsia" w:cs="宋体"/>
                      <w:color w:val="auto"/>
                      <w:kern w:val="0"/>
                      <w:szCs w:val="20"/>
                      <w:lang w:bidi="ar"/>
                    </w:rPr>
                    <w:t>、强化柴油货车污染防治。加快柴油货车治理，推动货运经营整合升级、提质增效，加快规模化发展、连锁化经营。实施清洁柴油车、清洁运输和清洁油品行动，降低污染排放总量。</w:t>
                  </w:r>
                </w:p>
              </w:tc>
              <w:tc>
                <w:tcPr>
                  <w:tcW w:w="1117" w:type="pct"/>
                  <w:vAlign w:val="center"/>
                </w:tcPr>
                <w:p w14:paraId="345C9B1E">
                  <w:pPr>
                    <w:spacing w:line="320" w:lineRule="exact"/>
                    <w:jc w:val="center"/>
                    <w:rPr>
                      <w:color w:val="auto"/>
                      <w:szCs w:val="21"/>
                    </w:rPr>
                  </w:pPr>
                  <w:r>
                    <w:rPr>
                      <w:rFonts w:hint="eastAsia"/>
                      <w:color w:val="auto"/>
                      <w:szCs w:val="21"/>
                    </w:rPr>
                    <w:t>项目运输均采用</w:t>
                  </w:r>
                  <w:r>
                    <w:rPr>
                      <w:color w:val="auto"/>
                      <w:szCs w:val="21"/>
                    </w:rPr>
                    <w:t>新能源汽车或达到国Ⅵ排放标准</w:t>
                  </w:r>
                  <w:r>
                    <w:rPr>
                      <w:rFonts w:hint="eastAsia"/>
                      <w:color w:val="auto"/>
                      <w:szCs w:val="21"/>
                    </w:rPr>
                    <w:t>及以上</w:t>
                  </w:r>
                  <w:r>
                    <w:rPr>
                      <w:color w:val="auto"/>
                      <w:szCs w:val="21"/>
                    </w:rPr>
                    <w:t>的汽车</w:t>
                  </w:r>
                </w:p>
              </w:tc>
              <w:tc>
                <w:tcPr>
                  <w:tcW w:w="339" w:type="pct"/>
                  <w:vAlign w:val="center"/>
                </w:tcPr>
                <w:p w14:paraId="03E29AF4">
                  <w:pPr>
                    <w:spacing w:line="320" w:lineRule="exact"/>
                    <w:jc w:val="center"/>
                    <w:rPr>
                      <w:color w:val="auto"/>
                      <w:szCs w:val="21"/>
                    </w:rPr>
                  </w:pPr>
                  <w:r>
                    <w:rPr>
                      <w:rFonts w:hint="eastAsia"/>
                      <w:color w:val="auto"/>
                      <w:szCs w:val="21"/>
                    </w:rPr>
                    <w:t>符合</w:t>
                  </w:r>
                </w:p>
              </w:tc>
            </w:tr>
            <w:tr w14:paraId="427046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1F9FBBFD">
                  <w:pPr>
                    <w:spacing w:line="320" w:lineRule="exact"/>
                    <w:jc w:val="center"/>
                    <w:rPr>
                      <w:color w:val="auto"/>
                      <w:szCs w:val="21"/>
                    </w:rPr>
                  </w:pPr>
                </w:p>
              </w:tc>
              <w:tc>
                <w:tcPr>
                  <w:tcW w:w="438" w:type="pct"/>
                  <w:vMerge w:val="continue"/>
                  <w:vAlign w:val="center"/>
                </w:tcPr>
                <w:p w14:paraId="72AB6890">
                  <w:pPr>
                    <w:spacing w:line="320" w:lineRule="exact"/>
                    <w:jc w:val="center"/>
                    <w:rPr>
                      <w:color w:val="auto"/>
                      <w:szCs w:val="21"/>
                    </w:rPr>
                  </w:pPr>
                </w:p>
              </w:tc>
              <w:tc>
                <w:tcPr>
                  <w:tcW w:w="2836" w:type="pct"/>
                  <w:vAlign w:val="center"/>
                </w:tcPr>
                <w:p w14:paraId="4E01F175">
                  <w:pPr>
                    <w:widowControl/>
                    <w:spacing w:line="320" w:lineRule="exact"/>
                    <w:jc w:val="center"/>
                    <w:rPr>
                      <w:color w:val="auto"/>
                      <w:kern w:val="0"/>
                      <w:szCs w:val="20"/>
                      <w:lang w:bidi="ar"/>
                    </w:rPr>
                  </w:pPr>
                  <w:r>
                    <w:rPr>
                      <w:color w:val="auto"/>
                      <w:kern w:val="0"/>
                      <w:szCs w:val="20"/>
                      <w:lang w:bidi="ar"/>
                    </w:rPr>
                    <w:t>13</w:t>
                  </w:r>
                  <w:r>
                    <w:rPr>
                      <w:rFonts w:hint="eastAsia" w:cs="宋体"/>
                      <w:color w:val="auto"/>
                      <w:kern w:val="0"/>
                      <w:szCs w:val="20"/>
                      <w:lang w:bidi="ar"/>
                    </w:rPr>
                    <w:t>、禁止露天焚烧秸秆、落叶、枯草等产生烟尘污染的物质，以及电子废弃物、油毡、橡胶、塑料、皮革、沥青、垃圾等产生有毒有害、恶臭或者强烈异味气体的物质。</w:t>
                  </w:r>
                </w:p>
              </w:tc>
              <w:tc>
                <w:tcPr>
                  <w:tcW w:w="1117" w:type="pct"/>
                  <w:vAlign w:val="center"/>
                </w:tcPr>
                <w:p w14:paraId="6CD0ED9B">
                  <w:pPr>
                    <w:spacing w:line="320" w:lineRule="exact"/>
                    <w:jc w:val="center"/>
                    <w:rPr>
                      <w:color w:val="auto"/>
                      <w:szCs w:val="21"/>
                    </w:rPr>
                  </w:pPr>
                  <w:r>
                    <w:rPr>
                      <w:rFonts w:hint="eastAsia"/>
                      <w:color w:val="auto"/>
                      <w:szCs w:val="21"/>
                    </w:rPr>
                    <w:t>不涉及</w:t>
                  </w:r>
                </w:p>
              </w:tc>
              <w:tc>
                <w:tcPr>
                  <w:tcW w:w="339" w:type="pct"/>
                  <w:vAlign w:val="center"/>
                </w:tcPr>
                <w:p w14:paraId="6A7D7B39">
                  <w:pPr>
                    <w:spacing w:line="320" w:lineRule="exact"/>
                    <w:jc w:val="center"/>
                    <w:rPr>
                      <w:color w:val="auto"/>
                      <w:szCs w:val="21"/>
                    </w:rPr>
                  </w:pPr>
                  <w:r>
                    <w:rPr>
                      <w:rFonts w:hint="eastAsia"/>
                      <w:color w:val="auto"/>
                      <w:szCs w:val="21"/>
                    </w:rPr>
                    <w:t>-</w:t>
                  </w:r>
                </w:p>
              </w:tc>
            </w:tr>
            <w:tr w14:paraId="35363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75AA7C87">
                  <w:pPr>
                    <w:spacing w:line="320" w:lineRule="exact"/>
                    <w:jc w:val="center"/>
                    <w:rPr>
                      <w:color w:val="auto"/>
                      <w:szCs w:val="21"/>
                    </w:rPr>
                  </w:pPr>
                </w:p>
              </w:tc>
              <w:tc>
                <w:tcPr>
                  <w:tcW w:w="438" w:type="pct"/>
                  <w:vMerge w:val="continue"/>
                  <w:vAlign w:val="center"/>
                </w:tcPr>
                <w:p w14:paraId="045EE89D">
                  <w:pPr>
                    <w:spacing w:line="320" w:lineRule="exact"/>
                    <w:jc w:val="center"/>
                    <w:rPr>
                      <w:color w:val="auto"/>
                      <w:szCs w:val="21"/>
                    </w:rPr>
                  </w:pPr>
                </w:p>
              </w:tc>
              <w:tc>
                <w:tcPr>
                  <w:tcW w:w="2836" w:type="pct"/>
                  <w:vAlign w:val="center"/>
                </w:tcPr>
                <w:p w14:paraId="2B76E357">
                  <w:pPr>
                    <w:widowControl/>
                    <w:spacing w:line="320" w:lineRule="exact"/>
                    <w:jc w:val="center"/>
                    <w:rPr>
                      <w:color w:val="auto"/>
                      <w:kern w:val="0"/>
                      <w:szCs w:val="20"/>
                      <w:lang w:bidi="ar"/>
                    </w:rPr>
                  </w:pPr>
                  <w:r>
                    <w:rPr>
                      <w:color w:val="auto"/>
                      <w:kern w:val="0"/>
                      <w:szCs w:val="20"/>
                      <w:lang w:bidi="ar"/>
                    </w:rPr>
                    <w:t>14</w:t>
                  </w:r>
                  <w:r>
                    <w:rPr>
                      <w:rFonts w:hint="eastAsia" w:cs="宋体"/>
                      <w:color w:val="auto"/>
                      <w:kern w:val="0"/>
                      <w:szCs w:val="20"/>
                      <w:lang w:bidi="ar"/>
                    </w:rPr>
                    <w:t>、以化工、工业涂装、包装印刷、油品储运销等行业领域为重点，安全高效推进挥发性有机物综合治理，无组织排放和末端深度治理等提升改造工程。</w:t>
                  </w:r>
                </w:p>
              </w:tc>
              <w:tc>
                <w:tcPr>
                  <w:tcW w:w="1117" w:type="pct"/>
                  <w:vAlign w:val="center"/>
                </w:tcPr>
                <w:p w14:paraId="25AA3182">
                  <w:pPr>
                    <w:spacing w:line="320" w:lineRule="exact"/>
                    <w:jc w:val="center"/>
                    <w:rPr>
                      <w:color w:val="auto"/>
                      <w:szCs w:val="21"/>
                    </w:rPr>
                  </w:pPr>
                  <w:r>
                    <w:rPr>
                      <w:rFonts w:hint="eastAsia"/>
                      <w:color w:val="auto"/>
                      <w:szCs w:val="21"/>
                    </w:rPr>
                    <w:t>不涉及</w:t>
                  </w:r>
                </w:p>
              </w:tc>
              <w:tc>
                <w:tcPr>
                  <w:tcW w:w="339" w:type="pct"/>
                  <w:vAlign w:val="center"/>
                </w:tcPr>
                <w:p w14:paraId="74F4C2B3">
                  <w:pPr>
                    <w:spacing w:line="320" w:lineRule="exact"/>
                    <w:jc w:val="center"/>
                    <w:rPr>
                      <w:color w:val="auto"/>
                      <w:szCs w:val="21"/>
                    </w:rPr>
                  </w:pPr>
                  <w:r>
                    <w:rPr>
                      <w:rFonts w:hint="eastAsia"/>
                      <w:color w:val="auto"/>
                      <w:szCs w:val="21"/>
                    </w:rPr>
                    <w:t>-</w:t>
                  </w:r>
                </w:p>
              </w:tc>
            </w:tr>
            <w:tr w14:paraId="61C016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69C9FCC4">
                  <w:pPr>
                    <w:spacing w:line="320" w:lineRule="exact"/>
                    <w:jc w:val="center"/>
                    <w:rPr>
                      <w:color w:val="auto"/>
                      <w:szCs w:val="21"/>
                    </w:rPr>
                  </w:pPr>
                </w:p>
              </w:tc>
              <w:tc>
                <w:tcPr>
                  <w:tcW w:w="438" w:type="pct"/>
                  <w:vMerge w:val="continue"/>
                  <w:vAlign w:val="center"/>
                </w:tcPr>
                <w:p w14:paraId="7BE874E9">
                  <w:pPr>
                    <w:spacing w:line="320" w:lineRule="exact"/>
                    <w:jc w:val="center"/>
                    <w:rPr>
                      <w:color w:val="auto"/>
                      <w:szCs w:val="21"/>
                    </w:rPr>
                  </w:pPr>
                </w:p>
              </w:tc>
              <w:tc>
                <w:tcPr>
                  <w:tcW w:w="2836" w:type="pct"/>
                  <w:vAlign w:val="center"/>
                </w:tcPr>
                <w:p w14:paraId="3C6774EF">
                  <w:pPr>
                    <w:widowControl/>
                    <w:spacing w:line="320" w:lineRule="exact"/>
                    <w:jc w:val="center"/>
                    <w:rPr>
                      <w:color w:val="auto"/>
                      <w:kern w:val="0"/>
                      <w:szCs w:val="20"/>
                      <w:lang w:bidi="ar"/>
                    </w:rPr>
                  </w:pPr>
                  <w:r>
                    <w:rPr>
                      <w:color w:val="auto"/>
                      <w:kern w:val="0"/>
                      <w:szCs w:val="20"/>
                      <w:lang w:bidi="ar"/>
                    </w:rPr>
                    <w:t>15</w:t>
                  </w:r>
                  <w:r>
                    <w:rPr>
                      <w:rFonts w:hint="eastAsia" w:cs="宋体"/>
                      <w:color w:val="auto"/>
                      <w:kern w:val="0"/>
                      <w:szCs w:val="20"/>
                      <w:lang w:bidi="ar"/>
                    </w:rPr>
                    <w:t>、推动大气氨排放控制。加强烟气脱硝和氨法脱硫氨逃逸控制。推进种植业、养殖业大气氨减排，加强源头防控，优化肥料、饲料结构。</w:t>
                  </w:r>
                </w:p>
              </w:tc>
              <w:tc>
                <w:tcPr>
                  <w:tcW w:w="1117" w:type="pct"/>
                  <w:vAlign w:val="center"/>
                </w:tcPr>
                <w:p w14:paraId="630B6E21">
                  <w:pPr>
                    <w:spacing w:line="320" w:lineRule="exact"/>
                    <w:jc w:val="center"/>
                    <w:rPr>
                      <w:color w:val="auto"/>
                      <w:szCs w:val="21"/>
                    </w:rPr>
                  </w:pPr>
                  <w:r>
                    <w:rPr>
                      <w:rFonts w:hint="eastAsia"/>
                      <w:color w:val="auto"/>
                      <w:szCs w:val="21"/>
                    </w:rPr>
                    <w:t>不涉及</w:t>
                  </w:r>
                </w:p>
              </w:tc>
              <w:tc>
                <w:tcPr>
                  <w:tcW w:w="339" w:type="pct"/>
                  <w:vAlign w:val="center"/>
                </w:tcPr>
                <w:p w14:paraId="533BEDD1">
                  <w:pPr>
                    <w:spacing w:line="320" w:lineRule="exact"/>
                    <w:jc w:val="center"/>
                    <w:rPr>
                      <w:color w:val="auto"/>
                      <w:szCs w:val="21"/>
                    </w:rPr>
                  </w:pPr>
                  <w:r>
                    <w:rPr>
                      <w:rFonts w:hint="eastAsia"/>
                      <w:color w:val="auto"/>
                      <w:szCs w:val="21"/>
                    </w:rPr>
                    <w:t>-</w:t>
                  </w:r>
                </w:p>
              </w:tc>
            </w:tr>
            <w:tr w14:paraId="0656F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268" w:type="pct"/>
                  <w:vMerge w:val="continue"/>
                  <w:vAlign w:val="center"/>
                </w:tcPr>
                <w:p w14:paraId="0DAE7A96">
                  <w:pPr>
                    <w:spacing w:line="320" w:lineRule="exact"/>
                    <w:jc w:val="center"/>
                    <w:rPr>
                      <w:color w:val="auto"/>
                      <w:szCs w:val="21"/>
                    </w:rPr>
                  </w:pPr>
                </w:p>
              </w:tc>
              <w:tc>
                <w:tcPr>
                  <w:tcW w:w="438" w:type="pct"/>
                  <w:vMerge w:val="continue"/>
                  <w:vAlign w:val="center"/>
                </w:tcPr>
                <w:p w14:paraId="1C715E99">
                  <w:pPr>
                    <w:spacing w:line="320" w:lineRule="exact"/>
                    <w:jc w:val="center"/>
                    <w:rPr>
                      <w:color w:val="auto"/>
                      <w:szCs w:val="21"/>
                    </w:rPr>
                  </w:pPr>
                </w:p>
              </w:tc>
              <w:tc>
                <w:tcPr>
                  <w:tcW w:w="2836" w:type="pct"/>
                  <w:vAlign w:val="center"/>
                </w:tcPr>
                <w:p w14:paraId="218FAE91">
                  <w:pPr>
                    <w:widowControl/>
                    <w:spacing w:line="320" w:lineRule="exact"/>
                    <w:jc w:val="center"/>
                    <w:rPr>
                      <w:color w:val="auto"/>
                      <w:kern w:val="0"/>
                      <w:szCs w:val="20"/>
                      <w:lang w:bidi="ar"/>
                    </w:rPr>
                  </w:pPr>
                  <w:r>
                    <w:rPr>
                      <w:color w:val="auto"/>
                      <w:kern w:val="0"/>
                      <w:szCs w:val="20"/>
                      <w:lang w:bidi="ar"/>
                    </w:rPr>
                    <w:t>16</w:t>
                  </w:r>
                  <w:r>
                    <w:rPr>
                      <w:rFonts w:hint="eastAsia" w:cs="宋体"/>
                      <w:color w:val="auto"/>
                      <w:kern w:val="0"/>
                      <w:szCs w:val="20"/>
                      <w:lang w:bidi="ar"/>
                    </w:rPr>
                    <w:t>、严格控制二氧化碳排放强度。加强甲烷等非二氧化碳温室气体管控。</w:t>
                  </w:r>
                </w:p>
              </w:tc>
              <w:tc>
                <w:tcPr>
                  <w:tcW w:w="1117" w:type="pct"/>
                  <w:vAlign w:val="center"/>
                </w:tcPr>
                <w:p w14:paraId="50D7460F">
                  <w:pPr>
                    <w:spacing w:line="320" w:lineRule="exact"/>
                    <w:jc w:val="center"/>
                    <w:rPr>
                      <w:color w:val="auto"/>
                      <w:szCs w:val="21"/>
                    </w:rPr>
                  </w:pPr>
                  <w:r>
                    <w:rPr>
                      <w:rFonts w:hint="eastAsia"/>
                      <w:color w:val="auto"/>
                      <w:szCs w:val="21"/>
                    </w:rPr>
                    <w:t>不涉及</w:t>
                  </w:r>
                </w:p>
              </w:tc>
              <w:tc>
                <w:tcPr>
                  <w:tcW w:w="339" w:type="pct"/>
                  <w:vAlign w:val="center"/>
                </w:tcPr>
                <w:p w14:paraId="42050E6A">
                  <w:pPr>
                    <w:spacing w:line="320" w:lineRule="exact"/>
                    <w:jc w:val="center"/>
                    <w:rPr>
                      <w:color w:val="auto"/>
                      <w:szCs w:val="21"/>
                    </w:rPr>
                  </w:pPr>
                  <w:r>
                    <w:rPr>
                      <w:rFonts w:hint="eastAsia"/>
                      <w:color w:val="auto"/>
                      <w:szCs w:val="21"/>
                    </w:rPr>
                    <w:t>-</w:t>
                  </w:r>
                </w:p>
              </w:tc>
            </w:tr>
            <w:tr w14:paraId="3708EB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268" w:type="pct"/>
                  <w:vMerge w:val="continue"/>
                  <w:vAlign w:val="center"/>
                </w:tcPr>
                <w:p w14:paraId="513EAC77">
                  <w:pPr>
                    <w:pStyle w:val="30"/>
                    <w:spacing w:line="320" w:lineRule="exact"/>
                    <w:rPr>
                      <w:rFonts w:ascii="Times New Roman" w:hAnsi="Times New Roman" w:cs="Times New Roman"/>
                      <w:color w:val="auto"/>
                      <w:sz w:val="21"/>
                      <w:szCs w:val="21"/>
                    </w:rPr>
                  </w:pPr>
                </w:p>
              </w:tc>
              <w:tc>
                <w:tcPr>
                  <w:tcW w:w="438" w:type="pct"/>
                  <w:vAlign w:val="center"/>
                </w:tcPr>
                <w:p w14:paraId="20DFC097">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2836" w:type="pct"/>
                  <w:vAlign w:val="center"/>
                </w:tcPr>
                <w:p w14:paraId="328718A1">
                  <w:pPr>
                    <w:pStyle w:val="30"/>
                    <w:tabs>
                      <w:tab w:val="left" w:pos="398"/>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1、完善市、县、乡、村网格化环境监管体系，建立信息全面、</w:t>
                  </w:r>
                  <w:r>
                    <w:rPr>
                      <w:rFonts w:ascii="Times New Roman" w:hAnsi="Times New Roman" w:cs="Times New Roman"/>
                      <w:color w:val="auto"/>
                      <w:sz w:val="21"/>
                      <w:szCs w:val="21"/>
                      <w:lang w:val="zh-CN" w:eastAsia="zh-CN" w:bidi="zh-CN"/>
                    </w:rPr>
                    <w:t>要素齐</w:t>
                  </w:r>
                  <w:r>
                    <w:rPr>
                      <w:rFonts w:ascii="Times New Roman" w:hAnsi="Times New Roman" w:cs="Times New Roman"/>
                      <w:color w:val="auto"/>
                      <w:sz w:val="21"/>
                      <w:szCs w:val="21"/>
                    </w:rPr>
                    <w:t>全、处置高效、决策科学的市级大气环境监管大数据平台，实现对各级网格和各类污染源的集</w:t>
                  </w:r>
                  <w:r>
                    <w:rPr>
                      <w:rFonts w:hint="eastAsia" w:ascii="Times New Roman" w:hAnsi="Times New Roman" w:cs="Times New Roman"/>
                      <w:color w:val="auto"/>
                      <w:sz w:val="21"/>
                      <w:szCs w:val="21"/>
                      <w:lang w:eastAsia="zh-CN"/>
                    </w:rPr>
                    <w:t>中</w:t>
                  </w:r>
                  <w:r>
                    <w:rPr>
                      <w:rFonts w:ascii="Times New Roman" w:hAnsi="Times New Roman" w:cs="Times New Roman"/>
                      <w:color w:val="auto"/>
                      <w:sz w:val="21"/>
                      <w:szCs w:val="21"/>
                    </w:rPr>
                    <w:t>在线监测、全程监控和监管指挥</w:t>
                  </w:r>
                  <w:r>
                    <w:rPr>
                      <w:rFonts w:hint="eastAsia" w:ascii="Times New Roman" w:hAnsi="Times New Roman" w:cs="Times New Roman"/>
                      <w:color w:val="auto"/>
                      <w:sz w:val="21"/>
                      <w:szCs w:val="21"/>
                      <w:lang w:eastAsia="zh-CN"/>
                    </w:rPr>
                    <w:t>。</w:t>
                  </w:r>
                </w:p>
              </w:tc>
              <w:tc>
                <w:tcPr>
                  <w:tcW w:w="1117" w:type="pct"/>
                  <w:vAlign w:val="center"/>
                </w:tcPr>
                <w:p w14:paraId="384666CF">
                  <w:pPr>
                    <w:spacing w:line="320" w:lineRule="exact"/>
                    <w:jc w:val="center"/>
                    <w:rPr>
                      <w:color w:val="auto"/>
                      <w:szCs w:val="21"/>
                    </w:rPr>
                  </w:pPr>
                  <w:r>
                    <w:rPr>
                      <w:color w:val="auto"/>
                      <w:szCs w:val="21"/>
                    </w:rPr>
                    <w:t>本项目</w:t>
                  </w:r>
                  <w:r>
                    <w:rPr>
                      <w:rFonts w:hint="eastAsia"/>
                      <w:color w:val="auto"/>
                      <w:szCs w:val="21"/>
                    </w:rPr>
                    <w:t>针对不同风险物质制定了相应的</w:t>
                  </w:r>
                  <w:r>
                    <w:rPr>
                      <w:color w:val="auto"/>
                      <w:szCs w:val="21"/>
                    </w:rPr>
                    <w:t>风险防范措施</w:t>
                  </w:r>
                  <w:r>
                    <w:rPr>
                      <w:rFonts w:hint="eastAsia"/>
                      <w:color w:val="auto"/>
                      <w:szCs w:val="21"/>
                    </w:rPr>
                    <w:t>并严格执行</w:t>
                  </w:r>
                </w:p>
              </w:tc>
              <w:tc>
                <w:tcPr>
                  <w:tcW w:w="339" w:type="pct"/>
                  <w:vAlign w:val="center"/>
                </w:tcPr>
                <w:p w14:paraId="22F01B68">
                  <w:pPr>
                    <w:spacing w:line="320" w:lineRule="exact"/>
                    <w:jc w:val="center"/>
                    <w:rPr>
                      <w:color w:val="auto"/>
                      <w:szCs w:val="21"/>
                    </w:rPr>
                  </w:pPr>
                  <w:r>
                    <w:rPr>
                      <w:color w:val="auto"/>
                      <w:szCs w:val="21"/>
                    </w:rPr>
                    <w:t>符合</w:t>
                  </w:r>
                </w:p>
              </w:tc>
            </w:tr>
            <w:tr w14:paraId="73C56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68" w:type="pct"/>
                  <w:vMerge w:val="continue"/>
                  <w:vAlign w:val="center"/>
                </w:tcPr>
                <w:p w14:paraId="16575420">
                  <w:pPr>
                    <w:pStyle w:val="30"/>
                    <w:spacing w:line="320" w:lineRule="exact"/>
                    <w:rPr>
                      <w:rFonts w:ascii="Times New Roman" w:hAnsi="Times New Roman" w:cs="Times New Roman"/>
                      <w:color w:val="auto"/>
                      <w:sz w:val="21"/>
                      <w:szCs w:val="21"/>
                    </w:rPr>
                  </w:pPr>
                </w:p>
              </w:tc>
              <w:tc>
                <w:tcPr>
                  <w:tcW w:w="438" w:type="pct"/>
                  <w:vMerge w:val="restart"/>
                  <w:vAlign w:val="center"/>
                </w:tcPr>
                <w:p w14:paraId="55822F04">
                  <w:pPr>
                    <w:pStyle w:val="30"/>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资源</w:t>
                  </w:r>
                  <w:r>
                    <w:rPr>
                      <w:rFonts w:ascii="Times New Roman" w:hAnsi="Times New Roman" w:cs="Times New Roman"/>
                      <w:color w:val="auto"/>
                      <w:sz w:val="21"/>
                      <w:szCs w:val="21"/>
                      <w:lang w:eastAsia="zh-CN"/>
                    </w:rPr>
                    <w:t>开发利用</w:t>
                  </w:r>
                </w:p>
              </w:tc>
              <w:tc>
                <w:tcPr>
                  <w:tcW w:w="2836" w:type="pct"/>
                  <w:vAlign w:val="center"/>
                </w:tcPr>
                <w:p w14:paraId="7AE58F6C">
                  <w:pPr>
                    <w:pStyle w:val="30"/>
                    <w:tabs>
                      <w:tab w:val="left" w:pos="298"/>
                    </w:tabs>
                    <w:spacing w:line="320" w:lineRule="exact"/>
                    <w:rPr>
                      <w:rFonts w:ascii="Times New Roman" w:hAnsi="Times New Roman" w:cs="Times New Roman"/>
                      <w:color w:val="auto"/>
                      <w:sz w:val="21"/>
                      <w:szCs w:val="21"/>
                      <w:lang w:eastAsia="zh-CN"/>
                    </w:rPr>
                  </w:pPr>
                  <w:r>
                    <w:rPr>
                      <w:rFonts w:ascii="Times New Roman" w:hAnsi="Times New Roman" w:cs="Times New Roman"/>
                      <w:color w:val="auto"/>
                      <w:sz w:val="21"/>
                      <w:szCs w:val="21"/>
                    </w:rPr>
                    <w:t>1、对新增耗煤项目实施减量替代。</w:t>
                  </w:r>
                </w:p>
              </w:tc>
              <w:tc>
                <w:tcPr>
                  <w:tcW w:w="1117" w:type="pct"/>
                  <w:vAlign w:val="center"/>
                </w:tcPr>
                <w:p w14:paraId="50A316DD">
                  <w:pPr>
                    <w:spacing w:line="320" w:lineRule="exact"/>
                    <w:jc w:val="center"/>
                    <w:rPr>
                      <w:color w:val="auto"/>
                      <w:szCs w:val="21"/>
                    </w:rPr>
                  </w:pPr>
                  <w:r>
                    <w:rPr>
                      <w:color w:val="auto"/>
                      <w:szCs w:val="21"/>
                    </w:rPr>
                    <w:t>本项目</w:t>
                  </w:r>
                  <w:r>
                    <w:rPr>
                      <w:rFonts w:hint="eastAsia"/>
                      <w:color w:val="auto"/>
                      <w:szCs w:val="21"/>
                    </w:rPr>
                    <w:t>不耗煤，不涉及</w:t>
                  </w:r>
                  <w:r>
                    <w:rPr>
                      <w:color w:val="auto"/>
                      <w:szCs w:val="21"/>
                    </w:rPr>
                    <w:t>燃烧煤炭、重油、渣油等高污染燃料的设施</w:t>
                  </w:r>
                </w:p>
              </w:tc>
              <w:tc>
                <w:tcPr>
                  <w:tcW w:w="339" w:type="pct"/>
                  <w:vAlign w:val="center"/>
                </w:tcPr>
                <w:p w14:paraId="4BDF6795">
                  <w:pPr>
                    <w:spacing w:line="320" w:lineRule="exact"/>
                    <w:jc w:val="center"/>
                    <w:rPr>
                      <w:color w:val="auto"/>
                      <w:szCs w:val="21"/>
                    </w:rPr>
                  </w:pPr>
                  <w:r>
                    <w:rPr>
                      <w:rFonts w:hint="eastAsia"/>
                      <w:color w:val="auto"/>
                      <w:szCs w:val="21"/>
                    </w:rPr>
                    <w:t>-</w:t>
                  </w:r>
                </w:p>
              </w:tc>
            </w:tr>
            <w:tr w14:paraId="47AA70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00DF5AD1">
                  <w:pPr>
                    <w:pStyle w:val="30"/>
                    <w:spacing w:line="320" w:lineRule="exact"/>
                    <w:rPr>
                      <w:rFonts w:ascii="Times New Roman" w:hAnsi="Times New Roman"/>
                      <w:color w:val="auto"/>
                      <w:sz w:val="21"/>
                    </w:rPr>
                  </w:pPr>
                </w:p>
              </w:tc>
              <w:tc>
                <w:tcPr>
                  <w:tcW w:w="438" w:type="pct"/>
                  <w:vMerge w:val="continue"/>
                  <w:vAlign w:val="center"/>
                </w:tcPr>
                <w:p w14:paraId="05B29E55">
                  <w:pPr>
                    <w:pStyle w:val="30"/>
                    <w:spacing w:line="320" w:lineRule="exact"/>
                    <w:rPr>
                      <w:rFonts w:ascii="Times New Roman" w:hAnsi="Times New Roman"/>
                      <w:color w:val="auto"/>
                      <w:sz w:val="21"/>
                    </w:rPr>
                  </w:pPr>
                </w:p>
              </w:tc>
              <w:tc>
                <w:tcPr>
                  <w:tcW w:w="2836" w:type="pct"/>
                  <w:vAlign w:val="center"/>
                </w:tcPr>
                <w:p w14:paraId="644447D0">
                  <w:pPr>
                    <w:pStyle w:val="30"/>
                    <w:tabs>
                      <w:tab w:val="left" w:pos="317"/>
                    </w:tabs>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2、提高能源利用效率。实施能源消耗总量和强度双控行动。健全节能标准体系，大力开发、推广节能高效技术和产品，实现重点用能行业、设备节能标准全覆盖。</w:t>
                  </w:r>
                </w:p>
              </w:tc>
              <w:tc>
                <w:tcPr>
                  <w:tcW w:w="1117" w:type="pct"/>
                  <w:vAlign w:val="center"/>
                </w:tcPr>
                <w:p w14:paraId="5E1DE792">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lang w:val="en-US" w:eastAsia="zh-CN"/>
                    </w:rPr>
                    <w:t>本项目</w:t>
                  </w:r>
                  <w:r>
                    <w:rPr>
                      <w:rFonts w:hint="eastAsia" w:ascii="Times New Roman" w:hAnsi="Times New Roman" w:cs="Times New Roman"/>
                      <w:color w:val="auto"/>
                      <w:sz w:val="21"/>
                      <w:szCs w:val="21"/>
                      <w:lang w:val="en-US" w:eastAsia="zh-CN"/>
                    </w:rPr>
                    <w:t>选用低能耗设备</w:t>
                  </w:r>
                </w:p>
              </w:tc>
              <w:tc>
                <w:tcPr>
                  <w:tcW w:w="339" w:type="pct"/>
                  <w:vAlign w:val="center"/>
                </w:tcPr>
                <w:p w14:paraId="5D7753E7">
                  <w:pPr>
                    <w:spacing w:line="320" w:lineRule="exact"/>
                    <w:jc w:val="center"/>
                    <w:rPr>
                      <w:color w:val="auto"/>
                      <w:szCs w:val="21"/>
                    </w:rPr>
                  </w:pPr>
                  <w:r>
                    <w:rPr>
                      <w:rFonts w:hint="eastAsia"/>
                      <w:color w:val="auto"/>
                      <w:szCs w:val="21"/>
                    </w:rPr>
                    <w:t>-</w:t>
                  </w:r>
                </w:p>
              </w:tc>
            </w:tr>
            <w:tr w14:paraId="75B79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268" w:type="pct"/>
                  <w:vMerge w:val="continue"/>
                  <w:vAlign w:val="center"/>
                </w:tcPr>
                <w:p w14:paraId="767364D5">
                  <w:pPr>
                    <w:pStyle w:val="30"/>
                    <w:spacing w:line="320" w:lineRule="exact"/>
                    <w:rPr>
                      <w:rFonts w:ascii="Times New Roman" w:hAnsi="Times New Roman"/>
                      <w:color w:val="auto"/>
                      <w:sz w:val="21"/>
                    </w:rPr>
                  </w:pPr>
                </w:p>
              </w:tc>
              <w:tc>
                <w:tcPr>
                  <w:tcW w:w="438" w:type="pct"/>
                  <w:vMerge w:val="continue"/>
                  <w:vAlign w:val="center"/>
                </w:tcPr>
                <w:p w14:paraId="45E4CC99">
                  <w:pPr>
                    <w:pStyle w:val="30"/>
                    <w:spacing w:line="320" w:lineRule="exact"/>
                    <w:rPr>
                      <w:rFonts w:ascii="Times New Roman" w:hAnsi="Times New Roman"/>
                      <w:color w:val="auto"/>
                      <w:sz w:val="21"/>
                    </w:rPr>
                  </w:pPr>
                </w:p>
              </w:tc>
              <w:tc>
                <w:tcPr>
                  <w:tcW w:w="2836" w:type="pct"/>
                  <w:vAlign w:val="center"/>
                </w:tcPr>
                <w:p w14:paraId="01DF19FB">
                  <w:pPr>
                    <w:widowControl/>
                    <w:spacing w:line="320" w:lineRule="exact"/>
                    <w:jc w:val="center"/>
                    <w:rPr>
                      <w:color w:val="auto"/>
                      <w:szCs w:val="21"/>
                    </w:rPr>
                  </w:pPr>
                  <w:r>
                    <w:rPr>
                      <w:color w:val="auto"/>
                      <w:kern w:val="0"/>
                      <w:szCs w:val="20"/>
                      <w:lang w:bidi="ar"/>
                    </w:rPr>
                    <w:t>3</w:t>
                  </w:r>
                  <w:r>
                    <w:rPr>
                      <w:rFonts w:hint="eastAsia" w:cs="宋体"/>
                      <w:color w:val="auto"/>
                      <w:kern w:val="0"/>
                      <w:szCs w:val="20"/>
                      <w:lang w:bidi="ar"/>
                    </w:rPr>
                    <w:t>、新（改、扩）建项目能耗达到《河北省主要产品能耗限额和设备能效限定值》准入值要求，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标准执行。</w:t>
                  </w:r>
                </w:p>
              </w:tc>
              <w:tc>
                <w:tcPr>
                  <w:tcW w:w="1117" w:type="pct"/>
                  <w:vAlign w:val="center"/>
                </w:tcPr>
                <w:p w14:paraId="58C6E8A1">
                  <w:pPr>
                    <w:pStyle w:val="30"/>
                    <w:spacing w:line="320" w:lineRule="exact"/>
                    <w:rPr>
                      <w:rFonts w:ascii="Times New Roman" w:hAnsi="Times New Roman" w:cs="Times New Roman"/>
                      <w:color w:val="auto"/>
                      <w:sz w:val="21"/>
                      <w:szCs w:val="21"/>
                      <w:lang w:val="en-US" w:eastAsia="zh-CN"/>
                    </w:rPr>
                  </w:pPr>
                  <w:r>
                    <w:rPr>
                      <w:rFonts w:ascii="Times New Roman" w:hAnsi="Times New Roman" w:cs="Times New Roman"/>
                      <w:color w:val="auto"/>
                      <w:sz w:val="21"/>
                      <w:szCs w:val="21"/>
                      <w:lang w:val="en-US" w:eastAsia="zh-CN"/>
                    </w:rPr>
                    <w:t>本项目</w:t>
                  </w:r>
                  <w:r>
                    <w:rPr>
                      <w:rFonts w:hint="eastAsia" w:ascii="Times New Roman" w:hAnsi="Times New Roman"/>
                      <w:color w:val="auto"/>
                      <w:kern w:val="0"/>
                      <w:sz w:val="21"/>
                      <w:lang w:val="en-US" w:eastAsia="zh-CN" w:bidi="ar"/>
                    </w:rPr>
                    <w:t>能耗达到《河北省主要产品能耗限额和设备能效限定值》准入值要求。</w:t>
                  </w:r>
                </w:p>
              </w:tc>
              <w:tc>
                <w:tcPr>
                  <w:tcW w:w="339" w:type="pct"/>
                  <w:vAlign w:val="center"/>
                </w:tcPr>
                <w:p w14:paraId="6AF64C73">
                  <w:pPr>
                    <w:spacing w:line="320" w:lineRule="exact"/>
                    <w:jc w:val="center"/>
                    <w:rPr>
                      <w:color w:val="auto"/>
                      <w:szCs w:val="21"/>
                    </w:rPr>
                  </w:pPr>
                  <w:r>
                    <w:rPr>
                      <w:rFonts w:hint="eastAsia"/>
                      <w:color w:val="auto"/>
                      <w:szCs w:val="21"/>
                    </w:rPr>
                    <w:t>符合</w:t>
                  </w:r>
                </w:p>
              </w:tc>
            </w:tr>
            <w:tr w14:paraId="007EF0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274FEB27">
                  <w:pPr>
                    <w:pStyle w:val="30"/>
                    <w:spacing w:line="320" w:lineRule="exact"/>
                    <w:rPr>
                      <w:rFonts w:ascii="Times New Roman" w:hAnsi="Times New Roman" w:cs="Times New Roman"/>
                      <w:color w:val="auto"/>
                      <w:sz w:val="21"/>
                      <w:szCs w:val="21"/>
                    </w:rPr>
                  </w:pPr>
                </w:p>
              </w:tc>
              <w:tc>
                <w:tcPr>
                  <w:tcW w:w="438" w:type="pct"/>
                  <w:vMerge w:val="continue"/>
                  <w:vAlign w:val="center"/>
                </w:tcPr>
                <w:p w14:paraId="6C1DAFC3">
                  <w:pPr>
                    <w:pStyle w:val="30"/>
                    <w:spacing w:line="320" w:lineRule="exact"/>
                    <w:rPr>
                      <w:rFonts w:ascii="Times New Roman" w:hAnsi="Times New Roman" w:cs="Times New Roman"/>
                      <w:color w:val="auto"/>
                      <w:sz w:val="21"/>
                      <w:szCs w:val="21"/>
                    </w:rPr>
                  </w:pPr>
                </w:p>
              </w:tc>
              <w:tc>
                <w:tcPr>
                  <w:tcW w:w="2836" w:type="pct"/>
                  <w:vAlign w:val="center"/>
                </w:tcPr>
                <w:p w14:paraId="1FE70961">
                  <w:pPr>
                    <w:pStyle w:val="30"/>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w:t>
                  </w:r>
                  <w:r>
                    <w:rPr>
                      <w:rFonts w:hint="eastAsia" w:ascii="Times New Roman" w:hAnsi="Times New Roman" w:cs="Times New Roman"/>
                      <w:color w:val="auto"/>
                      <w:sz w:val="21"/>
                      <w:szCs w:val="21"/>
                      <w:lang w:eastAsia="zh-CN"/>
                    </w:rPr>
                    <w:t>采取</w:t>
                  </w:r>
                  <w:r>
                    <w:rPr>
                      <w:rFonts w:ascii="Times New Roman" w:hAnsi="Times New Roman" w:cs="Times New Roman"/>
                      <w:color w:val="auto"/>
                      <w:sz w:val="21"/>
                      <w:szCs w:val="21"/>
                    </w:rPr>
                    <w:t>其他措施，控制二氧化硫、氮氧化物和烟尘等排放：仍未达到大气污染物排放标准的，应当停止使用。禁燃区内禁止原</w:t>
                  </w:r>
                  <w:r>
                    <w:rPr>
                      <w:rFonts w:hint="eastAsia"/>
                      <w:color w:val="auto"/>
                      <w:sz w:val="21"/>
                      <w:szCs w:val="21"/>
                      <w:lang w:val="en-US" w:eastAsia="zh-CN"/>
                    </w:rPr>
                    <w:t>煤</w:t>
                  </w:r>
                  <w:r>
                    <w:rPr>
                      <w:rFonts w:ascii="Times New Roman" w:hAnsi="Times New Roman" w:cs="Times New Roman"/>
                      <w:color w:val="auto"/>
                      <w:sz w:val="21"/>
                      <w:szCs w:val="21"/>
                    </w:rPr>
                    <w:t>散烧。</w:t>
                  </w:r>
                </w:p>
              </w:tc>
              <w:tc>
                <w:tcPr>
                  <w:tcW w:w="1117" w:type="pct"/>
                  <w:vAlign w:val="center"/>
                </w:tcPr>
                <w:p w14:paraId="6A1E4E2F">
                  <w:pPr>
                    <w:spacing w:line="320" w:lineRule="exact"/>
                    <w:jc w:val="center"/>
                    <w:rPr>
                      <w:color w:val="auto"/>
                      <w:szCs w:val="21"/>
                    </w:rPr>
                  </w:pPr>
                  <w:r>
                    <w:rPr>
                      <w:color w:val="auto"/>
                      <w:szCs w:val="21"/>
                    </w:rPr>
                    <w:t>本项目</w:t>
                  </w:r>
                  <w:r>
                    <w:rPr>
                      <w:rFonts w:hint="eastAsia"/>
                      <w:color w:val="auto"/>
                      <w:szCs w:val="21"/>
                    </w:rPr>
                    <w:t>不耗煤，不涉及</w:t>
                  </w:r>
                  <w:r>
                    <w:rPr>
                      <w:color w:val="auto"/>
                      <w:szCs w:val="21"/>
                    </w:rPr>
                    <w:t>燃烧煤炭、重油、渣油等高污染燃料的设施</w:t>
                  </w:r>
                </w:p>
              </w:tc>
              <w:tc>
                <w:tcPr>
                  <w:tcW w:w="339" w:type="pct"/>
                  <w:vAlign w:val="center"/>
                </w:tcPr>
                <w:p w14:paraId="1220C8F8">
                  <w:pPr>
                    <w:spacing w:line="320" w:lineRule="exact"/>
                    <w:jc w:val="center"/>
                    <w:rPr>
                      <w:color w:val="auto"/>
                      <w:szCs w:val="21"/>
                    </w:rPr>
                  </w:pPr>
                  <w:r>
                    <w:rPr>
                      <w:rFonts w:hint="eastAsia"/>
                      <w:color w:val="auto"/>
                      <w:szCs w:val="21"/>
                    </w:rPr>
                    <w:t>-</w:t>
                  </w:r>
                </w:p>
              </w:tc>
            </w:tr>
            <w:tr w14:paraId="52E1C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268" w:type="pct"/>
                  <w:vMerge w:val="continue"/>
                  <w:vAlign w:val="center"/>
                </w:tcPr>
                <w:p w14:paraId="6239BDB8">
                  <w:pPr>
                    <w:pStyle w:val="30"/>
                    <w:spacing w:line="320" w:lineRule="exact"/>
                    <w:rPr>
                      <w:rFonts w:ascii="Times New Roman" w:hAnsi="Times New Roman" w:cs="Times New Roman"/>
                      <w:color w:val="auto"/>
                      <w:sz w:val="21"/>
                      <w:szCs w:val="21"/>
                    </w:rPr>
                  </w:pPr>
                </w:p>
              </w:tc>
              <w:tc>
                <w:tcPr>
                  <w:tcW w:w="438" w:type="pct"/>
                  <w:vMerge w:val="continue"/>
                  <w:vAlign w:val="center"/>
                </w:tcPr>
                <w:p w14:paraId="4A92DE6D">
                  <w:pPr>
                    <w:pStyle w:val="30"/>
                    <w:spacing w:line="320" w:lineRule="exact"/>
                    <w:rPr>
                      <w:rFonts w:ascii="Times New Roman" w:hAnsi="Times New Roman" w:cs="Times New Roman"/>
                      <w:color w:val="auto"/>
                      <w:sz w:val="21"/>
                      <w:szCs w:val="21"/>
                    </w:rPr>
                  </w:pPr>
                </w:p>
              </w:tc>
              <w:tc>
                <w:tcPr>
                  <w:tcW w:w="2836" w:type="pct"/>
                  <w:vAlign w:val="center"/>
                </w:tcPr>
                <w:p w14:paraId="10278B54">
                  <w:pPr>
                    <w:widowControl/>
                    <w:spacing w:line="320" w:lineRule="exact"/>
                    <w:jc w:val="center"/>
                    <w:rPr>
                      <w:color w:val="auto"/>
                      <w:szCs w:val="21"/>
                    </w:rPr>
                  </w:pPr>
                  <w:r>
                    <w:rPr>
                      <w:color w:val="auto"/>
                      <w:kern w:val="0"/>
                      <w:szCs w:val="20"/>
                      <w:lang w:bidi="ar"/>
                    </w:rPr>
                    <w:t>5</w:t>
                  </w:r>
                  <w:r>
                    <w:rPr>
                      <w:rFonts w:hint="eastAsia" w:cs="宋体"/>
                      <w:color w:val="auto"/>
                      <w:kern w:val="0"/>
                      <w:szCs w:val="20"/>
                      <w:lang w:bidi="ar"/>
                    </w:rPr>
                    <w:t>、禁燃区内禁止销售高污染燃料；禁止燃用煤炭及其制品（原料煤和发电、集中供热等具备高效污染治理设施企业用煤除外）；石油焦、油页岩、原油、重油、渣油、煤焦油；非专用锅炉或未配置高效除尘设施的专用锅炉燃用的生物质成型燃料等高污染燃料。</w:t>
                  </w:r>
                </w:p>
              </w:tc>
              <w:tc>
                <w:tcPr>
                  <w:tcW w:w="1117" w:type="pct"/>
                  <w:vAlign w:val="center"/>
                </w:tcPr>
                <w:p w14:paraId="33739ACD">
                  <w:pPr>
                    <w:spacing w:line="320" w:lineRule="exact"/>
                    <w:jc w:val="center"/>
                    <w:rPr>
                      <w:color w:val="auto"/>
                      <w:szCs w:val="21"/>
                    </w:rPr>
                  </w:pPr>
                  <w:r>
                    <w:rPr>
                      <w:rFonts w:hint="eastAsia"/>
                      <w:color w:val="auto"/>
                      <w:szCs w:val="21"/>
                    </w:rPr>
                    <w:t>不涉及</w:t>
                  </w:r>
                </w:p>
              </w:tc>
              <w:tc>
                <w:tcPr>
                  <w:tcW w:w="339" w:type="pct"/>
                  <w:vAlign w:val="center"/>
                </w:tcPr>
                <w:p w14:paraId="57F9DAA3">
                  <w:pPr>
                    <w:spacing w:line="320" w:lineRule="exact"/>
                    <w:jc w:val="center"/>
                    <w:rPr>
                      <w:color w:val="auto"/>
                      <w:szCs w:val="21"/>
                    </w:rPr>
                  </w:pPr>
                  <w:r>
                    <w:rPr>
                      <w:rFonts w:hint="eastAsia"/>
                      <w:color w:val="auto"/>
                      <w:szCs w:val="21"/>
                    </w:rPr>
                    <w:t>-</w:t>
                  </w:r>
                </w:p>
              </w:tc>
            </w:tr>
            <w:tr w14:paraId="17308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restart"/>
                  <w:noWrap w:val="0"/>
                  <w:vAlign w:val="center"/>
                </w:tcPr>
                <w:p w14:paraId="3566FEA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r>
                    <w:rPr>
                      <w:rFonts w:hint="eastAsia" w:ascii="Times New Roman" w:hAnsi="Times New Roman" w:eastAsia="宋体" w:cs="Times New Roman"/>
                      <w:color w:val="auto"/>
                      <w:spacing w:val="0"/>
                      <w:w w:val="100"/>
                      <w:position w:val="0"/>
                      <w:sz w:val="21"/>
                      <w:szCs w:val="21"/>
                      <w:lang w:val="en-US" w:eastAsia="zh-CN"/>
                    </w:rPr>
                    <w:t>土壤及地下水环境</w:t>
                  </w:r>
                </w:p>
              </w:tc>
              <w:tc>
                <w:tcPr>
                  <w:tcW w:w="438" w:type="pct"/>
                  <w:noWrap w:val="0"/>
                  <w:vAlign w:val="center"/>
                </w:tcPr>
                <w:p w14:paraId="26A1FBD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空间布局约束</w:t>
                  </w:r>
                </w:p>
              </w:tc>
              <w:tc>
                <w:tcPr>
                  <w:tcW w:w="2836" w:type="pct"/>
                  <w:noWrap w:val="0"/>
                  <w:vAlign w:val="center"/>
                </w:tcPr>
                <w:p w14:paraId="05BB44F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严格执行相关行业企业布局选址要求，禁止在居民区和学校、医院、疗养院、养老院等单位周边新建、改建、扩建可能造成土壤污染的建设项目。</w:t>
                  </w:r>
                </w:p>
              </w:tc>
              <w:tc>
                <w:tcPr>
                  <w:tcW w:w="1117" w:type="pct"/>
                  <w:noWrap w:val="0"/>
                  <w:vAlign w:val="center"/>
                </w:tcPr>
                <w:p w14:paraId="7BCE83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799EDC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6351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51185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p>
              </w:tc>
              <w:tc>
                <w:tcPr>
                  <w:tcW w:w="438" w:type="pct"/>
                  <w:vMerge w:val="restart"/>
                  <w:noWrap w:val="0"/>
                  <w:vAlign w:val="center"/>
                </w:tcPr>
                <w:p w14:paraId="7DE1F07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污染排放管控</w:t>
                  </w:r>
                </w:p>
              </w:tc>
              <w:tc>
                <w:tcPr>
                  <w:tcW w:w="2836" w:type="pct"/>
                  <w:noWrap w:val="0"/>
                  <w:vAlign w:val="center"/>
                </w:tcPr>
                <w:p w14:paraId="536CAAA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、严禁将污泥直接用作肥料，禁止不达标污泥就地堆放，结合污泥处理设施升级改造，逐步取消原生污泥简易填埋等不符合环保要求的处置方式。鼓励利用水泥厂等工业窑炉，开展污泥协同焚烧处置。</w:t>
                  </w:r>
                </w:p>
              </w:tc>
              <w:tc>
                <w:tcPr>
                  <w:tcW w:w="1117" w:type="pct"/>
                  <w:noWrap w:val="0"/>
                  <w:vAlign w:val="center"/>
                </w:tcPr>
                <w:p w14:paraId="6CCB40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A5D27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AD8A7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EE3A1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4E2A7DF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623D9F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严格落实总量控制制度，减少重金属污染物排放。新、改、扩建涉重金属重点行业建设项目，污染物排放实施等量或倍量替换，对重金属排放量继续上升的地区，暂停审批新增重金属污染物排放的建设项目。加大减排项目督导力度，确保项目按期实施。</w:t>
                  </w:r>
                </w:p>
              </w:tc>
              <w:tc>
                <w:tcPr>
                  <w:tcW w:w="1117" w:type="pct"/>
                  <w:noWrap w:val="0"/>
                  <w:vAlign w:val="center"/>
                </w:tcPr>
                <w:p w14:paraId="5E750A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CB1A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FB97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CFBE0A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3951F43">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0F11776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加大矿山生态环境保护与治理恢复力度，新建和生产矿山严格按照审批通过的开发利用方案和矿山生态环境恢复治理方案，边开采、边治理、边恢复。加快推进责任主体灭失矿山迹地综合治理。加强尾矿库的安全管理，尾矿库运营、管理单位要进行土壤污染状况监测和定期评估，建立环境风险管理档案，防止发生安全事故造成土壤污染。</w:t>
                  </w:r>
                </w:p>
              </w:tc>
              <w:tc>
                <w:tcPr>
                  <w:tcW w:w="1117" w:type="pct"/>
                  <w:noWrap w:val="0"/>
                  <w:vAlign w:val="center"/>
                </w:tcPr>
                <w:p w14:paraId="159B36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4BBB4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3C995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B9082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526ED7C">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1419CAC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查处违法排污等行为。全面禁止洋垃圾入境，逐步实现固体废物零进口。</w:t>
                  </w:r>
                </w:p>
              </w:tc>
              <w:tc>
                <w:tcPr>
                  <w:tcW w:w="1117" w:type="pct"/>
                  <w:noWrap w:val="0"/>
                  <w:vAlign w:val="center"/>
                </w:tcPr>
                <w:p w14:paraId="5C0A7B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5CADCE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D268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263736D">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D01DEC3">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68D10C6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严格危险废物经营许可审批，加强危险废物处置单位规范化管理核查。统筹推进危险废物利用处置能力建设，加快补齐利用处置设施短板。积极推进重点监管源智能监控体系建设，加大危险废物产生、贮存、转运、利用、处置全流程监管力度。规范和完善医疗废物分类收集处置体系。</w:t>
                  </w:r>
                </w:p>
              </w:tc>
              <w:tc>
                <w:tcPr>
                  <w:tcW w:w="1117" w:type="pct"/>
                  <w:noWrap w:val="0"/>
                  <w:vAlign w:val="center"/>
                </w:tcPr>
                <w:p w14:paraId="11E7AC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5BD70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5C5ED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1CD2D94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0EC06EE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环境风险防控</w:t>
                  </w:r>
                </w:p>
              </w:tc>
              <w:tc>
                <w:tcPr>
                  <w:tcW w:w="2836" w:type="pct"/>
                  <w:noWrap w:val="0"/>
                  <w:vAlign w:val="center"/>
                </w:tcPr>
                <w:p w14:paraId="2B38CC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、每年对集中式饮用水水源保护区开展基础调查与评估，将可能影响水源水质安全的风险源全部列入档案，实行“一源一案”，对每个风险源开展隐患排查、整改，编制风险应急方案，建立联防联控应急机制。</w:t>
                  </w:r>
                </w:p>
              </w:tc>
              <w:tc>
                <w:tcPr>
                  <w:tcW w:w="1117" w:type="pct"/>
                  <w:noWrap w:val="0"/>
                  <w:vAlign w:val="center"/>
                </w:tcPr>
                <w:p w14:paraId="3B4DF9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1447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CCDDA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6D1A46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F53627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68A7629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、加强尾矿库安全监管，防止发生安全事故造成土壤污染，有重点监管尾矿库的企业要开展环境风险评估，完善污染治理设施，储备应急装备、物资。</w:t>
                  </w:r>
                </w:p>
              </w:tc>
              <w:tc>
                <w:tcPr>
                  <w:tcW w:w="1117" w:type="pct"/>
                  <w:noWrap w:val="0"/>
                  <w:vAlign w:val="center"/>
                </w:tcPr>
                <w:p w14:paraId="3AF7D1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9CEF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E2BA3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27D301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46C4546">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459C9A9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、产生、收集、贮存、运输、利用、处置危险废物的单位，应当依法制定意外事故的防范措施和应急预案，并向所在地生态环境主管部门和其他负有固体废物污染环境防治监督管理职责的部门备案。</w:t>
                  </w:r>
                </w:p>
              </w:tc>
              <w:tc>
                <w:tcPr>
                  <w:tcW w:w="1117" w:type="pct"/>
                  <w:noWrap w:val="0"/>
                  <w:vAlign w:val="center"/>
                </w:tcPr>
                <w:p w14:paraId="3A9DE5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C76F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262A8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73BEA5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350D089">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30E104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严格落实耕地风险防范措施。对安全利用类耕地，应结合当地主要作物品种和种植习惯，采取农艺调控、低积累品种替代、轮作间作等措施，降低农产品超标风险；对严格管控类耕地，依法划定特定农产品禁止生产区域，鼓励采取调整种植结构、退耕还林还草、退耕还湿、轮作休耕等风险管控措施。</w:t>
                  </w:r>
                </w:p>
              </w:tc>
              <w:tc>
                <w:tcPr>
                  <w:tcW w:w="1117" w:type="pct"/>
                  <w:noWrap w:val="0"/>
                  <w:vAlign w:val="center"/>
                </w:tcPr>
                <w:p w14:paraId="28154D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41A7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2D35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245A49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56EC56B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0456180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强化污染地块土壤环境联动监管。抓好退城搬迁工业企业工矿用地土壤环境监督管理，土壤污染重点监管单位拆除设施、设备或者建筑物、构筑物，要制定土壤污染防治工作方案并按要求备案，防范拆除活动造成土壤和地下水污染，切实保障生态环境安全。</w:t>
                  </w:r>
                </w:p>
              </w:tc>
              <w:tc>
                <w:tcPr>
                  <w:tcW w:w="1117" w:type="pct"/>
                  <w:noWrap w:val="0"/>
                  <w:vAlign w:val="center"/>
                </w:tcPr>
                <w:p w14:paraId="7A5E61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8ABA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4958F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D3A9C5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B06CCB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2410948">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6</w:t>
                  </w:r>
                  <w:r>
                    <w:rPr>
                      <w:rFonts w:hint="eastAsia" w:ascii="Times New Roman" w:hAnsi="Times New Roman" w:eastAsia="宋体" w:cs="Times New Roman"/>
                      <w:color w:val="auto"/>
                      <w:spacing w:val="0"/>
                      <w:w w:val="100"/>
                      <w:position w:val="0"/>
                      <w:sz w:val="21"/>
                      <w:szCs w:val="21"/>
                      <w:lang w:val="en-US" w:eastAsia="zh-CN"/>
                    </w:rPr>
                    <w:t xml:space="preserve">、严格建设用地准入管理。加强对土地征收、收回、收购的监督管理，对应当开展土壤污染状况调查而未进行调查的地块，以及列入疑似污染地块名单、污染地块名录、建设用地土壤污染风险管控和修复名录且未达到规划用途土壤环境质量要求的地块，不得进入供地程序进行再开发 </w:t>
                  </w:r>
                </w:p>
                <w:p w14:paraId="0BE80F7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p>
              </w:tc>
              <w:tc>
                <w:tcPr>
                  <w:tcW w:w="1117" w:type="pct"/>
                  <w:noWrap w:val="0"/>
                  <w:vAlign w:val="center"/>
                </w:tcPr>
                <w:p w14:paraId="2CA357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6A89B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A7435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F1E009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199591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F483F4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7</w:t>
                  </w:r>
                  <w:r>
                    <w:rPr>
                      <w:rFonts w:hint="eastAsia" w:ascii="Times New Roman" w:hAnsi="Times New Roman" w:eastAsia="宋体" w:cs="Times New Roman"/>
                      <w:color w:val="auto"/>
                      <w:spacing w:val="0"/>
                      <w:w w:val="100"/>
                      <w:position w:val="0"/>
                      <w:sz w:val="21"/>
                      <w:szCs w:val="21"/>
                      <w:lang w:val="en-US" w:eastAsia="zh-CN"/>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编制修复方案并组织实施。加强治理与修复施工的环境监理，并严防治理与修复过程中产生废水、废气和固体废物二次污染。</w:t>
                  </w:r>
                </w:p>
              </w:tc>
              <w:tc>
                <w:tcPr>
                  <w:tcW w:w="1117" w:type="pct"/>
                  <w:noWrap w:val="0"/>
                  <w:vAlign w:val="center"/>
                </w:tcPr>
                <w:p w14:paraId="1234C9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65EC4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73EFF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D68DC3D">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011983F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6EB7AB7A">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8</w:t>
                  </w:r>
                  <w:r>
                    <w:rPr>
                      <w:rFonts w:hint="eastAsia" w:ascii="Times New Roman" w:hAnsi="Times New Roman" w:eastAsia="宋体" w:cs="Times New Roman"/>
                      <w:color w:val="auto"/>
                      <w:spacing w:val="0"/>
                      <w:w w:val="100"/>
                      <w:position w:val="0"/>
                      <w:sz w:val="21"/>
                      <w:szCs w:val="21"/>
                      <w:lang w:val="en-US" w:eastAsia="zh-CN"/>
                    </w:rPr>
                    <w:t>、加快建设应急备用水源，防控水源地环境风险。</w:t>
                  </w:r>
                </w:p>
              </w:tc>
              <w:tc>
                <w:tcPr>
                  <w:tcW w:w="1117" w:type="pct"/>
                  <w:noWrap w:val="0"/>
                  <w:vAlign w:val="center"/>
                </w:tcPr>
                <w:p w14:paraId="40B273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0C3A2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E97E5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15E6E331">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995982B">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3AFC952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9</w:t>
                  </w:r>
                  <w:r>
                    <w:rPr>
                      <w:rFonts w:hint="eastAsia" w:ascii="Times New Roman" w:hAnsi="Times New Roman" w:eastAsia="宋体" w:cs="Times New Roman"/>
                      <w:color w:val="auto"/>
                      <w:spacing w:val="0"/>
                      <w:w w:val="100"/>
                      <w:position w:val="0"/>
                      <w:sz w:val="21"/>
                      <w:szCs w:val="21"/>
                      <w:lang w:val="en-US" w:eastAsia="zh-CN"/>
                    </w:rPr>
                    <w:t>、针对存在地下水污染的化工园区、危险废物处置场和生活垃圾填埋场等，实施地下水污染风险管控，因地制宜选择阻隔、制度控制、渗透反应格栅等技术，阻止污染扩散，加强风险管控后期地下水环境监管。</w:t>
                  </w:r>
                </w:p>
              </w:tc>
              <w:tc>
                <w:tcPr>
                  <w:tcW w:w="1117" w:type="pct"/>
                  <w:noWrap w:val="0"/>
                  <w:vAlign w:val="center"/>
                </w:tcPr>
                <w:p w14:paraId="549572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76C9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51E802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restart"/>
                  <w:noWrap w:val="0"/>
                  <w:vAlign w:val="center"/>
                </w:tcPr>
                <w:p w14:paraId="6DE9EFF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TW"/>
                    </w:rPr>
                  </w:pPr>
                  <w:r>
                    <w:rPr>
                      <w:rFonts w:hint="eastAsia" w:ascii="Times New Roman" w:hAnsi="Times New Roman" w:eastAsia="宋体" w:cs="Times New Roman"/>
                      <w:color w:val="auto"/>
                      <w:spacing w:val="0"/>
                      <w:w w:val="100"/>
                      <w:position w:val="0"/>
                      <w:sz w:val="21"/>
                      <w:szCs w:val="21"/>
                      <w:lang w:val="en-US" w:eastAsia="zh-CN"/>
                    </w:rPr>
                    <w:t>地表水环境</w:t>
                  </w:r>
                </w:p>
              </w:tc>
              <w:tc>
                <w:tcPr>
                  <w:tcW w:w="438" w:type="pct"/>
                  <w:vMerge w:val="restart"/>
                  <w:noWrap w:val="0"/>
                  <w:vAlign w:val="center"/>
                </w:tcPr>
                <w:p w14:paraId="1641D9AD">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空间布局约束</w:t>
                  </w:r>
                </w:p>
              </w:tc>
              <w:tc>
                <w:tcPr>
                  <w:tcW w:w="2836" w:type="pct"/>
                  <w:noWrap w:val="0"/>
                  <w:vAlign w:val="center"/>
                </w:tcPr>
                <w:p w14:paraId="77AFA7F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、涉水自然保护区及饮用水源保护区参照生态空间管控要求。</w:t>
                  </w:r>
                </w:p>
              </w:tc>
              <w:tc>
                <w:tcPr>
                  <w:tcW w:w="1117" w:type="pct"/>
                  <w:noWrap w:val="0"/>
                  <w:vAlign w:val="center"/>
                </w:tcPr>
                <w:p w14:paraId="6AEF65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ECCE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5A28E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792AF3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743F06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471142B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、鼓励发展节水高效现代农业、低耗水高新技术产业以及生态保护型旅游业，严格控制缺水地区、水污染严重地区和敏感区域高耗水、高污染行业发展。</w:t>
                  </w:r>
                </w:p>
              </w:tc>
              <w:tc>
                <w:tcPr>
                  <w:tcW w:w="1117" w:type="pct"/>
                  <w:noWrap w:val="0"/>
                  <w:vAlign w:val="center"/>
                </w:tcPr>
                <w:p w14:paraId="099F6D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F7C9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454CB2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548B7350">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D7861B6">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5937B1A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 xml:space="preserve">、全市重点河流沿岸、重要饮用水水源地补给区，严格控制化学原料和化学制品制造、医药制造、制革、造纸、焦化、化学纤维制造、石油加工、纺织印染等项目环境风险，合理布局生产装置及危险化学品仓储等设施。重大项目原则上布局在优化开发区和重点开发区，并符合城乡 </w:t>
                  </w:r>
                </w:p>
                <w:p w14:paraId="646D7384">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规划和土地利用总体规划。</w:t>
                  </w:r>
                </w:p>
              </w:tc>
              <w:tc>
                <w:tcPr>
                  <w:tcW w:w="1117" w:type="pct"/>
                  <w:noWrap w:val="0"/>
                  <w:vAlign w:val="center"/>
                </w:tcPr>
                <w:p w14:paraId="79F9D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00FA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85D37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A845FC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5004437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76CE30A0">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、未完成污水集中处理设施建设的工业园区（工业集聚区），一律暂停审批和核准其增加水污染物排放的建设项目。</w:t>
                  </w:r>
                </w:p>
              </w:tc>
              <w:tc>
                <w:tcPr>
                  <w:tcW w:w="1117" w:type="pct"/>
                  <w:noWrap w:val="0"/>
                  <w:vAlign w:val="center"/>
                </w:tcPr>
                <w:p w14:paraId="07B345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00FF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FAB8C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EC60D1F">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843C325">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CN" w:bidi="zh-TW"/>
                    </w:rPr>
                  </w:pPr>
                </w:p>
              </w:tc>
              <w:tc>
                <w:tcPr>
                  <w:tcW w:w="2836" w:type="pct"/>
                  <w:noWrap w:val="0"/>
                  <w:vAlign w:val="center"/>
                </w:tcPr>
                <w:p w14:paraId="2E7FC912">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推进现有企业向依法合规设立、环保设施齐全、符合规划环评要求、满足水法律法规规定的工业集聚区集中，明确涉水工业企业入园时间表；确因不具备入园条件需原地保留的涉水工业企业，明确保留条件，其中直排环境企业应达到排入水体功能区标准。</w:t>
                  </w:r>
                </w:p>
              </w:tc>
              <w:tc>
                <w:tcPr>
                  <w:tcW w:w="1117" w:type="pct"/>
                  <w:noWrap w:val="0"/>
                  <w:vAlign w:val="center"/>
                </w:tcPr>
                <w:p w14:paraId="246FA5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2A5B5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1F35BA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1A4619C">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37EEAB17">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污染物排放管控</w:t>
                  </w:r>
                </w:p>
              </w:tc>
              <w:tc>
                <w:tcPr>
                  <w:tcW w:w="2836" w:type="pct"/>
                  <w:noWrap w:val="0"/>
                  <w:vAlign w:val="center"/>
                </w:tcPr>
                <w:p w14:paraId="225314D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 xml:space="preserve">、严格控制高污染、高耗水行业新增产能。产能过剩产业实行新增产能等量替代、涉水主要污染物排放同行业倍量替代。对造纸、焦化、氮肥、石油化工、印染、农副食品加工、原料药制造、制革、农药、电镀等“十大”重点行业，新建、改建、扩建项目实行新增主要污染物排放 </w:t>
                  </w:r>
                </w:p>
                <w:p w14:paraId="2286179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倍量替代。</w:t>
                  </w:r>
                </w:p>
              </w:tc>
              <w:tc>
                <w:tcPr>
                  <w:tcW w:w="1117" w:type="pct"/>
                  <w:noWrap w:val="0"/>
                  <w:vAlign w:val="center"/>
                </w:tcPr>
                <w:p w14:paraId="3C001F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kern w:val="2"/>
                      <w:sz w:val="21"/>
                      <w:szCs w:val="21"/>
                      <w:highlight w:val="yellow"/>
                      <w:lang w:val="en-US" w:eastAsia="zh-CN" w:bidi="ar-SA"/>
                    </w:rPr>
                  </w:pPr>
                  <w:r>
                    <w:rPr>
                      <w:rFonts w:hint="eastAsia" w:ascii="Times New Roman" w:hAnsi="Times New Roman" w:eastAsia="宋体" w:cs="Times New Roman"/>
                      <w:color w:val="auto"/>
                      <w:sz w:val="21"/>
                      <w:szCs w:val="21"/>
                      <w:highlight w:val="none"/>
                      <w:lang w:val="en-US" w:eastAsia="zh-CN"/>
                    </w:rPr>
                    <w:t>本项目喷淋抑尘水直接蒸发；职工盥洗及冲厕废水经</w:t>
                  </w:r>
                  <w:r>
                    <w:rPr>
                      <w:rFonts w:hint="eastAsia" w:cs="Times New Roman"/>
                      <w:color w:val="auto"/>
                      <w:sz w:val="21"/>
                      <w:szCs w:val="21"/>
                      <w:highlight w:val="none"/>
                      <w:lang w:val="en-US" w:eastAsia="zh-CN"/>
                    </w:rPr>
                    <w:t>园区管网排入园区污水处理厂</w:t>
                  </w:r>
                  <w:r>
                    <w:rPr>
                      <w:rFonts w:hint="eastAsia" w:ascii="Times New Roman" w:hAnsi="Times New Roman" w:eastAsia="宋体" w:cs="Times New Roman"/>
                      <w:color w:val="auto"/>
                      <w:sz w:val="21"/>
                      <w:szCs w:val="21"/>
                      <w:highlight w:val="none"/>
                      <w:lang w:val="en-US" w:eastAsia="zh-CN"/>
                    </w:rPr>
                    <w:t>；车辆冲洗废水经沉淀池沉淀后回用于洗车，不外排。</w:t>
                  </w:r>
                </w:p>
              </w:tc>
              <w:tc>
                <w:tcPr>
                  <w:tcW w:w="339" w:type="pct"/>
                  <w:noWrap w:val="0"/>
                  <w:vAlign w:val="center"/>
                </w:tcPr>
                <w:p w14:paraId="679A9E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0B26C2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409E0AF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23AAE8FA">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7550D37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全面加强城镇污水管网建设，提升污水收集能力。扩大城镇污水管网覆盖范围，推进新建城区、扩建新区以及城乡结合部等污水截留、收集纳管；进一步加强城区支管、毛细管等管网建设，提高污水收集率。推进城镇排水系统雨污分流建设，新建城区、扩建新区、新开发区建设排水管网一律实行雨污分流；强化各县（市、区）城区和重点城镇污水管网建设，新建污水处理设施应与配套管网同步设计、同步建设、同步投运。推进初期雨水收集、处理与资源化利用。</w:t>
                  </w:r>
                </w:p>
              </w:tc>
              <w:tc>
                <w:tcPr>
                  <w:tcW w:w="1117" w:type="pct"/>
                  <w:noWrap w:val="0"/>
                  <w:vAlign w:val="center"/>
                </w:tcPr>
                <w:p w14:paraId="1CC29C38">
                  <w:pPr>
                    <w:pStyle w:val="30"/>
                    <w:keepNext w:val="0"/>
                    <w:keepLines w:val="0"/>
                    <w:pageBreakBefore w:val="0"/>
                    <w:widowControl w:val="0"/>
                    <w:shd w:val="clear" w:color="auto" w:fill="auto"/>
                    <w:tabs>
                      <w:tab w:val="left" w:pos="326"/>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eastAsia="宋体" w:cs="Times New Roman"/>
                      <w:color w:val="auto"/>
                      <w:spacing w:val="0"/>
                      <w:w w:val="100"/>
                      <w:position w:val="0"/>
                      <w:sz w:val="21"/>
                      <w:szCs w:val="21"/>
                      <w:highlight w:val="yellow"/>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项目实行雨污分流制。</w:t>
                  </w:r>
                </w:p>
              </w:tc>
              <w:tc>
                <w:tcPr>
                  <w:tcW w:w="339" w:type="pct"/>
                  <w:noWrap w:val="0"/>
                  <w:vAlign w:val="center"/>
                </w:tcPr>
                <w:p w14:paraId="7F5E3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D98A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2FC8B8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170B5A6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15B4D334">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3</w:t>
                  </w:r>
                  <w:r>
                    <w:rPr>
                      <w:rFonts w:hint="eastAsia" w:ascii="Times New Roman" w:hAnsi="Times New Roman" w:eastAsia="宋体" w:cs="Times New Roman"/>
                      <w:color w:val="auto"/>
                      <w:spacing w:val="0"/>
                      <w:w w:val="100"/>
                      <w:position w:val="0"/>
                      <w:sz w:val="21"/>
                      <w:szCs w:val="21"/>
                      <w:lang w:val="en-US" w:eastAsia="zh-CN"/>
                    </w:rPr>
                    <w:t>、强化工业污水限期达标整治。推进废水直排外环境的工业企业全面达标排放。强化入河排污口监督管理，推动入河排污口规范化建设，取缔非法入河排污口。加大超标排放整治力度，对超标和超总量的企业依法查处，对企业超标现象普遍、超标企业集中地区政府采取挂牌督办、公开约谈等措施。对整治仍不能达到要求且情节严重的企业，由所在地政府依法责令限期关闭。</w:t>
                  </w:r>
                </w:p>
              </w:tc>
              <w:tc>
                <w:tcPr>
                  <w:tcW w:w="1117" w:type="pct"/>
                  <w:noWrap w:val="0"/>
                  <w:vAlign w:val="center"/>
                </w:tcPr>
                <w:p w14:paraId="0C603C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B3E6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2DD363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6897CF0E">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6C28540F">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7F5E391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4</w:t>
                  </w:r>
                  <w:r>
                    <w:rPr>
                      <w:rFonts w:hint="eastAsia" w:ascii="Times New Roman" w:hAnsi="Times New Roman" w:eastAsia="宋体" w:cs="Times New Roman"/>
                      <w:color w:val="auto"/>
                      <w:spacing w:val="0"/>
                      <w:w w:val="100"/>
                      <w:position w:val="0"/>
                      <w:sz w:val="21"/>
                      <w:szCs w:val="21"/>
                      <w:lang w:val="en-US" w:eastAsia="zh-CN"/>
                    </w:rPr>
                    <w:t>、推进农业面源污染治理。减少化肥农药使用量，严格控制高毒高风险农药使用，推进有机肥替代化肥、病虫害绿色防控替代化学防治，积极推进废旧农膜回收，完善废旧地膜和包装废弃物等回收处理制度。</w:t>
                  </w:r>
                </w:p>
              </w:tc>
              <w:tc>
                <w:tcPr>
                  <w:tcW w:w="1117" w:type="pct"/>
                  <w:noWrap w:val="0"/>
                  <w:vAlign w:val="center"/>
                </w:tcPr>
                <w:p w14:paraId="4733FA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76D9A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332FA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26882929">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3B4E9DE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3741D48B">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5</w:t>
                  </w:r>
                  <w:r>
                    <w:rPr>
                      <w:rFonts w:hint="eastAsia" w:ascii="Times New Roman" w:hAnsi="Times New Roman" w:eastAsia="宋体" w:cs="Times New Roman"/>
                      <w:color w:val="auto"/>
                      <w:spacing w:val="0"/>
                      <w:w w:val="100"/>
                      <w:position w:val="0"/>
                      <w:sz w:val="21"/>
                      <w:szCs w:val="21"/>
                      <w:lang w:val="en-US" w:eastAsia="zh-CN"/>
                    </w:rPr>
                    <w:t>、推进养殖废弃物资源化利用。坚持种植和养殖相结合，就地就近消纳利用畜禽养殖废弃物。合理布局水产养殖空间，深入推进生态健康养殖，开展重点河流湖库及近岸海域破坏生态环境的养殖方式综合整治。</w:t>
                  </w:r>
                </w:p>
              </w:tc>
              <w:tc>
                <w:tcPr>
                  <w:tcW w:w="1117" w:type="pct"/>
                  <w:noWrap w:val="0"/>
                  <w:vAlign w:val="center"/>
                </w:tcPr>
                <w:p w14:paraId="74452B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16AC1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39EEF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9B03EE7">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7F9EA690">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4635163E">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6</w:t>
                  </w:r>
                  <w:r>
                    <w:rPr>
                      <w:rFonts w:hint="eastAsia" w:ascii="Times New Roman" w:hAnsi="Times New Roman" w:eastAsia="宋体" w:cs="Times New Roman"/>
                      <w:color w:val="auto"/>
                      <w:spacing w:val="0"/>
                      <w:w w:val="100"/>
                      <w:position w:val="0"/>
                      <w:sz w:val="21"/>
                      <w:szCs w:val="21"/>
                      <w:lang w:val="en-US" w:eastAsia="zh-CN"/>
                    </w:rPr>
                    <w:t>、实施总氮排放总量控制，新建、改建、扩建涉及总氮排放的建设项目，实施总氮排放总量指标减量替代，并在相关单位排污许可证中予以明确、严格落实，严控新增总氮排放量。</w:t>
                  </w:r>
                </w:p>
              </w:tc>
              <w:tc>
                <w:tcPr>
                  <w:tcW w:w="1117" w:type="pct"/>
                  <w:noWrap w:val="0"/>
                  <w:vAlign w:val="center"/>
                </w:tcPr>
                <w:p w14:paraId="5ED36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3776AE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7A383B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07A7675A">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noWrap w:val="0"/>
                  <w:vAlign w:val="center"/>
                </w:tcPr>
                <w:p w14:paraId="08E58475">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环境风险防控</w:t>
                  </w:r>
                </w:p>
              </w:tc>
              <w:tc>
                <w:tcPr>
                  <w:tcW w:w="2836" w:type="pct"/>
                  <w:noWrap w:val="0"/>
                  <w:vAlign w:val="center"/>
                </w:tcPr>
                <w:p w14:paraId="213DBA11">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eastAsia" w:ascii="Times New Roman" w:hAnsi="Times New Roman" w:eastAsia="宋体" w:cs="Times New Roman"/>
                      <w:color w:val="auto"/>
                      <w:spacing w:val="0"/>
                      <w:w w:val="100"/>
                      <w:position w:val="0"/>
                      <w:sz w:val="21"/>
                      <w:szCs w:val="21"/>
                      <w:lang w:val="en-US" w:eastAsia="zh-CN"/>
                    </w:rPr>
                    <w:t>有效防控水源地环境风险。每年对集中式饮用水水源保护区开展基础调查与评估，将可能影响水源水质安全的风险源全部列入档案，加强风险应急防控，建立联防联控应急机制。推广供水水厂应急净化技术，储备应急供水专项物资，配置移动式应急净水设备，加强应急抢险专业队伍建设，及时有效处置饮用水水源突发环境事件。</w:t>
                  </w:r>
                </w:p>
              </w:tc>
              <w:tc>
                <w:tcPr>
                  <w:tcW w:w="1117" w:type="pct"/>
                  <w:noWrap w:val="0"/>
                  <w:vAlign w:val="center"/>
                </w:tcPr>
                <w:p w14:paraId="01C07C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02F076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4F63F4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4EA29D32">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restart"/>
                  <w:noWrap w:val="0"/>
                  <w:vAlign w:val="center"/>
                </w:tcPr>
                <w:p w14:paraId="055D0192">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r>
                    <w:rPr>
                      <w:rFonts w:hint="eastAsia" w:ascii="Times New Roman" w:hAnsi="Times New Roman" w:eastAsia="宋体" w:cs="Times New Roman"/>
                      <w:color w:val="auto"/>
                      <w:spacing w:val="0"/>
                      <w:w w:val="100"/>
                      <w:position w:val="0"/>
                      <w:sz w:val="21"/>
                      <w:szCs w:val="21"/>
                      <w:lang w:val="en-US" w:eastAsia="zh-CN"/>
                    </w:rPr>
                    <w:t>资源开发利用</w:t>
                  </w:r>
                </w:p>
              </w:tc>
              <w:tc>
                <w:tcPr>
                  <w:tcW w:w="2836" w:type="pct"/>
                  <w:noWrap w:val="0"/>
                  <w:vAlign w:val="center"/>
                </w:tcPr>
                <w:p w14:paraId="77597AFC">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1</w:t>
                  </w:r>
                  <w:r>
                    <w:rPr>
                      <w:rFonts w:hint="eastAsia" w:ascii="Times New Roman" w:hAnsi="Times New Roman" w:eastAsia="宋体" w:cs="Times New Roman"/>
                      <w:color w:val="auto"/>
                      <w:spacing w:val="0"/>
                      <w:w w:val="100"/>
                      <w:position w:val="0"/>
                      <w:sz w:val="21"/>
                      <w:szCs w:val="21"/>
                      <w:lang w:val="en-US" w:eastAsia="zh-CN"/>
                    </w:rPr>
                    <w:t>、开展用水效率评估，建立万元工业增加值水耗指标等用水效率评估体系，把节水目标任务完成情况纳入地方政府政绩考核。将再生水、雨水和微咸水等非常规水源纳入水资源统一配置。</w:t>
                  </w:r>
                </w:p>
              </w:tc>
              <w:tc>
                <w:tcPr>
                  <w:tcW w:w="1117" w:type="pct"/>
                  <w:noWrap w:val="0"/>
                  <w:vAlign w:val="center"/>
                </w:tcPr>
                <w:p w14:paraId="1F7474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4A924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14:paraId="6D7E55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8" w:type="pct"/>
                  <w:vMerge w:val="continue"/>
                  <w:noWrap w:val="0"/>
                  <w:vAlign w:val="center"/>
                </w:tcPr>
                <w:p w14:paraId="761D41D8">
                  <w:pPr>
                    <w:pStyle w:val="30"/>
                    <w:keepNext w:val="0"/>
                    <w:keepLines w:val="0"/>
                    <w:widowControl w:val="0"/>
                    <w:shd w:val="clear" w:color="auto" w:fill="auto"/>
                    <w:bidi w:val="0"/>
                    <w:spacing w:before="0" w:after="0" w:line="307" w:lineRule="exact"/>
                    <w:ind w:left="0" w:leftChars="0" w:right="0" w:rightChars="0" w:firstLine="0" w:firstLineChars="0"/>
                    <w:jc w:val="center"/>
                    <w:rPr>
                      <w:rFonts w:hint="default" w:ascii="Times New Roman" w:hAnsi="Times New Roman" w:eastAsia="宋体" w:cs="Times New Roman"/>
                      <w:color w:val="auto"/>
                      <w:kern w:val="2"/>
                      <w:sz w:val="21"/>
                      <w:szCs w:val="21"/>
                      <w:u w:val="none"/>
                      <w:shd w:val="clear" w:color="auto" w:fill="auto"/>
                      <w:lang w:val="zh-TW" w:eastAsia="zh-TW" w:bidi="zh-TW"/>
                    </w:rPr>
                  </w:pPr>
                </w:p>
              </w:tc>
              <w:tc>
                <w:tcPr>
                  <w:tcW w:w="438" w:type="pct"/>
                  <w:vMerge w:val="continue"/>
                  <w:noWrap w:val="0"/>
                  <w:vAlign w:val="center"/>
                </w:tcPr>
                <w:p w14:paraId="41CFAAC3">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zh-TW" w:eastAsia="zh-CN"/>
                    </w:rPr>
                  </w:pPr>
                </w:p>
              </w:tc>
              <w:tc>
                <w:tcPr>
                  <w:tcW w:w="2836" w:type="pct"/>
                  <w:noWrap w:val="0"/>
                  <w:vAlign w:val="center"/>
                </w:tcPr>
                <w:p w14:paraId="2E803CE9">
                  <w:pPr>
                    <w:pStyle w:val="30"/>
                    <w:keepNext w:val="0"/>
                    <w:keepLines w:val="0"/>
                    <w:widowControl w:val="0"/>
                    <w:shd w:val="clear" w:color="auto" w:fill="auto"/>
                    <w:tabs>
                      <w:tab w:val="left" w:pos="326"/>
                    </w:tabs>
                    <w:bidi w:val="0"/>
                    <w:spacing w:before="0" w:after="0" w:line="306" w:lineRule="exact"/>
                    <w:ind w:left="0" w:right="0" w:firstLine="0"/>
                    <w:jc w:val="center"/>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lang w:val="en-US" w:eastAsia="zh-CN"/>
                    </w:rPr>
                    <w:t>2</w:t>
                  </w:r>
                  <w:r>
                    <w:rPr>
                      <w:rFonts w:hint="eastAsia" w:ascii="Times New Roman" w:hAnsi="Times New Roman" w:eastAsia="宋体" w:cs="Times New Roman"/>
                      <w:color w:val="auto"/>
                      <w:spacing w:val="0"/>
                      <w:w w:val="100"/>
                      <w:position w:val="0"/>
                      <w:sz w:val="21"/>
                      <w:szCs w:val="21"/>
                      <w:lang w:val="en-US" w:eastAsia="zh-CN"/>
                    </w:rPr>
                    <w:t>、发展农业节水。调整农业种植结构，发展旱作节水农业，推进田间节水设施建设，大力推广耐旱节水品种、耕作保墒、地膜覆盖、秸秆还田、水肥一体化等农业综合节水技术。推广渠道防渗、管道输水、喷灌、微灌、农作物节水抗旱等技术，完善灌溉用水计量设施，推进规模化高效节水灌溉。加快高效节水灌溉示范项目建设，粮食主产区大力推广以高标准管灌为主的节水灌溉工程，蔬菜、果品和经济种植区大力推广微滴灌技术，规模化农场、承包大户积极推广喷灌技术。地上水灌区实施续建配套与节水改造。</w:t>
                  </w:r>
                </w:p>
              </w:tc>
              <w:tc>
                <w:tcPr>
                  <w:tcW w:w="1117" w:type="pct"/>
                  <w:noWrap w:val="0"/>
                  <w:vAlign w:val="center"/>
                </w:tcPr>
                <w:p w14:paraId="0ED63A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339" w:type="pct"/>
                  <w:noWrap w:val="0"/>
                  <w:vAlign w:val="center"/>
                </w:tcPr>
                <w:p w14:paraId="1053E4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bl>
          <w:p w14:paraId="20E9BFCA">
            <w:pPr>
              <w:numPr>
                <w:ilvl w:val="0"/>
                <w:numId w:val="0"/>
              </w:numPr>
              <w:tabs>
                <w:tab w:val="left" w:pos="0"/>
              </w:tabs>
              <w:spacing w:line="500" w:lineRule="exact"/>
              <w:ind w:left="3373" w:leftChars="0" w:hanging="3373" w:hangingChars="1400"/>
              <w:jc w:val="center"/>
              <w:rPr>
                <w:b/>
                <w:bCs/>
                <w:color w:val="auto"/>
                <w:szCs w:val="21"/>
                <w:highlight w:val="none"/>
                <w:lang w:val="zh-CN"/>
              </w:rPr>
            </w:pPr>
            <w:r>
              <w:rPr>
                <w:rFonts w:hint="default" w:ascii="Times New Roman" w:hAnsi="Times New Roman" w:eastAsia="宋体" w:cs="Times New Roman"/>
                <w:b/>
                <w:bCs/>
                <w:color w:val="auto"/>
                <w:kern w:val="2"/>
                <w:sz w:val="24"/>
                <w:szCs w:val="21"/>
                <w:lang w:val="zh-CN" w:eastAsia="zh-CN" w:bidi="ar-SA"/>
              </w:rPr>
              <w:t>表</w:t>
            </w:r>
            <w:r>
              <w:rPr>
                <w:rFonts w:hint="eastAsia" w:cs="Times New Roman"/>
                <w:b/>
                <w:bCs/>
                <w:color w:val="auto"/>
                <w:kern w:val="2"/>
                <w:sz w:val="24"/>
                <w:szCs w:val="21"/>
                <w:lang w:val="en-US" w:eastAsia="zh-CN" w:bidi="ar-SA"/>
              </w:rPr>
              <w:t>5</w:t>
            </w:r>
            <w:r>
              <w:rPr>
                <w:rFonts w:hint="eastAsia"/>
                <w:b/>
                <w:bCs/>
                <w:color w:val="auto"/>
                <w:sz w:val="24"/>
                <w:highlight w:val="none"/>
                <w:lang w:val="en-US" w:eastAsia="zh-CN"/>
              </w:rPr>
              <w:t xml:space="preserve"> </w:t>
            </w:r>
            <w:r>
              <w:rPr>
                <w:rFonts w:hint="eastAsia"/>
                <w:b/>
                <w:bCs/>
                <w:color w:val="auto"/>
                <w:sz w:val="24"/>
                <w:highlight w:val="none"/>
              </w:rPr>
              <w:t xml:space="preserve">  </w:t>
            </w:r>
            <w:r>
              <w:rPr>
                <w:b/>
                <w:color w:val="auto"/>
                <w:sz w:val="24"/>
                <w:highlight w:val="none"/>
              </w:rPr>
              <w:t>与“</w:t>
            </w:r>
            <w:r>
              <w:rPr>
                <w:rFonts w:hint="eastAsia"/>
                <w:b/>
                <w:color w:val="auto"/>
                <w:sz w:val="24"/>
                <w:highlight w:val="none"/>
              </w:rPr>
              <w:t>海港经济开发区管控单元管控要求</w:t>
            </w:r>
            <w:r>
              <w:rPr>
                <w:rFonts w:hint="eastAsia"/>
                <w:b/>
                <w:color w:val="auto"/>
                <w:sz w:val="24"/>
                <w:highlight w:val="none"/>
                <w:lang w:eastAsia="zh-CN"/>
              </w:rPr>
              <w:t>”</w:t>
            </w:r>
            <w:r>
              <w:rPr>
                <w:rFonts w:hint="eastAsia"/>
                <w:b/>
                <w:color w:val="auto"/>
                <w:sz w:val="24"/>
                <w:highlight w:val="none"/>
                <w:lang w:val="en-US" w:eastAsia="zh-CN"/>
              </w:rPr>
              <w:t>重点</w:t>
            </w:r>
            <w:r>
              <w:rPr>
                <w:rFonts w:hint="eastAsia"/>
                <w:b/>
                <w:bCs/>
                <w:color w:val="auto"/>
                <w:sz w:val="24"/>
                <w:highlight w:val="none"/>
                <w:lang w:val="zh-CN"/>
              </w:rPr>
              <w:t>管控单元符合性分析</w:t>
            </w:r>
          </w:p>
          <w:tbl>
            <w:tblPr>
              <w:tblStyle w:val="23"/>
              <w:tblW w:w="128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780"/>
              <w:gridCol w:w="751"/>
              <w:gridCol w:w="797"/>
              <w:gridCol w:w="874"/>
              <w:gridCol w:w="994"/>
              <w:gridCol w:w="4209"/>
              <w:gridCol w:w="2397"/>
              <w:gridCol w:w="946"/>
            </w:tblGrid>
            <w:tr w14:paraId="32E5A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6" w:type="dxa"/>
                  <w:vAlign w:val="center"/>
                </w:tcPr>
                <w:p w14:paraId="2049BC59">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编号</w:t>
                  </w:r>
                </w:p>
              </w:tc>
              <w:tc>
                <w:tcPr>
                  <w:tcW w:w="780" w:type="dxa"/>
                  <w:vAlign w:val="center"/>
                </w:tcPr>
                <w:p w14:paraId="039B04F8">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区县</w:t>
                  </w:r>
                </w:p>
              </w:tc>
              <w:tc>
                <w:tcPr>
                  <w:tcW w:w="751" w:type="dxa"/>
                  <w:vAlign w:val="center"/>
                </w:tcPr>
                <w:p w14:paraId="45DCA048">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乡镇</w:t>
                  </w:r>
                </w:p>
              </w:tc>
              <w:tc>
                <w:tcPr>
                  <w:tcW w:w="797" w:type="dxa"/>
                  <w:vAlign w:val="center"/>
                </w:tcPr>
                <w:p w14:paraId="4C19A52C">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单元类别</w:t>
                  </w:r>
                </w:p>
              </w:tc>
              <w:tc>
                <w:tcPr>
                  <w:tcW w:w="874" w:type="dxa"/>
                  <w:vAlign w:val="center"/>
                </w:tcPr>
                <w:p w14:paraId="6292714B">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环境要素类别</w:t>
                  </w:r>
                </w:p>
              </w:tc>
              <w:tc>
                <w:tcPr>
                  <w:tcW w:w="5203" w:type="dxa"/>
                  <w:gridSpan w:val="2"/>
                  <w:vAlign w:val="center"/>
                </w:tcPr>
                <w:p w14:paraId="42021A4E">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管控要求</w:t>
                  </w:r>
                </w:p>
              </w:tc>
              <w:tc>
                <w:tcPr>
                  <w:tcW w:w="2397" w:type="dxa"/>
                  <w:vAlign w:val="center"/>
                </w:tcPr>
                <w:p w14:paraId="7AC395D4">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本项目情况</w:t>
                  </w:r>
                </w:p>
              </w:tc>
              <w:tc>
                <w:tcPr>
                  <w:tcW w:w="946" w:type="dxa"/>
                  <w:vAlign w:val="center"/>
                </w:tcPr>
                <w:p w14:paraId="76224C6A">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符合性分析</w:t>
                  </w:r>
                </w:p>
              </w:tc>
            </w:tr>
            <w:tr w14:paraId="678C9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restart"/>
                  <w:vAlign w:val="center"/>
                </w:tcPr>
                <w:p w14:paraId="75235D43">
                  <w:pPr>
                    <w:pStyle w:val="45"/>
                    <w:spacing w:line="320" w:lineRule="exact"/>
                    <w:ind w:firstLine="0" w:firstLineChars="0"/>
                    <w:jc w:val="center"/>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ZH130274</w:t>
                  </w:r>
                </w:p>
                <w:p w14:paraId="1CCEAE72">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20001</w:t>
                  </w:r>
                </w:p>
              </w:tc>
              <w:tc>
                <w:tcPr>
                  <w:tcW w:w="780" w:type="dxa"/>
                  <w:vMerge w:val="restart"/>
                  <w:vAlign w:val="center"/>
                </w:tcPr>
                <w:p w14:paraId="5D3CC4AA">
                  <w:pPr>
                    <w:pStyle w:val="45"/>
                    <w:spacing w:line="320" w:lineRule="exact"/>
                    <w:ind w:firstLine="0" w:firstLineChars="0"/>
                    <w:jc w:val="center"/>
                    <w:rPr>
                      <w:rFonts w:hint="eastAsia"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海港经济</w:t>
                  </w:r>
                </w:p>
                <w:p w14:paraId="21A57CFD">
                  <w:pPr>
                    <w:pStyle w:val="45"/>
                    <w:spacing w:line="320" w:lineRule="exact"/>
                    <w:ind w:firstLine="0" w:firstLineChars="0"/>
                    <w:jc w:val="center"/>
                    <w:rPr>
                      <w:rFonts w:ascii="Times New Roman" w:hAnsi="Times New Roman" w:eastAsiaTheme="minorEastAsia"/>
                      <w:color w:val="auto"/>
                      <w:sz w:val="21"/>
                      <w:szCs w:val="21"/>
                      <w:highlight w:val="none"/>
                    </w:rPr>
                  </w:pPr>
                  <w:r>
                    <w:rPr>
                      <w:rFonts w:hint="eastAsia" w:ascii="Times New Roman" w:hAnsi="Times New Roman" w:eastAsiaTheme="minorEastAsia"/>
                      <w:color w:val="auto"/>
                      <w:sz w:val="21"/>
                      <w:szCs w:val="21"/>
                      <w:highlight w:val="none"/>
                    </w:rPr>
                    <w:t>开发区</w:t>
                  </w:r>
                </w:p>
              </w:tc>
              <w:tc>
                <w:tcPr>
                  <w:tcW w:w="751" w:type="dxa"/>
                  <w:vMerge w:val="restart"/>
                  <w:vAlign w:val="center"/>
                </w:tcPr>
                <w:p w14:paraId="365A8A2F">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王滩镇</w:t>
                  </w:r>
                </w:p>
              </w:tc>
              <w:tc>
                <w:tcPr>
                  <w:tcW w:w="797" w:type="dxa"/>
                  <w:vMerge w:val="restart"/>
                  <w:vAlign w:val="center"/>
                </w:tcPr>
                <w:p w14:paraId="2BF611AF">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重点</w:t>
                  </w:r>
                  <w:r>
                    <w:rPr>
                      <w:rFonts w:ascii="Times New Roman" w:hAnsi="Times New Roman" w:cs="Times New Roman" w:eastAsiaTheme="minorEastAsia"/>
                      <w:color w:val="auto"/>
                      <w:sz w:val="21"/>
                      <w:szCs w:val="21"/>
                      <w:highlight w:val="none"/>
                    </w:rPr>
                    <w:t>管控单元</w:t>
                  </w:r>
                </w:p>
              </w:tc>
              <w:tc>
                <w:tcPr>
                  <w:tcW w:w="874" w:type="dxa"/>
                  <w:vMerge w:val="restart"/>
                  <w:vAlign w:val="center"/>
                </w:tcPr>
                <w:p w14:paraId="0879DB8A">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1、海港物流产</w:t>
                  </w:r>
                </w:p>
                <w:p w14:paraId="59BC37F4">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业聚集区</w:t>
                  </w:r>
                </w:p>
                <w:p w14:paraId="1EC587C5">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2、中心城区</w:t>
                  </w:r>
                </w:p>
                <w:p w14:paraId="78A93637">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3、大气环境高</w:t>
                  </w:r>
                </w:p>
                <w:p w14:paraId="2D673B3E">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排放重点管控</w:t>
                  </w:r>
                </w:p>
                <w:p w14:paraId="4D025E0B">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区</w:t>
                  </w:r>
                </w:p>
                <w:p w14:paraId="73FB9B4A">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4、水环境工业</w:t>
                  </w:r>
                </w:p>
                <w:p w14:paraId="177621F1">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污染重点管控</w:t>
                  </w:r>
                </w:p>
                <w:p w14:paraId="4468DA9B">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区</w:t>
                  </w:r>
                </w:p>
                <w:p w14:paraId="3F8BF6E8">
                  <w:pPr>
                    <w:pStyle w:val="30"/>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5、土地资源重</w:t>
                  </w:r>
                </w:p>
                <w:p w14:paraId="2645FC8B">
                  <w:pPr>
                    <w:pStyle w:val="30"/>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点管控区</w:t>
                  </w:r>
                </w:p>
              </w:tc>
              <w:tc>
                <w:tcPr>
                  <w:tcW w:w="994" w:type="dxa"/>
                  <w:vAlign w:val="center"/>
                </w:tcPr>
                <w:p w14:paraId="6C3BDA43">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空间布局约束</w:t>
                  </w:r>
                </w:p>
              </w:tc>
              <w:tc>
                <w:tcPr>
                  <w:tcW w:w="4209" w:type="dxa"/>
                  <w:vAlign w:val="center"/>
                </w:tcPr>
                <w:p w14:paraId="010A63D8">
                  <w:pPr>
                    <w:pStyle w:val="30"/>
                    <w:tabs>
                      <w:tab w:val="left" w:pos="322"/>
                    </w:tabs>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加强企业入区管理，严格按照聚集区规划产业定位及产业布局安排入区项目，</w:t>
                  </w:r>
                </w:p>
                <w:p w14:paraId="2577155D">
                  <w:pPr>
                    <w:pStyle w:val="30"/>
                    <w:tabs>
                      <w:tab w:val="left" w:pos="322"/>
                    </w:tabs>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禁止不符产业定位的项目入驻。</w:t>
                  </w:r>
                </w:p>
              </w:tc>
              <w:tc>
                <w:tcPr>
                  <w:tcW w:w="2397" w:type="dxa"/>
                  <w:vAlign w:val="center"/>
                </w:tcPr>
                <w:p w14:paraId="1141F2FF">
                  <w:pPr>
                    <w:spacing w:line="320" w:lineRule="exact"/>
                    <w:jc w:val="center"/>
                    <w:rPr>
                      <w:rFonts w:hint="eastAsia" w:eastAsiaTheme="minorEastAsia"/>
                      <w:color w:val="auto"/>
                      <w:szCs w:val="21"/>
                      <w:highlight w:val="none"/>
                      <w:lang w:eastAsia="zh-CN"/>
                    </w:rPr>
                  </w:pPr>
                  <w:r>
                    <w:rPr>
                      <w:rFonts w:hint="eastAsia" w:eastAsiaTheme="minorEastAsia"/>
                      <w:color w:val="auto"/>
                      <w:szCs w:val="21"/>
                      <w:highlight w:val="none"/>
                      <w:lang w:eastAsia="zh-CN"/>
                    </w:rPr>
                    <w:t>项目符合园区规划</w:t>
                  </w:r>
                </w:p>
              </w:tc>
              <w:tc>
                <w:tcPr>
                  <w:tcW w:w="946" w:type="dxa"/>
                  <w:vAlign w:val="center"/>
                </w:tcPr>
                <w:p w14:paraId="03799173">
                  <w:pPr>
                    <w:pStyle w:val="45"/>
                    <w:spacing w:line="320" w:lineRule="exact"/>
                    <w:ind w:firstLine="0" w:firstLineChars="0"/>
                    <w:jc w:val="center"/>
                    <w:rPr>
                      <w:rFonts w:ascii="Times New Roman" w:hAnsi="Times New Roman" w:eastAsiaTheme="minorEastAsia"/>
                      <w:color w:val="auto"/>
                      <w:sz w:val="21"/>
                      <w:szCs w:val="21"/>
                      <w:highlight w:val="none"/>
                    </w:rPr>
                  </w:pPr>
                  <w:r>
                    <w:rPr>
                      <w:rFonts w:ascii="Times New Roman" w:hAnsi="Times New Roman" w:eastAsiaTheme="minorEastAsia"/>
                      <w:color w:val="auto"/>
                      <w:sz w:val="21"/>
                      <w:szCs w:val="21"/>
                      <w:highlight w:val="none"/>
                    </w:rPr>
                    <w:t>符合</w:t>
                  </w:r>
                </w:p>
              </w:tc>
            </w:tr>
            <w:tr w14:paraId="470CF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45A8C05B">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55452E4">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374BD170">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0010C66E">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33396A75">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CADE007">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污染物排放管控</w:t>
                  </w:r>
                </w:p>
              </w:tc>
              <w:tc>
                <w:tcPr>
                  <w:tcW w:w="4209" w:type="dxa"/>
                  <w:vAlign w:val="center"/>
                </w:tcPr>
                <w:p w14:paraId="7AE2FC3D">
                  <w:pPr>
                    <w:pStyle w:val="30"/>
                    <w:tabs>
                      <w:tab w:val="left" w:pos="298"/>
                    </w:tabs>
                    <w:spacing w:line="320" w:lineRule="exact"/>
                    <w:rPr>
                      <w:rFonts w:hint="eastAsia"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1、推进聚集区内企业废水统一收集、集中处理，污水集中处理设施稳定达标运行，逐步提高聚集区监管水平，完善聚集区水污染防治工作台账。</w:t>
                  </w:r>
                </w:p>
                <w:p w14:paraId="5DC82C29">
                  <w:pPr>
                    <w:pStyle w:val="30"/>
                    <w:tabs>
                      <w:tab w:val="left" w:pos="298"/>
                    </w:tabs>
                    <w:spacing w:line="320" w:lineRule="exact"/>
                    <w:rPr>
                      <w:rFonts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2、严格实施国家机动车油耗和排放标准。严格实施重型柴油车燃料消耗量限值标准，不满足标准限值要求的新车型禁止进入道路运输市场。严格实施机动车国六排放标准。推广使用达到国六排放标准的燃气车辆。</w:t>
                  </w:r>
                </w:p>
              </w:tc>
              <w:tc>
                <w:tcPr>
                  <w:tcW w:w="2397" w:type="dxa"/>
                  <w:vAlign w:val="center"/>
                </w:tcPr>
                <w:p w14:paraId="323C06B1">
                  <w:pPr>
                    <w:spacing w:line="320" w:lineRule="exact"/>
                    <w:jc w:val="center"/>
                    <w:rPr>
                      <w:rFonts w:eastAsiaTheme="minorEastAsia"/>
                      <w:color w:val="auto"/>
                      <w:szCs w:val="21"/>
                      <w:highlight w:val="none"/>
                    </w:rPr>
                  </w:pPr>
                  <w:r>
                    <w:rPr>
                      <w:rFonts w:hint="eastAsia" w:eastAsiaTheme="minorEastAsia"/>
                      <w:color w:val="auto"/>
                      <w:szCs w:val="21"/>
                      <w:highlight w:val="none"/>
                    </w:rPr>
                    <w:t>本项目生活</w:t>
                  </w:r>
                  <w:r>
                    <w:rPr>
                      <w:rFonts w:eastAsiaTheme="minorEastAsia"/>
                      <w:color w:val="auto"/>
                      <w:szCs w:val="21"/>
                      <w:highlight w:val="none"/>
                    </w:rPr>
                    <w:t>废水排入</w:t>
                  </w:r>
                  <w:r>
                    <w:rPr>
                      <w:rFonts w:hint="eastAsia" w:eastAsiaTheme="minorEastAsia"/>
                      <w:color w:val="auto"/>
                      <w:szCs w:val="21"/>
                      <w:highlight w:val="none"/>
                      <w:lang w:eastAsia="zh-CN"/>
                    </w:rPr>
                    <w:t>园区管网后进入园区污水处理厂</w:t>
                  </w:r>
                  <w:r>
                    <w:rPr>
                      <w:rFonts w:hint="eastAsia" w:eastAsiaTheme="minorEastAsia"/>
                      <w:color w:val="auto"/>
                      <w:szCs w:val="21"/>
                      <w:highlight w:val="none"/>
                    </w:rPr>
                    <w:t>；洗车废水经沉淀池沉淀后回用，不外排</w:t>
                  </w:r>
                  <w:r>
                    <w:rPr>
                      <w:rFonts w:eastAsiaTheme="minorEastAsia"/>
                      <w:color w:val="auto"/>
                      <w:szCs w:val="21"/>
                      <w:highlight w:val="none"/>
                    </w:rPr>
                    <w:t>。</w:t>
                  </w:r>
                  <w:r>
                    <w:rPr>
                      <w:rFonts w:hint="default" w:ascii="Times New Roman" w:hAnsi="Times New Roman" w:cs="Times New Roman"/>
                      <w:bCs/>
                      <w:color w:val="auto"/>
                      <w:sz w:val="21"/>
                      <w:szCs w:val="21"/>
                      <w:highlight w:val="none"/>
                      <w:lang w:val="en-US" w:eastAsia="zh-CN"/>
                    </w:rPr>
                    <w:t>项目</w:t>
                  </w:r>
                  <w:r>
                    <w:rPr>
                      <w:rFonts w:hint="default" w:ascii="Times New Roman" w:hAnsi="Times New Roman" w:cs="Times New Roman"/>
                      <w:color w:val="auto"/>
                      <w:sz w:val="21"/>
                      <w:szCs w:val="21"/>
                      <w:highlight w:val="none"/>
                    </w:rPr>
                    <w:t>运营期汽车运输部分</w:t>
                  </w:r>
                  <w:r>
                    <w:rPr>
                      <w:rFonts w:hint="eastAsia" w:ascii="Times New Roman" w:hAnsi="Times New Roman" w:cs="Times New Roman"/>
                      <w:color w:val="auto"/>
                      <w:sz w:val="21"/>
                      <w:szCs w:val="21"/>
                      <w:highlight w:val="none"/>
                      <w:lang w:eastAsia="zh-CN"/>
                    </w:rPr>
                    <w:t>全部</w:t>
                  </w:r>
                  <w:r>
                    <w:rPr>
                      <w:rFonts w:hint="default" w:ascii="Times New Roman" w:hAnsi="Times New Roman" w:cs="Times New Roman"/>
                      <w:color w:val="auto"/>
                      <w:sz w:val="21"/>
                      <w:szCs w:val="21"/>
                      <w:highlight w:val="none"/>
                    </w:rPr>
                    <w:t>采用新能源汽车或达到国六排放标准的汽车</w:t>
                  </w:r>
                </w:p>
              </w:tc>
              <w:tc>
                <w:tcPr>
                  <w:tcW w:w="946" w:type="dxa"/>
                  <w:vAlign w:val="center"/>
                </w:tcPr>
                <w:p w14:paraId="4397046A">
                  <w:pPr>
                    <w:spacing w:line="320" w:lineRule="exact"/>
                    <w:jc w:val="center"/>
                    <w:rPr>
                      <w:rFonts w:eastAsiaTheme="minorEastAsia"/>
                      <w:color w:val="auto"/>
                      <w:szCs w:val="21"/>
                      <w:highlight w:val="none"/>
                    </w:rPr>
                  </w:pPr>
                  <w:r>
                    <w:rPr>
                      <w:rFonts w:eastAsiaTheme="minorEastAsia"/>
                      <w:color w:val="auto"/>
                      <w:szCs w:val="21"/>
                      <w:highlight w:val="none"/>
                    </w:rPr>
                    <w:t>符合</w:t>
                  </w:r>
                </w:p>
              </w:tc>
            </w:tr>
            <w:tr w14:paraId="2D063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0D43C656">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C4C7288">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021F49F7">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281CCAB6">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2E6839A3">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8B652ED">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环境风险防控</w:t>
                  </w:r>
                </w:p>
              </w:tc>
              <w:tc>
                <w:tcPr>
                  <w:tcW w:w="4209" w:type="dxa"/>
                  <w:vAlign w:val="center"/>
                </w:tcPr>
                <w:p w14:paraId="7ECA90B7">
                  <w:pPr>
                    <w:pStyle w:val="30"/>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1、企业编制《突发环境事件应急预案》，成立应急组织机构，定期开展应急演练，提高区域环境风险防范能力。</w:t>
                  </w:r>
                </w:p>
                <w:p w14:paraId="5E42BB08">
                  <w:pPr>
                    <w:pStyle w:val="30"/>
                    <w:spacing w:line="320" w:lineRule="exac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2、危险废物集中处置厂需严格执行其环评文件要求的卫生防护距离；贮存危险废物需满足《中华人民共和国固体废物污染环境防治法》及《关于加强危险废物贮存管理的通知》（冀环办字函〔2019〕407 号）规定。</w:t>
                  </w:r>
                </w:p>
              </w:tc>
              <w:tc>
                <w:tcPr>
                  <w:tcW w:w="2397" w:type="dxa"/>
                  <w:vAlign w:val="center"/>
                </w:tcPr>
                <w:p w14:paraId="5D63E361">
                  <w:pPr>
                    <w:pStyle w:val="8"/>
                    <w:spacing w:line="320" w:lineRule="exact"/>
                    <w:jc w:val="center"/>
                    <w:rPr>
                      <w:rFonts w:hint="eastAsia" w:eastAsiaTheme="minorEastAsia"/>
                      <w:color w:val="auto"/>
                      <w:kern w:val="2"/>
                      <w:sz w:val="21"/>
                      <w:szCs w:val="21"/>
                      <w:highlight w:val="none"/>
                      <w:lang w:eastAsia="zh-CN"/>
                    </w:rPr>
                  </w:pPr>
                  <w:r>
                    <w:rPr>
                      <w:rFonts w:hint="eastAsia" w:eastAsiaTheme="minorEastAsia"/>
                      <w:color w:val="auto"/>
                      <w:kern w:val="2"/>
                      <w:sz w:val="21"/>
                      <w:szCs w:val="21"/>
                      <w:highlight w:val="none"/>
                      <w:lang w:eastAsia="zh-CN"/>
                    </w:rPr>
                    <w:t>项目建设完成后及时编制企业应急预案，</w:t>
                  </w:r>
                  <w:r>
                    <w:rPr>
                      <w:rFonts w:hint="eastAsia" w:eastAsiaTheme="minorEastAsia"/>
                      <w:color w:val="auto"/>
                      <w:kern w:val="2"/>
                      <w:sz w:val="21"/>
                      <w:szCs w:val="21"/>
                      <w:highlight w:val="none"/>
                    </w:rPr>
                    <w:t>本项目</w:t>
                  </w:r>
                  <w:r>
                    <w:rPr>
                      <w:rFonts w:hint="eastAsia" w:eastAsiaTheme="minorEastAsia"/>
                      <w:color w:val="auto"/>
                      <w:kern w:val="2"/>
                      <w:sz w:val="21"/>
                      <w:szCs w:val="21"/>
                      <w:highlight w:val="none"/>
                      <w:lang w:eastAsia="zh-CN"/>
                    </w:rPr>
                    <w:t>危险废物储存于危废间内，定期交由有资质单位处理，贮存危险废物过程各项规定均满足。</w:t>
                  </w:r>
                </w:p>
              </w:tc>
              <w:tc>
                <w:tcPr>
                  <w:tcW w:w="946" w:type="dxa"/>
                  <w:vAlign w:val="center"/>
                </w:tcPr>
                <w:p w14:paraId="75F69E73">
                  <w:pPr>
                    <w:spacing w:line="320" w:lineRule="exact"/>
                    <w:jc w:val="center"/>
                    <w:rPr>
                      <w:rFonts w:eastAsiaTheme="minorEastAsia"/>
                      <w:color w:val="auto"/>
                      <w:szCs w:val="21"/>
                      <w:highlight w:val="none"/>
                    </w:rPr>
                  </w:pPr>
                  <w:r>
                    <w:rPr>
                      <w:rFonts w:eastAsiaTheme="minorEastAsia"/>
                      <w:color w:val="auto"/>
                      <w:szCs w:val="21"/>
                      <w:highlight w:val="none"/>
                    </w:rPr>
                    <w:t>符合</w:t>
                  </w:r>
                </w:p>
              </w:tc>
            </w:tr>
            <w:tr w14:paraId="0078F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6" w:type="dxa"/>
                  <w:vMerge w:val="continue"/>
                  <w:vAlign w:val="center"/>
                </w:tcPr>
                <w:p w14:paraId="68929ED8">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80" w:type="dxa"/>
                  <w:vMerge w:val="continue"/>
                  <w:vAlign w:val="center"/>
                </w:tcPr>
                <w:p w14:paraId="560B8065">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51" w:type="dxa"/>
                  <w:vMerge w:val="continue"/>
                  <w:vAlign w:val="center"/>
                </w:tcPr>
                <w:p w14:paraId="6F487563">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797" w:type="dxa"/>
                  <w:vMerge w:val="continue"/>
                  <w:vAlign w:val="center"/>
                </w:tcPr>
                <w:p w14:paraId="4D560AEC">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874" w:type="dxa"/>
                  <w:vMerge w:val="continue"/>
                  <w:vAlign w:val="center"/>
                </w:tcPr>
                <w:p w14:paraId="46DCF6D9">
                  <w:pPr>
                    <w:pStyle w:val="45"/>
                    <w:spacing w:line="320" w:lineRule="exact"/>
                    <w:ind w:firstLine="0" w:firstLineChars="0"/>
                    <w:jc w:val="center"/>
                    <w:rPr>
                      <w:rFonts w:ascii="Times New Roman" w:hAnsi="Times New Roman" w:eastAsiaTheme="minorEastAsia"/>
                      <w:color w:val="auto"/>
                      <w:sz w:val="21"/>
                      <w:szCs w:val="21"/>
                      <w:highlight w:val="none"/>
                    </w:rPr>
                  </w:pPr>
                </w:p>
              </w:tc>
              <w:tc>
                <w:tcPr>
                  <w:tcW w:w="994" w:type="dxa"/>
                  <w:vAlign w:val="center"/>
                </w:tcPr>
                <w:p w14:paraId="7D83DEBC">
                  <w:pPr>
                    <w:pStyle w:val="30"/>
                    <w:spacing w:line="320" w:lineRule="exact"/>
                    <w:rPr>
                      <w:rFonts w:ascii="Times New Roman" w:hAnsi="Times New Roman" w:cs="Times New Roman" w:eastAsiaTheme="minorEastAsia"/>
                      <w:color w:val="auto"/>
                      <w:sz w:val="21"/>
                      <w:szCs w:val="21"/>
                      <w:highlight w:val="none"/>
                      <w:lang w:eastAsia="zh-CN"/>
                    </w:rPr>
                  </w:pPr>
                  <w:r>
                    <w:rPr>
                      <w:rFonts w:ascii="Times New Roman" w:hAnsi="Times New Roman" w:cs="Times New Roman" w:eastAsiaTheme="minorEastAsia"/>
                      <w:color w:val="auto"/>
                      <w:sz w:val="21"/>
                      <w:szCs w:val="21"/>
                      <w:highlight w:val="none"/>
                    </w:rPr>
                    <w:t>资源利用效率要求</w:t>
                  </w:r>
                </w:p>
              </w:tc>
              <w:tc>
                <w:tcPr>
                  <w:tcW w:w="4209" w:type="dxa"/>
                  <w:vAlign w:val="center"/>
                </w:tcPr>
                <w:p w14:paraId="499C14B3">
                  <w:pPr>
                    <w:pStyle w:val="30"/>
                    <w:tabs>
                      <w:tab w:val="left" w:pos="307"/>
                    </w:tabs>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1、王滩镇（沿海地区）位于深层地下水禁采区，执行全市资源利用总体管控要求中地下水禁采区管控要求。</w:t>
                  </w:r>
                </w:p>
                <w:p w14:paraId="1312C228">
                  <w:pPr>
                    <w:pStyle w:val="30"/>
                    <w:tabs>
                      <w:tab w:val="left" w:pos="307"/>
                    </w:tabs>
                    <w:spacing w:line="320" w:lineRule="exact"/>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2、减少新鲜水用量，提高水资源重复利用率，加强再生水的回用。污水经深度处理后满足相关再生水回用的标准，回用于工业用水、绿地浇洒、道路喷洒等。</w:t>
                  </w:r>
                </w:p>
                <w:p w14:paraId="140CD1FD">
                  <w:pPr>
                    <w:pStyle w:val="30"/>
                    <w:tabs>
                      <w:tab w:val="left" w:pos="307"/>
                    </w:tabs>
                    <w:spacing w:line="320" w:lineRule="exac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3、城镇开发边界外区域，暂不开发建设，待土地性质调整后方可开发利用。</w:t>
                  </w:r>
                </w:p>
              </w:tc>
              <w:tc>
                <w:tcPr>
                  <w:tcW w:w="2397" w:type="dxa"/>
                  <w:vAlign w:val="center"/>
                </w:tcPr>
                <w:p w14:paraId="53C8E24B">
                  <w:pPr>
                    <w:spacing w:line="320" w:lineRule="exact"/>
                    <w:jc w:val="center"/>
                    <w:rPr>
                      <w:rFonts w:hint="eastAsia" w:eastAsiaTheme="minorEastAsia"/>
                      <w:color w:val="auto"/>
                      <w:szCs w:val="21"/>
                      <w:highlight w:val="none"/>
                      <w:lang w:eastAsia="zh-CN"/>
                    </w:rPr>
                  </w:pPr>
                  <w:r>
                    <w:rPr>
                      <w:rFonts w:hint="eastAsia"/>
                      <w:color w:val="auto"/>
                      <w:kern w:val="0"/>
                      <w:szCs w:val="21"/>
                      <w:lang w:eastAsia="zh-CN" w:bidi="ar"/>
                    </w:rPr>
                    <w:t>本项目用水来自开发区供水管网，项目</w:t>
                  </w:r>
                  <w:r>
                    <w:rPr>
                      <w:rFonts w:hint="eastAsia"/>
                      <w:color w:val="auto"/>
                      <w:kern w:val="0"/>
                      <w:szCs w:val="21"/>
                      <w:lang w:bidi="ar"/>
                    </w:rPr>
                    <w:t>洗车废水经沉淀池沉淀后回用于洗车</w:t>
                  </w:r>
                  <w:r>
                    <w:rPr>
                      <w:rFonts w:hint="eastAsia"/>
                      <w:lang w:eastAsia="zh-CN"/>
                    </w:rPr>
                    <w:t>，循环利用，减少新水利用</w:t>
                  </w:r>
                </w:p>
              </w:tc>
              <w:tc>
                <w:tcPr>
                  <w:tcW w:w="946" w:type="dxa"/>
                  <w:vAlign w:val="center"/>
                </w:tcPr>
                <w:p w14:paraId="057EB49C">
                  <w:pPr>
                    <w:spacing w:line="320" w:lineRule="exact"/>
                    <w:jc w:val="center"/>
                    <w:rPr>
                      <w:rFonts w:eastAsiaTheme="minorEastAsia"/>
                      <w:color w:val="auto"/>
                      <w:szCs w:val="21"/>
                      <w:highlight w:val="none"/>
                    </w:rPr>
                  </w:pPr>
                  <w:r>
                    <w:rPr>
                      <w:rFonts w:eastAsiaTheme="minorEastAsia"/>
                      <w:color w:val="auto"/>
                      <w:szCs w:val="21"/>
                      <w:highlight w:val="none"/>
                    </w:rPr>
                    <w:t>符合</w:t>
                  </w:r>
                </w:p>
              </w:tc>
            </w:tr>
          </w:tbl>
          <w:p w14:paraId="5A092ABF">
            <w:pPr>
              <w:pStyle w:val="31"/>
              <w:spacing w:line="500" w:lineRule="exact"/>
              <w:ind w:firstLine="480"/>
              <w:rPr>
                <w:b/>
                <w:bCs/>
                <w:color w:val="auto"/>
                <w:sz w:val="24"/>
                <w:highlight w:val="none"/>
              </w:rPr>
            </w:pPr>
            <w:r>
              <w:rPr>
                <w:b/>
                <w:bCs/>
                <w:color w:val="auto"/>
                <w:sz w:val="24"/>
                <w:highlight w:val="none"/>
              </w:rPr>
              <w:t>经以上分析可知，本项目符合</w:t>
            </w:r>
            <w:r>
              <w:rPr>
                <w:rFonts w:hint="eastAsia"/>
                <w:b/>
                <w:bCs/>
                <w:color w:val="auto"/>
                <w:sz w:val="24"/>
                <w:highlight w:val="none"/>
              </w:rPr>
              <w:t>“</w:t>
            </w:r>
            <w:r>
              <w:rPr>
                <w:b/>
                <w:bCs/>
                <w:color w:val="auto"/>
                <w:sz w:val="24"/>
                <w:highlight w:val="none"/>
              </w:rPr>
              <w:t>三线一单</w:t>
            </w:r>
            <w:r>
              <w:rPr>
                <w:rFonts w:hint="eastAsia"/>
                <w:b/>
                <w:bCs/>
                <w:color w:val="auto"/>
                <w:sz w:val="24"/>
                <w:highlight w:val="none"/>
              </w:rPr>
              <w:t>”</w:t>
            </w:r>
            <w:r>
              <w:rPr>
                <w:b/>
                <w:bCs/>
                <w:color w:val="auto"/>
                <w:sz w:val="24"/>
                <w:highlight w:val="none"/>
              </w:rPr>
              <w:t>的要求。</w:t>
            </w:r>
          </w:p>
          <w:p w14:paraId="487CC6E7">
            <w:pPr>
              <w:autoSpaceDE w:val="0"/>
              <w:autoSpaceDN w:val="0"/>
              <w:adjustRightInd w:val="0"/>
              <w:snapToGrid w:val="0"/>
              <w:spacing w:line="500" w:lineRule="exact"/>
              <w:ind w:firstLine="482" w:firstLineChars="200"/>
              <w:rPr>
                <w:b/>
                <w:bCs/>
                <w:color w:val="auto"/>
                <w:sz w:val="24"/>
                <w:highlight w:val="none"/>
              </w:rPr>
            </w:pPr>
            <w:r>
              <w:rPr>
                <w:b/>
                <w:bCs/>
                <w:color w:val="auto"/>
                <w:sz w:val="24"/>
                <w:highlight w:val="none"/>
              </w:rPr>
              <w:t>2、用地及规划符合性分析</w:t>
            </w:r>
          </w:p>
          <w:p w14:paraId="1E677308">
            <w:pPr>
              <w:autoSpaceDE w:val="0"/>
              <w:autoSpaceDN w:val="0"/>
              <w:adjustRightInd w:val="0"/>
              <w:snapToGrid w:val="0"/>
              <w:spacing w:line="500" w:lineRule="exact"/>
              <w:ind w:firstLine="480" w:firstLineChars="200"/>
              <w:rPr>
                <w:b/>
                <w:bCs/>
                <w:color w:val="auto"/>
                <w:sz w:val="24"/>
              </w:rPr>
            </w:pPr>
            <w:r>
              <w:rPr>
                <w:color w:val="auto"/>
                <w:sz w:val="24"/>
              </w:rPr>
              <w:t>本项目位于</w:t>
            </w:r>
            <w:r>
              <w:rPr>
                <w:rFonts w:hint="eastAsia"/>
                <w:color w:val="auto"/>
                <w:sz w:val="24"/>
              </w:rPr>
              <w:t>河北省唐山市河北唐山海港开发区港前南街以北，海富路以西，唐山城矿物联网科技有限公司厂区西部，项目占地为</w:t>
            </w:r>
            <w:r>
              <w:rPr>
                <w:rFonts w:hint="eastAsia"/>
                <w:color w:val="auto"/>
                <w:sz w:val="24"/>
                <w:lang w:eastAsia="zh-CN"/>
              </w:rPr>
              <w:t>仓储物流</w:t>
            </w:r>
            <w:r>
              <w:rPr>
                <w:rFonts w:hint="eastAsia"/>
                <w:color w:val="auto"/>
                <w:sz w:val="24"/>
              </w:rPr>
              <w:t>用地，符合用地总体规划</w:t>
            </w:r>
            <w:r>
              <w:rPr>
                <w:color w:val="auto"/>
                <w:sz w:val="24"/>
              </w:rPr>
              <w:t>。</w:t>
            </w:r>
          </w:p>
          <w:p w14:paraId="40C89A62">
            <w:pPr>
              <w:autoSpaceDE w:val="0"/>
              <w:autoSpaceDN w:val="0"/>
              <w:adjustRightInd w:val="0"/>
              <w:snapToGrid w:val="0"/>
              <w:spacing w:line="500" w:lineRule="exact"/>
              <w:ind w:firstLine="482" w:firstLineChars="200"/>
              <w:rPr>
                <w:b/>
                <w:bCs/>
                <w:color w:val="auto"/>
                <w:sz w:val="24"/>
              </w:rPr>
            </w:pPr>
          </w:p>
          <w:p w14:paraId="5AB0D289">
            <w:pPr>
              <w:autoSpaceDE w:val="0"/>
              <w:autoSpaceDN w:val="0"/>
              <w:adjustRightInd w:val="0"/>
              <w:snapToGrid w:val="0"/>
              <w:spacing w:line="500" w:lineRule="exact"/>
              <w:ind w:firstLine="482" w:firstLineChars="200"/>
              <w:rPr>
                <w:b/>
                <w:bCs/>
                <w:color w:val="auto"/>
                <w:sz w:val="24"/>
              </w:rPr>
            </w:pPr>
            <w:r>
              <w:rPr>
                <w:b/>
                <w:bCs/>
                <w:color w:val="auto"/>
                <w:sz w:val="24"/>
              </w:rPr>
              <w:t>3、</w:t>
            </w:r>
            <w:r>
              <w:rPr>
                <w:rFonts w:hint="eastAsia"/>
                <w:b/>
                <w:bCs/>
                <w:color w:val="auto"/>
                <w:sz w:val="24"/>
              </w:rPr>
              <w:t>产业</w:t>
            </w:r>
            <w:r>
              <w:rPr>
                <w:b/>
                <w:bCs/>
                <w:color w:val="auto"/>
                <w:sz w:val="24"/>
              </w:rPr>
              <w:t>政策符合性</w:t>
            </w:r>
            <w:r>
              <w:rPr>
                <w:rFonts w:hint="eastAsia"/>
                <w:b/>
                <w:bCs/>
                <w:color w:val="auto"/>
                <w:sz w:val="24"/>
              </w:rPr>
              <w:t>分析</w:t>
            </w:r>
          </w:p>
          <w:p w14:paraId="3A938DC7">
            <w:pPr>
              <w:autoSpaceDE w:val="0"/>
              <w:autoSpaceDN w:val="0"/>
              <w:adjustRightInd w:val="0"/>
              <w:snapToGrid w:val="0"/>
              <w:spacing w:line="500" w:lineRule="exact"/>
              <w:ind w:firstLine="480" w:firstLineChars="200"/>
              <w:rPr>
                <w:color w:val="auto"/>
                <w:sz w:val="24"/>
              </w:rPr>
            </w:pPr>
            <w:r>
              <w:rPr>
                <w:color w:val="auto"/>
                <w:sz w:val="24"/>
              </w:rPr>
              <w:t>该项目属于</w:t>
            </w:r>
            <w:r>
              <w:rPr>
                <w:rFonts w:hint="eastAsia" w:eastAsiaTheme="minorEastAsia"/>
                <w:color w:val="auto"/>
                <w:sz w:val="24"/>
              </w:rPr>
              <w:t>B06</w:t>
            </w:r>
            <w:r>
              <w:rPr>
                <w:rFonts w:hint="eastAsia" w:eastAsiaTheme="minorEastAsia"/>
                <w:color w:val="auto"/>
                <w:sz w:val="24"/>
                <w:lang w:val="en-US" w:eastAsia="zh-CN"/>
              </w:rPr>
              <w:t>10</w:t>
            </w:r>
            <w:r>
              <w:rPr>
                <w:rFonts w:hint="eastAsia" w:eastAsiaTheme="minorEastAsia"/>
                <w:color w:val="auto"/>
                <w:sz w:val="24"/>
              </w:rPr>
              <w:t>烟煤和无烟煤开采洗选</w:t>
            </w:r>
            <w:r>
              <w:rPr>
                <w:color w:val="auto"/>
                <w:sz w:val="24"/>
              </w:rPr>
              <w:t>，根据中华人民共和国</w:t>
            </w:r>
            <w:r>
              <w:rPr>
                <w:rFonts w:hint="eastAsia"/>
                <w:color w:val="auto"/>
                <w:sz w:val="24"/>
                <w:lang w:val="en-US" w:eastAsia="zh-CN"/>
              </w:rPr>
              <w:t>国家</w:t>
            </w:r>
            <w:r>
              <w:rPr>
                <w:color w:val="auto"/>
                <w:sz w:val="24"/>
              </w:rPr>
              <w:t>发展和改革委员会《产业结构调整指导目录（20</w:t>
            </w:r>
            <w:r>
              <w:rPr>
                <w:rFonts w:hint="eastAsia"/>
                <w:color w:val="auto"/>
                <w:sz w:val="24"/>
              </w:rPr>
              <w:t>24</w:t>
            </w:r>
            <w:r>
              <w:rPr>
                <w:color w:val="auto"/>
                <w:sz w:val="24"/>
              </w:rPr>
              <w:t>年本）》中的要求，该项目不属于鼓励类、限制类和淘汰类建设项目，为允许类，本项目已经取得</w:t>
            </w:r>
            <w:r>
              <w:rPr>
                <w:rFonts w:hint="eastAsia" w:cs="宋体"/>
                <w:color w:val="auto"/>
                <w:sz w:val="24"/>
                <w:szCs w:val="24"/>
                <w:lang w:eastAsia="zh-CN"/>
              </w:rPr>
              <w:t>唐山海港经济开发区行政审批局</w:t>
            </w:r>
            <w:r>
              <w:rPr>
                <w:rFonts w:hint="eastAsia" w:ascii="宋体" w:hAnsi="宋体"/>
                <w:color w:val="auto"/>
                <w:sz w:val="24"/>
                <w:lang w:val="en-US" w:eastAsia="zh-CN"/>
              </w:rPr>
              <w:t>出具的</w:t>
            </w:r>
            <w:r>
              <w:rPr>
                <w:color w:val="auto"/>
                <w:sz w:val="24"/>
              </w:rPr>
              <w:t>《企业投资项目备案信息》（</w:t>
            </w:r>
            <w:r>
              <w:rPr>
                <w:rFonts w:hint="eastAsia" w:cs="宋体"/>
                <w:color w:val="auto"/>
                <w:sz w:val="24"/>
                <w:szCs w:val="24"/>
                <w:lang w:eastAsia="zh-CN"/>
              </w:rPr>
              <w:t>海审批投资备字〔202</w:t>
            </w:r>
            <w:r>
              <w:rPr>
                <w:rFonts w:hint="eastAsia" w:cs="宋体"/>
                <w:color w:val="auto"/>
                <w:sz w:val="24"/>
                <w:szCs w:val="24"/>
                <w:lang w:val="en-US" w:eastAsia="zh-CN"/>
              </w:rPr>
              <w:t>4</w:t>
            </w:r>
            <w:r>
              <w:rPr>
                <w:rFonts w:hint="eastAsia" w:cs="宋体"/>
                <w:color w:val="auto"/>
                <w:sz w:val="24"/>
                <w:szCs w:val="24"/>
                <w:lang w:eastAsia="zh-CN"/>
              </w:rPr>
              <w:t>〕</w:t>
            </w:r>
            <w:r>
              <w:rPr>
                <w:rFonts w:hint="eastAsia" w:cs="宋体"/>
                <w:color w:val="auto"/>
                <w:sz w:val="24"/>
                <w:szCs w:val="24"/>
                <w:lang w:val="en-US" w:eastAsia="zh-CN"/>
              </w:rPr>
              <w:t>119</w:t>
            </w:r>
            <w:r>
              <w:rPr>
                <w:rFonts w:hint="eastAsia" w:cs="宋体"/>
                <w:color w:val="auto"/>
                <w:sz w:val="24"/>
                <w:szCs w:val="24"/>
                <w:lang w:eastAsia="zh-CN"/>
              </w:rPr>
              <w:t>号</w:t>
            </w:r>
            <w:r>
              <w:rPr>
                <w:color w:val="auto"/>
                <w:sz w:val="24"/>
              </w:rPr>
              <w:t>）</w:t>
            </w:r>
            <w:r>
              <w:rPr>
                <w:rFonts w:hint="eastAsia"/>
                <w:color w:val="auto"/>
                <w:sz w:val="24"/>
                <w:lang w:eastAsia="zh-CN"/>
              </w:rPr>
              <w:t>，项目符合产业政策要求</w:t>
            </w:r>
            <w:r>
              <w:rPr>
                <w:color w:val="auto"/>
                <w:sz w:val="24"/>
              </w:rPr>
              <w:t>。</w:t>
            </w:r>
            <w:bookmarkStart w:id="29" w:name="_GoBack"/>
            <w:bookmarkEnd w:id="29"/>
          </w:p>
          <w:p w14:paraId="5FDE3560">
            <w:pPr>
              <w:autoSpaceDE w:val="0"/>
              <w:autoSpaceDN w:val="0"/>
              <w:adjustRightInd w:val="0"/>
              <w:snapToGrid w:val="0"/>
              <w:spacing w:line="500" w:lineRule="exact"/>
              <w:ind w:firstLine="490" w:firstLineChars="200"/>
              <w:rPr>
                <w:b/>
                <w:bCs/>
                <w:color w:val="auto"/>
                <w:spacing w:val="2"/>
                <w:kern w:val="0"/>
                <w:sz w:val="24"/>
              </w:rPr>
            </w:pPr>
            <w:r>
              <w:rPr>
                <w:rFonts w:hint="eastAsia"/>
                <w:b/>
                <w:bCs/>
                <w:color w:val="auto"/>
                <w:spacing w:val="2"/>
                <w:kern w:val="0"/>
                <w:sz w:val="24"/>
              </w:rPr>
              <w:t>4、其他符合性分析</w:t>
            </w:r>
          </w:p>
          <w:p w14:paraId="099B9741">
            <w:pPr>
              <w:autoSpaceDE w:val="0"/>
              <w:autoSpaceDN w:val="0"/>
              <w:adjustRightInd w:val="0"/>
              <w:snapToGrid w:val="0"/>
              <w:spacing w:line="500" w:lineRule="exact"/>
              <w:ind w:firstLine="488" w:firstLineChars="200"/>
              <w:rPr>
                <w:b/>
                <w:bCs/>
                <w:color w:val="auto"/>
                <w:sz w:val="24"/>
              </w:rPr>
            </w:pPr>
            <w:r>
              <w:rPr>
                <w:color w:val="auto"/>
                <w:spacing w:val="2"/>
                <w:kern w:val="0"/>
                <w:sz w:val="24"/>
              </w:rPr>
              <w:t>与《</w:t>
            </w:r>
            <w:r>
              <w:rPr>
                <w:rFonts w:hint="eastAsia"/>
                <w:color w:val="auto"/>
                <w:spacing w:val="2"/>
                <w:kern w:val="0"/>
                <w:sz w:val="24"/>
              </w:rPr>
              <w:t>煤场、料场、渣场扬尘污染控制技术规范</w:t>
            </w:r>
            <w:r>
              <w:rPr>
                <w:color w:val="auto"/>
                <w:spacing w:val="2"/>
                <w:kern w:val="0"/>
                <w:sz w:val="24"/>
              </w:rPr>
              <w:t>》（</w:t>
            </w:r>
            <w:r>
              <w:rPr>
                <w:rFonts w:hint="eastAsia"/>
                <w:color w:val="auto"/>
                <w:spacing w:val="2"/>
                <w:kern w:val="0"/>
                <w:sz w:val="24"/>
              </w:rPr>
              <w:t>DB 13/T 2352-2016</w:t>
            </w:r>
            <w:r>
              <w:rPr>
                <w:color w:val="auto"/>
                <w:spacing w:val="2"/>
                <w:kern w:val="0"/>
                <w:sz w:val="24"/>
              </w:rPr>
              <w:t>）符合性分析</w:t>
            </w:r>
          </w:p>
          <w:p w14:paraId="1B91FC7B">
            <w:pPr>
              <w:numPr>
                <w:ilvl w:val="0"/>
                <w:numId w:val="0"/>
              </w:numPr>
              <w:tabs>
                <w:tab w:val="left" w:pos="0"/>
              </w:tabs>
              <w:spacing w:line="500" w:lineRule="exact"/>
              <w:ind w:left="3573" w:leftChars="0" w:hanging="3573" w:hangingChars="1483"/>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6</w:t>
            </w:r>
            <w:r>
              <w:rPr>
                <w:rFonts w:hint="eastAsia"/>
                <w:b/>
                <w:bCs/>
                <w:color w:val="auto"/>
                <w:sz w:val="24"/>
              </w:rPr>
              <w:t xml:space="preserve">   </w:t>
            </w:r>
            <w:r>
              <w:rPr>
                <w:b/>
                <w:bCs/>
                <w:color w:val="auto"/>
                <w:sz w:val="24"/>
              </w:rPr>
              <w:t>与《</w:t>
            </w:r>
            <w:r>
              <w:rPr>
                <w:rFonts w:hint="eastAsia"/>
                <w:b/>
                <w:bCs/>
                <w:color w:val="auto"/>
                <w:sz w:val="24"/>
              </w:rPr>
              <w:t>煤场、料场、渣场扬尘污染控制技术规范</w:t>
            </w:r>
            <w:r>
              <w:rPr>
                <w:b/>
                <w:bCs/>
                <w:color w:val="auto"/>
                <w:sz w:val="24"/>
              </w:rPr>
              <w:t>》符合性分析</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7"/>
              <w:gridCol w:w="1485"/>
              <w:gridCol w:w="6570"/>
              <w:gridCol w:w="3443"/>
              <w:gridCol w:w="890"/>
            </w:tblGrid>
            <w:tr w14:paraId="0485A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9" w:type="pct"/>
                  <w:vAlign w:val="center"/>
                </w:tcPr>
                <w:p w14:paraId="33383A05">
                  <w:pPr>
                    <w:spacing w:line="320" w:lineRule="exact"/>
                    <w:jc w:val="center"/>
                    <w:rPr>
                      <w:color w:val="auto"/>
                    </w:rPr>
                  </w:pPr>
                  <w:r>
                    <w:rPr>
                      <w:color w:val="auto"/>
                      <w:szCs w:val="21"/>
                    </w:rPr>
                    <w:t>序号</w:t>
                  </w:r>
                </w:p>
              </w:tc>
              <w:tc>
                <w:tcPr>
                  <w:tcW w:w="568" w:type="pct"/>
                  <w:tcBorders>
                    <w:right w:val="single" w:color="auto" w:sz="4" w:space="0"/>
                  </w:tcBorders>
                  <w:vAlign w:val="center"/>
                </w:tcPr>
                <w:p w14:paraId="0F955AF2">
                  <w:pPr>
                    <w:spacing w:line="320" w:lineRule="exact"/>
                    <w:jc w:val="center"/>
                    <w:rPr>
                      <w:color w:val="auto"/>
                    </w:rPr>
                  </w:pPr>
                  <w:r>
                    <w:rPr>
                      <w:color w:val="auto"/>
                      <w:szCs w:val="21"/>
                    </w:rPr>
                    <w:t>分类</w:t>
                  </w:r>
                </w:p>
              </w:tc>
              <w:tc>
                <w:tcPr>
                  <w:tcW w:w="2513" w:type="pct"/>
                  <w:tcBorders>
                    <w:left w:val="single" w:color="auto" w:sz="4" w:space="0"/>
                  </w:tcBorders>
                  <w:vAlign w:val="center"/>
                </w:tcPr>
                <w:p w14:paraId="670E9E7F">
                  <w:pPr>
                    <w:spacing w:line="320" w:lineRule="exact"/>
                    <w:jc w:val="center"/>
                    <w:rPr>
                      <w:color w:val="auto"/>
                    </w:rPr>
                  </w:pPr>
                  <w:r>
                    <w:rPr>
                      <w:color w:val="auto"/>
                      <w:szCs w:val="21"/>
                    </w:rPr>
                    <w:t>《</w:t>
                  </w:r>
                  <w:r>
                    <w:rPr>
                      <w:rFonts w:hint="eastAsia"/>
                      <w:color w:val="auto"/>
                      <w:szCs w:val="21"/>
                    </w:rPr>
                    <w:t>煤场、料场、渣场扬尘污染控制技术规范</w:t>
                  </w:r>
                  <w:r>
                    <w:rPr>
                      <w:color w:val="auto"/>
                      <w:szCs w:val="21"/>
                    </w:rPr>
                    <w:t>》相关要求</w:t>
                  </w:r>
                </w:p>
              </w:tc>
              <w:tc>
                <w:tcPr>
                  <w:tcW w:w="1317" w:type="pct"/>
                  <w:vAlign w:val="center"/>
                </w:tcPr>
                <w:p w14:paraId="2F648596">
                  <w:pPr>
                    <w:spacing w:line="320" w:lineRule="exact"/>
                    <w:jc w:val="center"/>
                    <w:rPr>
                      <w:color w:val="auto"/>
                    </w:rPr>
                  </w:pPr>
                  <w:r>
                    <w:rPr>
                      <w:color w:val="auto"/>
                      <w:szCs w:val="21"/>
                    </w:rPr>
                    <w:t>本项目对应内容</w:t>
                  </w:r>
                </w:p>
              </w:tc>
              <w:tc>
                <w:tcPr>
                  <w:tcW w:w="340" w:type="pct"/>
                  <w:vAlign w:val="center"/>
                </w:tcPr>
                <w:p w14:paraId="52B47F7C">
                  <w:pPr>
                    <w:spacing w:line="320" w:lineRule="exact"/>
                    <w:jc w:val="center"/>
                    <w:rPr>
                      <w:color w:val="auto"/>
                      <w:szCs w:val="21"/>
                    </w:rPr>
                  </w:pPr>
                  <w:r>
                    <w:rPr>
                      <w:color w:val="auto"/>
                      <w:szCs w:val="21"/>
                    </w:rPr>
                    <w:t>结论</w:t>
                  </w:r>
                </w:p>
              </w:tc>
            </w:tr>
            <w:tr w14:paraId="5920C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4" w:hRule="atLeast"/>
                <w:jc w:val="center"/>
              </w:trPr>
              <w:tc>
                <w:tcPr>
                  <w:tcW w:w="259" w:type="pct"/>
                  <w:vAlign w:val="center"/>
                </w:tcPr>
                <w:p w14:paraId="1194A89F">
                  <w:pPr>
                    <w:spacing w:line="320" w:lineRule="exact"/>
                    <w:jc w:val="center"/>
                    <w:rPr>
                      <w:color w:val="auto"/>
                      <w:szCs w:val="21"/>
                    </w:rPr>
                  </w:pPr>
                  <w:r>
                    <w:rPr>
                      <w:color w:val="auto"/>
                      <w:szCs w:val="21"/>
                    </w:rPr>
                    <w:t>1</w:t>
                  </w:r>
                </w:p>
              </w:tc>
              <w:tc>
                <w:tcPr>
                  <w:tcW w:w="568" w:type="pct"/>
                  <w:tcBorders>
                    <w:right w:val="single" w:color="auto" w:sz="4" w:space="0"/>
                  </w:tcBorders>
                  <w:vAlign w:val="center"/>
                </w:tcPr>
                <w:p w14:paraId="69E1A758">
                  <w:pPr>
                    <w:spacing w:line="320" w:lineRule="exact"/>
                    <w:jc w:val="center"/>
                    <w:rPr>
                      <w:color w:val="auto"/>
                    </w:rPr>
                  </w:pPr>
                  <w:r>
                    <w:rPr>
                      <w:rFonts w:hint="eastAsia"/>
                      <w:color w:val="auto"/>
                    </w:rPr>
                    <w:t>物料运输、装卸</w:t>
                  </w:r>
                </w:p>
              </w:tc>
              <w:tc>
                <w:tcPr>
                  <w:tcW w:w="2513" w:type="pct"/>
                  <w:tcBorders>
                    <w:left w:val="single" w:color="auto" w:sz="4" w:space="0"/>
                  </w:tcBorders>
                  <w:vAlign w:val="center"/>
                </w:tcPr>
                <w:p w14:paraId="73E70C1E">
                  <w:pPr>
                    <w:spacing w:line="320" w:lineRule="exact"/>
                    <w:jc w:val="center"/>
                    <w:rPr>
                      <w:color w:val="auto"/>
                    </w:rPr>
                  </w:pPr>
                  <w:r>
                    <w:rPr>
                      <w:rFonts w:hint="eastAsia"/>
                      <w:color w:val="auto"/>
                    </w:rPr>
                    <w:t>1.粉状物料（如铁精粉、生石灰粉等干料）运输车辆应采用密闭车斗或罐车；</w:t>
                  </w:r>
                </w:p>
                <w:p w14:paraId="2352BE31">
                  <w:pPr>
                    <w:spacing w:line="320" w:lineRule="exact"/>
                    <w:jc w:val="center"/>
                    <w:rPr>
                      <w:color w:val="auto"/>
                    </w:rPr>
                  </w:pPr>
                  <w:r>
                    <w:rPr>
                      <w:rFonts w:hint="eastAsia"/>
                      <w:color w:val="auto"/>
                    </w:rPr>
                    <w:t>2.块状物料（如烧结矿、球团矿、焦炭等物料）运输车辆装载高度最高点不得超过车辆槽帮上沿40cm，两侧边缘应当低于槽帮上缘10cm。车斗应用苫布覆盖，苫布边缘至少要遮住槽帮上沿以下15cm。物料转运时转运设施应采取密闭措施，转运站和落料点配套抽风收尘装置；</w:t>
                  </w:r>
                </w:p>
                <w:p w14:paraId="251F9E27">
                  <w:pPr>
                    <w:spacing w:line="320" w:lineRule="exact"/>
                    <w:jc w:val="center"/>
                    <w:rPr>
                      <w:color w:val="auto"/>
                    </w:rPr>
                  </w:pPr>
                  <w:r>
                    <w:rPr>
                      <w:rFonts w:hint="eastAsia"/>
                      <w:color w:val="auto"/>
                    </w:rPr>
                    <w:t>3.应设置洗车平台，完善排水设施，防止泥土粘带。运输车辆在煤场、</w:t>
                  </w:r>
                  <w:r>
                    <w:rPr>
                      <w:rFonts w:hint="eastAsia"/>
                      <w:color w:val="auto"/>
                      <w:highlight w:val="none"/>
                    </w:rPr>
                    <w:t>料场出口内侧设置洗车平台，车辆驶离煤场、料场前，应在洗车平台清洗轮胎及车身，不得带泥上路。洗</w:t>
                  </w:r>
                  <w:r>
                    <w:rPr>
                      <w:rFonts w:hint="eastAsia"/>
                      <w:color w:val="auto"/>
                    </w:rPr>
                    <w:t>车平台四周应设置防溢座、废水导流渠、废水收集池、沉砂池及其它防治设施，收集洗车以及降水过程中产生的废水和泥浆；</w:t>
                  </w:r>
                </w:p>
                <w:p w14:paraId="6752AA3C">
                  <w:pPr>
                    <w:spacing w:line="320" w:lineRule="exact"/>
                    <w:jc w:val="center"/>
                    <w:rPr>
                      <w:color w:val="auto"/>
                    </w:rPr>
                  </w:pPr>
                  <w:r>
                    <w:rPr>
                      <w:rFonts w:hint="eastAsia"/>
                      <w:color w:val="auto"/>
                    </w:rPr>
                    <w:t>4.露天装卸物料应当采取洒水、喷淋等抑尘措施，密闭输送物料应在装卸处配备吸尘、喷淋等设施</w:t>
                  </w:r>
                </w:p>
              </w:tc>
              <w:tc>
                <w:tcPr>
                  <w:tcW w:w="1317" w:type="pct"/>
                  <w:vAlign w:val="center"/>
                </w:tcPr>
                <w:p w14:paraId="35780CD7">
                  <w:pPr>
                    <w:spacing w:line="320" w:lineRule="exact"/>
                    <w:jc w:val="center"/>
                    <w:rPr>
                      <w:color w:val="auto"/>
                    </w:rPr>
                  </w:pPr>
                  <w:r>
                    <w:rPr>
                      <w:rFonts w:hint="eastAsia"/>
                      <w:color w:val="auto"/>
                    </w:rPr>
                    <w:t>2.本项目运输车辆装载高度最高低于车辆槽帮上沿40cm，两侧边缘低于槽帮上缘10cm。车斗采用苫布覆盖，且苫布边缘遮住槽帮上沿以下15cm。物料转运在封闭的</w:t>
                  </w:r>
                  <w:r>
                    <w:rPr>
                      <w:rFonts w:hint="eastAsia"/>
                      <w:color w:val="auto"/>
                      <w:lang w:eastAsia="zh-CN"/>
                    </w:rPr>
                    <w:t>厂房</w:t>
                  </w:r>
                  <w:r>
                    <w:rPr>
                      <w:rFonts w:hint="eastAsia"/>
                      <w:color w:val="auto"/>
                    </w:rPr>
                    <w:t>中进行，并且配备喷淋抑尘装置</w:t>
                  </w:r>
                </w:p>
                <w:p w14:paraId="63A2D290">
                  <w:pPr>
                    <w:pStyle w:val="2"/>
                    <w:spacing w:line="320" w:lineRule="exact"/>
                    <w:jc w:val="center"/>
                    <w:rPr>
                      <w:rFonts w:ascii="Times New Roman"/>
                      <w:color w:val="auto"/>
                      <w:sz w:val="21"/>
                    </w:rPr>
                  </w:pPr>
                  <w:r>
                    <w:rPr>
                      <w:rFonts w:hint="eastAsia" w:ascii="Times New Roman"/>
                      <w:color w:val="auto"/>
                      <w:sz w:val="21"/>
                    </w:rPr>
                    <w:t>3.本项目厂区大门处设置洗车平台，四周应设置防溢座、废水导流渠、收集池以及沉淀池，以收集洗车以及降水过程中产生的废水和泥浆</w:t>
                  </w:r>
                </w:p>
                <w:p w14:paraId="01A50410">
                  <w:pPr>
                    <w:spacing w:line="320" w:lineRule="exact"/>
                    <w:jc w:val="center"/>
                    <w:rPr>
                      <w:color w:val="auto"/>
                    </w:rPr>
                  </w:pPr>
                  <w:r>
                    <w:rPr>
                      <w:rFonts w:hint="eastAsia"/>
                      <w:color w:val="auto"/>
                    </w:rPr>
                    <w:t>4.本项目物料装卸在封闭</w:t>
                  </w:r>
                  <w:r>
                    <w:rPr>
                      <w:rFonts w:hint="eastAsia"/>
                      <w:color w:val="auto"/>
                      <w:lang w:eastAsia="zh-CN"/>
                    </w:rPr>
                    <w:t>厂房</w:t>
                  </w:r>
                  <w:r>
                    <w:rPr>
                      <w:rFonts w:hint="eastAsia"/>
                      <w:color w:val="auto"/>
                    </w:rPr>
                    <w:t>中进行，库顶设置喷淋抑尘装置</w:t>
                  </w:r>
                </w:p>
              </w:tc>
              <w:tc>
                <w:tcPr>
                  <w:tcW w:w="340" w:type="pct"/>
                  <w:vAlign w:val="center"/>
                </w:tcPr>
                <w:p w14:paraId="67536DBB">
                  <w:pPr>
                    <w:spacing w:line="320" w:lineRule="exact"/>
                    <w:jc w:val="center"/>
                    <w:rPr>
                      <w:color w:val="auto"/>
                      <w:szCs w:val="21"/>
                    </w:rPr>
                  </w:pPr>
                  <w:r>
                    <w:rPr>
                      <w:color w:val="auto"/>
                      <w:szCs w:val="21"/>
                    </w:rPr>
                    <w:t>符合</w:t>
                  </w:r>
                </w:p>
              </w:tc>
            </w:tr>
            <w:tr w14:paraId="22A83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59" w:type="pct"/>
                  <w:vAlign w:val="center"/>
                </w:tcPr>
                <w:p w14:paraId="72AB1415">
                  <w:pPr>
                    <w:spacing w:line="320" w:lineRule="exact"/>
                    <w:jc w:val="center"/>
                    <w:rPr>
                      <w:color w:val="auto"/>
                      <w:szCs w:val="21"/>
                    </w:rPr>
                  </w:pPr>
                  <w:r>
                    <w:rPr>
                      <w:rFonts w:hint="eastAsia"/>
                      <w:color w:val="auto"/>
                      <w:szCs w:val="21"/>
                    </w:rPr>
                    <w:t>2</w:t>
                  </w:r>
                </w:p>
              </w:tc>
              <w:tc>
                <w:tcPr>
                  <w:tcW w:w="568" w:type="pct"/>
                  <w:tcBorders>
                    <w:right w:val="single" w:color="auto" w:sz="4" w:space="0"/>
                  </w:tcBorders>
                  <w:vAlign w:val="center"/>
                </w:tcPr>
                <w:p w14:paraId="0FA597D8">
                  <w:pPr>
                    <w:spacing w:line="320" w:lineRule="exact"/>
                    <w:jc w:val="center"/>
                    <w:rPr>
                      <w:color w:val="auto"/>
                    </w:rPr>
                  </w:pPr>
                  <w:r>
                    <w:rPr>
                      <w:rFonts w:hint="eastAsia"/>
                      <w:color w:val="auto"/>
                    </w:rPr>
                    <w:t>物料储存</w:t>
                  </w:r>
                </w:p>
              </w:tc>
              <w:tc>
                <w:tcPr>
                  <w:tcW w:w="2513" w:type="pct"/>
                  <w:tcBorders>
                    <w:left w:val="single" w:color="auto" w:sz="4" w:space="0"/>
                  </w:tcBorders>
                  <w:vAlign w:val="center"/>
                </w:tcPr>
                <w:p w14:paraId="79466BAB">
                  <w:pPr>
                    <w:spacing w:line="320" w:lineRule="exact"/>
                    <w:jc w:val="center"/>
                    <w:rPr>
                      <w:color w:val="auto"/>
                    </w:rPr>
                  </w:pPr>
                  <w:r>
                    <w:rPr>
                      <w:rFonts w:hint="eastAsia"/>
                      <w:color w:val="auto"/>
                    </w:rPr>
                    <w:t>1.粉状物料储存可采用入棚、入仓储存，棚内设有喷淋装置，在物料装卸时洒水降尘，棚内应设置横向防雨天窗，也可采用防风抑尘网+喷淋装置进行储存；</w:t>
                  </w:r>
                </w:p>
                <w:p w14:paraId="1BC489F7">
                  <w:pPr>
                    <w:spacing w:line="320" w:lineRule="exact"/>
                    <w:jc w:val="center"/>
                    <w:rPr>
                      <w:color w:val="auto"/>
                    </w:rPr>
                  </w:pPr>
                  <w:r>
                    <w:rPr>
                      <w:rFonts w:hint="eastAsia"/>
                      <w:color w:val="auto"/>
                    </w:rPr>
                    <w:t>2.块状物料储存可采用入棚、入仓方式储存，也可采用防风抑尘网+喷淋装置储存，露天堆场贮存过程中，必须采取洒水、遮盖或喷洒抑尘剂等措施控制扬尘</w:t>
                  </w:r>
                </w:p>
              </w:tc>
              <w:tc>
                <w:tcPr>
                  <w:tcW w:w="1317" w:type="pct"/>
                  <w:vAlign w:val="center"/>
                </w:tcPr>
                <w:p w14:paraId="1833D019">
                  <w:pPr>
                    <w:spacing w:line="320" w:lineRule="exact"/>
                    <w:jc w:val="center"/>
                    <w:rPr>
                      <w:color w:val="auto"/>
                    </w:rPr>
                  </w:pPr>
                  <w:r>
                    <w:rPr>
                      <w:rFonts w:hint="eastAsia"/>
                      <w:color w:val="auto"/>
                    </w:rPr>
                    <w:t>本项目物料储存在封闭的</w:t>
                  </w:r>
                  <w:r>
                    <w:rPr>
                      <w:rFonts w:hint="eastAsia"/>
                      <w:color w:val="auto"/>
                      <w:lang w:eastAsia="zh-CN"/>
                    </w:rPr>
                    <w:t>厂房</w:t>
                  </w:r>
                  <w:r>
                    <w:rPr>
                      <w:rFonts w:hint="eastAsia"/>
                      <w:color w:val="auto"/>
                    </w:rPr>
                    <w:t>中，库顶设置喷淋抑尘装置</w:t>
                  </w:r>
                </w:p>
              </w:tc>
              <w:tc>
                <w:tcPr>
                  <w:tcW w:w="340" w:type="pct"/>
                  <w:vAlign w:val="center"/>
                </w:tcPr>
                <w:p w14:paraId="27FCF938">
                  <w:pPr>
                    <w:spacing w:line="320" w:lineRule="exact"/>
                    <w:jc w:val="center"/>
                    <w:rPr>
                      <w:color w:val="auto"/>
                      <w:szCs w:val="21"/>
                    </w:rPr>
                  </w:pPr>
                  <w:r>
                    <w:rPr>
                      <w:color w:val="auto"/>
                      <w:szCs w:val="21"/>
                    </w:rPr>
                    <w:t>符合</w:t>
                  </w:r>
                </w:p>
              </w:tc>
            </w:tr>
            <w:tr w14:paraId="258E5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3" w:hRule="atLeast"/>
                <w:jc w:val="center"/>
              </w:trPr>
              <w:tc>
                <w:tcPr>
                  <w:tcW w:w="259" w:type="pct"/>
                  <w:vAlign w:val="center"/>
                </w:tcPr>
                <w:p w14:paraId="3AB92D3F">
                  <w:pPr>
                    <w:spacing w:line="320" w:lineRule="exact"/>
                    <w:jc w:val="center"/>
                    <w:rPr>
                      <w:color w:val="auto"/>
                      <w:szCs w:val="21"/>
                    </w:rPr>
                  </w:pPr>
                  <w:r>
                    <w:rPr>
                      <w:rFonts w:hint="eastAsia"/>
                      <w:color w:val="auto"/>
                      <w:szCs w:val="21"/>
                    </w:rPr>
                    <w:t>3</w:t>
                  </w:r>
                </w:p>
              </w:tc>
              <w:tc>
                <w:tcPr>
                  <w:tcW w:w="568" w:type="pct"/>
                  <w:tcBorders>
                    <w:right w:val="single" w:color="auto" w:sz="4" w:space="0"/>
                  </w:tcBorders>
                  <w:vAlign w:val="center"/>
                </w:tcPr>
                <w:p w14:paraId="620A526B">
                  <w:pPr>
                    <w:spacing w:line="320" w:lineRule="exact"/>
                    <w:jc w:val="center"/>
                    <w:rPr>
                      <w:color w:val="auto"/>
                    </w:rPr>
                  </w:pPr>
                  <w:r>
                    <w:rPr>
                      <w:rFonts w:hint="eastAsia"/>
                      <w:color w:val="auto"/>
                    </w:rPr>
                    <w:t>厂区运输道路</w:t>
                  </w:r>
                </w:p>
              </w:tc>
              <w:tc>
                <w:tcPr>
                  <w:tcW w:w="2513" w:type="pct"/>
                  <w:tcBorders>
                    <w:left w:val="single" w:color="auto" w:sz="4" w:space="0"/>
                  </w:tcBorders>
                  <w:vAlign w:val="center"/>
                </w:tcPr>
                <w:p w14:paraId="0D2256C0">
                  <w:pPr>
                    <w:spacing w:line="320" w:lineRule="exact"/>
                    <w:jc w:val="center"/>
                    <w:rPr>
                      <w:color w:val="auto"/>
                    </w:rPr>
                  </w:pPr>
                  <w:r>
                    <w:rPr>
                      <w:rFonts w:hint="eastAsia"/>
                      <w:color w:val="auto"/>
                      <w:szCs w:val="21"/>
                    </w:rPr>
                    <w:t>各工业企业厂区道路应进行硬化，定期清扫、洒水，以保持道路积尘处于低负荷状态。</w:t>
                  </w:r>
                </w:p>
              </w:tc>
              <w:tc>
                <w:tcPr>
                  <w:tcW w:w="1317" w:type="pct"/>
                  <w:vAlign w:val="center"/>
                </w:tcPr>
                <w:p w14:paraId="288EA83E">
                  <w:pPr>
                    <w:spacing w:line="320" w:lineRule="exact"/>
                    <w:jc w:val="center"/>
                    <w:rPr>
                      <w:color w:val="auto"/>
                    </w:rPr>
                  </w:pPr>
                  <w:r>
                    <w:rPr>
                      <w:rFonts w:hint="eastAsia"/>
                      <w:color w:val="auto"/>
                    </w:rPr>
                    <w:t>本项目厂区道路全部进行硬化处理，并定期洒水清扫</w:t>
                  </w:r>
                </w:p>
              </w:tc>
              <w:tc>
                <w:tcPr>
                  <w:tcW w:w="340" w:type="pct"/>
                  <w:vAlign w:val="center"/>
                </w:tcPr>
                <w:p w14:paraId="193B3A59">
                  <w:pPr>
                    <w:spacing w:line="320" w:lineRule="exact"/>
                    <w:jc w:val="center"/>
                    <w:rPr>
                      <w:color w:val="auto"/>
                      <w:szCs w:val="21"/>
                    </w:rPr>
                  </w:pPr>
                  <w:r>
                    <w:rPr>
                      <w:rFonts w:hint="eastAsia"/>
                      <w:color w:val="auto"/>
                      <w:szCs w:val="21"/>
                    </w:rPr>
                    <w:t>符合</w:t>
                  </w:r>
                </w:p>
              </w:tc>
            </w:tr>
            <w:tr w14:paraId="099BD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259" w:type="pct"/>
                  <w:vAlign w:val="center"/>
                </w:tcPr>
                <w:p w14:paraId="5640DFA7">
                  <w:pPr>
                    <w:spacing w:line="320" w:lineRule="exact"/>
                    <w:jc w:val="center"/>
                    <w:rPr>
                      <w:color w:val="auto"/>
                      <w:szCs w:val="21"/>
                    </w:rPr>
                  </w:pPr>
                  <w:r>
                    <w:rPr>
                      <w:rFonts w:hint="eastAsia"/>
                      <w:color w:val="auto"/>
                      <w:szCs w:val="21"/>
                    </w:rPr>
                    <w:t>4</w:t>
                  </w:r>
                </w:p>
              </w:tc>
              <w:tc>
                <w:tcPr>
                  <w:tcW w:w="568" w:type="pct"/>
                  <w:tcBorders>
                    <w:right w:val="single" w:color="auto" w:sz="4" w:space="0"/>
                  </w:tcBorders>
                  <w:vAlign w:val="center"/>
                </w:tcPr>
                <w:p w14:paraId="6EA9A67A">
                  <w:pPr>
                    <w:spacing w:line="320" w:lineRule="exact"/>
                    <w:jc w:val="center"/>
                    <w:rPr>
                      <w:color w:val="auto"/>
                      <w:szCs w:val="21"/>
                    </w:rPr>
                  </w:pPr>
                  <w:r>
                    <w:rPr>
                      <w:rFonts w:hint="eastAsia"/>
                      <w:color w:val="auto"/>
                      <w:szCs w:val="21"/>
                    </w:rPr>
                    <w:t>监督管理措施</w:t>
                  </w:r>
                </w:p>
              </w:tc>
              <w:tc>
                <w:tcPr>
                  <w:tcW w:w="2513" w:type="pct"/>
                  <w:tcBorders>
                    <w:left w:val="single" w:color="auto" w:sz="4" w:space="0"/>
                  </w:tcBorders>
                  <w:vAlign w:val="center"/>
                </w:tcPr>
                <w:p w14:paraId="42434EE3">
                  <w:pPr>
                    <w:spacing w:line="320" w:lineRule="exact"/>
                    <w:jc w:val="center"/>
                    <w:rPr>
                      <w:color w:val="auto"/>
                      <w:szCs w:val="21"/>
                    </w:rPr>
                  </w:pPr>
                  <w:r>
                    <w:rPr>
                      <w:color w:val="auto"/>
                      <w:szCs w:val="21"/>
                    </w:rPr>
                    <w:t>1.</w:t>
                  </w:r>
                  <w:r>
                    <w:rPr>
                      <w:rFonts w:hint="eastAsia"/>
                      <w:color w:val="auto"/>
                      <w:szCs w:val="21"/>
                    </w:rPr>
                    <w:t>建立健全煤场、料场和渣场扬尘污染控制管理制度。包括：岗位责任，环保操作规程，扬尘控制管理，扬尘控制考核，扬尘污染源档案，扬尘控制设施运行记录台账，扬尘控制设施使用维修保养；</w:t>
                  </w:r>
                </w:p>
                <w:p w14:paraId="2BC3F03B">
                  <w:pPr>
                    <w:spacing w:line="320" w:lineRule="exact"/>
                    <w:jc w:val="center"/>
                    <w:rPr>
                      <w:color w:val="auto"/>
                      <w:szCs w:val="21"/>
                    </w:rPr>
                  </w:pPr>
                  <w:r>
                    <w:rPr>
                      <w:color w:val="auto"/>
                      <w:szCs w:val="21"/>
                    </w:rPr>
                    <w:t>2.</w:t>
                  </w:r>
                  <w:r>
                    <w:rPr>
                      <w:rFonts w:hint="eastAsia"/>
                      <w:color w:val="auto"/>
                      <w:szCs w:val="21"/>
                    </w:rPr>
                    <w:t>扬尘治理设施属于大气污染控制环境保护设施，依据有关环保治理设施规定进行建设、验收、运行和管理；企业应按《大气污染物综合排放标准》颗粒物无组织排放布点，应对防尘治理设施的运行管理效果进行自行监测，并按照当地环保部门的要求进行检测、上报；</w:t>
                  </w:r>
                </w:p>
                <w:p w14:paraId="331221CF">
                  <w:pPr>
                    <w:spacing w:line="320" w:lineRule="exact"/>
                    <w:jc w:val="center"/>
                    <w:rPr>
                      <w:color w:val="auto"/>
                      <w:szCs w:val="21"/>
                    </w:rPr>
                  </w:pPr>
                  <w:r>
                    <w:rPr>
                      <w:color w:val="auto"/>
                      <w:szCs w:val="21"/>
                    </w:rPr>
                    <w:t>3.</w:t>
                  </w:r>
                  <w:r>
                    <w:rPr>
                      <w:rFonts w:hint="eastAsia"/>
                      <w:color w:val="auto"/>
                      <w:szCs w:val="21"/>
                    </w:rPr>
                    <w:t>按照环境管理部门要求对敏感地区的煤场、料场、渣场安装在线监控装置</w:t>
                  </w:r>
                </w:p>
              </w:tc>
              <w:tc>
                <w:tcPr>
                  <w:tcW w:w="1317" w:type="pct"/>
                  <w:vAlign w:val="center"/>
                </w:tcPr>
                <w:p w14:paraId="1D90D8DE">
                  <w:pPr>
                    <w:spacing w:line="320" w:lineRule="exact"/>
                    <w:jc w:val="center"/>
                    <w:rPr>
                      <w:color w:val="auto"/>
                      <w:szCs w:val="21"/>
                    </w:rPr>
                  </w:pPr>
                  <w:r>
                    <w:rPr>
                      <w:rFonts w:hint="eastAsia"/>
                      <w:color w:val="auto"/>
                    </w:rPr>
                    <w:t>1.本项目建成后</w:t>
                  </w:r>
                  <w:r>
                    <w:rPr>
                      <w:rFonts w:hint="eastAsia"/>
                      <w:color w:val="auto"/>
                      <w:szCs w:val="21"/>
                    </w:rPr>
                    <w:t>建立健全煤场扬尘污染控制管理制度，喷淋抑尘装置定期进行维修保养</w:t>
                  </w:r>
                </w:p>
                <w:p w14:paraId="0F9846A0">
                  <w:pPr>
                    <w:spacing w:line="320" w:lineRule="exact"/>
                    <w:jc w:val="center"/>
                    <w:rPr>
                      <w:color w:val="auto"/>
                    </w:rPr>
                  </w:pPr>
                  <w:r>
                    <w:rPr>
                      <w:rFonts w:hint="eastAsia"/>
                      <w:color w:val="auto"/>
                      <w:szCs w:val="21"/>
                    </w:rPr>
                    <w:t>2.本项目建成后按</w:t>
                  </w:r>
                  <w:r>
                    <w:rPr>
                      <w:rFonts w:hint="eastAsia"/>
                      <w:color w:val="auto"/>
                      <w:szCs w:val="21"/>
                      <w:lang w:eastAsia="zh-CN"/>
                    </w:rPr>
                    <w:t>《</w:t>
                  </w:r>
                  <w:r>
                    <w:rPr>
                      <w:rFonts w:hint="eastAsia"/>
                      <w:color w:val="auto"/>
                      <w:szCs w:val="21"/>
                    </w:rPr>
                    <w:t>煤炭工业污染物排放标准》颗粒物无组织排放布点，对防尘治理设施的运行管理效果进行自行监测，并按照当地环保部门的要求进行检测、上报</w:t>
                  </w:r>
                </w:p>
              </w:tc>
              <w:tc>
                <w:tcPr>
                  <w:tcW w:w="340" w:type="pct"/>
                  <w:vAlign w:val="center"/>
                </w:tcPr>
                <w:p w14:paraId="124197EC">
                  <w:pPr>
                    <w:spacing w:line="320" w:lineRule="exact"/>
                    <w:jc w:val="center"/>
                    <w:rPr>
                      <w:color w:val="auto"/>
                      <w:szCs w:val="21"/>
                    </w:rPr>
                  </w:pPr>
                  <w:r>
                    <w:rPr>
                      <w:rFonts w:hint="eastAsia"/>
                      <w:color w:val="auto"/>
                      <w:szCs w:val="21"/>
                    </w:rPr>
                    <w:t>符合</w:t>
                  </w:r>
                </w:p>
              </w:tc>
            </w:tr>
          </w:tbl>
          <w:p w14:paraId="03691CA5">
            <w:pPr>
              <w:pStyle w:val="22"/>
              <w:spacing w:after="0" w:line="500" w:lineRule="exact"/>
              <w:ind w:left="0" w:leftChars="0" w:firstLine="488"/>
              <w:rPr>
                <w:color w:val="auto"/>
                <w:spacing w:val="2"/>
                <w:kern w:val="0"/>
                <w:sz w:val="24"/>
              </w:rPr>
            </w:pPr>
            <w:r>
              <w:rPr>
                <w:rFonts w:hint="eastAsia"/>
                <w:color w:val="auto"/>
                <w:spacing w:val="2"/>
                <w:kern w:val="0"/>
                <w:sz w:val="24"/>
              </w:rPr>
              <w:t>综上所述，本项目的建设符合国家及地方相关政策。</w:t>
            </w:r>
          </w:p>
          <w:p w14:paraId="08182D3E">
            <w:pPr>
              <w:rPr>
                <w:color w:val="auto"/>
              </w:rPr>
            </w:pPr>
          </w:p>
        </w:tc>
      </w:tr>
    </w:tbl>
    <w:p w14:paraId="0F729962">
      <w:pPr>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7E8FE901">
      <w:pPr>
        <w:widowControl/>
        <w:spacing w:before="100" w:beforeAutospacing="1" w:after="100" w:afterAutospacing="1"/>
        <w:jc w:val="center"/>
        <w:outlineLvl w:val="0"/>
        <w:rPr>
          <w:rFonts w:ascii="黑体" w:hAnsi="黑体" w:eastAsia="黑体"/>
          <w:snapToGrid w:val="0"/>
          <w:color w:val="auto"/>
          <w:kern w:val="0"/>
          <w:sz w:val="30"/>
          <w:szCs w:val="30"/>
        </w:rPr>
      </w:pPr>
      <w:bookmarkStart w:id="6" w:name="_Toc21882"/>
      <w:bookmarkStart w:id="7" w:name="_Toc131506417"/>
      <w:r>
        <w:rPr>
          <w:rFonts w:hint="eastAsia" w:ascii="黑体" w:hAnsi="黑体" w:eastAsia="黑体"/>
          <w:snapToGrid w:val="0"/>
          <w:color w:val="auto"/>
          <w:kern w:val="0"/>
          <w:sz w:val="30"/>
          <w:szCs w:val="30"/>
        </w:rPr>
        <w:t>二</w:t>
      </w:r>
      <w:r>
        <w:rPr>
          <w:rFonts w:ascii="黑体" w:hAnsi="黑体" w:eastAsia="黑体"/>
          <w:snapToGrid w:val="0"/>
          <w:color w:val="auto"/>
          <w:kern w:val="0"/>
          <w:sz w:val="30"/>
          <w:szCs w:val="30"/>
        </w:rPr>
        <w:t>、建设项目</w:t>
      </w:r>
      <w:r>
        <w:rPr>
          <w:rFonts w:hint="eastAsia" w:ascii="黑体" w:hAnsi="黑体" w:eastAsia="黑体"/>
          <w:snapToGrid w:val="0"/>
          <w:color w:val="auto"/>
          <w:kern w:val="0"/>
          <w:sz w:val="30"/>
          <w:szCs w:val="30"/>
        </w:rPr>
        <w:t>工程分析</w:t>
      </w:r>
      <w:bookmarkEnd w:id="6"/>
      <w:bookmarkEnd w:id="7"/>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452"/>
      </w:tblGrid>
      <w:tr w14:paraId="4F3A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Align w:val="center"/>
          </w:tcPr>
          <w:p w14:paraId="639413EB">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建设内容</w:t>
            </w:r>
          </w:p>
        </w:tc>
        <w:tc>
          <w:tcPr>
            <w:tcW w:w="4549" w:type="pct"/>
          </w:tcPr>
          <w:p w14:paraId="0A94B5E1">
            <w:pPr>
              <w:pStyle w:val="6"/>
              <w:spacing w:line="500" w:lineRule="exact"/>
              <w:ind w:firstLine="482"/>
              <w:rPr>
                <w:rFonts w:ascii="Times New Roman" w:hAnsi="Times New Roman"/>
                <w:b/>
                <w:color w:val="auto"/>
                <w:sz w:val="24"/>
                <w:szCs w:val="24"/>
              </w:rPr>
            </w:pPr>
            <w:r>
              <w:rPr>
                <w:rFonts w:ascii="Times New Roman" w:hAnsi="Times New Roman"/>
                <w:b/>
                <w:color w:val="auto"/>
                <w:sz w:val="24"/>
                <w:szCs w:val="24"/>
              </w:rPr>
              <w:t>1.项目</w:t>
            </w:r>
            <w:r>
              <w:rPr>
                <w:rFonts w:hint="eastAsia" w:ascii="Times New Roman" w:hAnsi="Times New Roman"/>
                <w:b/>
                <w:color w:val="auto"/>
                <w:sz w:val="24"/>
                <w:szCs w:val="24"/>
              </w:rPr>
              <w:t>由来</w:t>
            </w:r>
          </w:p>
          <w:p w14:paraId="02948E2E">
            <w:pPr>
              <w:spacing w:line="500" w:lineRule="exact"/>
              <w:ind w:firstLine="480" w:firstLineChars="200"/>
              <w:rPr>
                <w:rFonts w:hint="eastAsia"/>
                <w:color w:val="auto"/>
                <w:kern w:val="24"/>
                <w:sz w:val="24"/>
              </w:rPr>
            </w:pPr>
            <w:r>
              <w:rPr>
                <w:rFonts w:hint="eastAsia"/>
                <w:color w:val="auto"/>
                <w:kern w:val="24"/>
                <w:sz w:val="24"/>
              </w:rPr>
              <w:t>仓储物流业是国民经济发展的助推器和加速器，现代物流决定了现代经济发展的规模、效益和质量。河北唐山海港经济开发区的物流聚集区域临近港口，靠近铁路基地，为发展公铁、水公联运、信息+物流+金融的现代化物流园区打下坚实的基础。</w:t>
            </w:r>
          </w:p>
          <w:p w14:paraId="0792EFDF">
            <w:pPr>
              <w:spacing w:line="500" w:lineRule="exact"/>
              <w:ind w:firstLine="480" w:firstLineChars="200"/>
              <w:rPr>
                <w:color w:val="auto"/>
                <w:sz w:val="24"/>
              </w:rPr>
            </w:pPr>
            <w:r>
              <w:rPr>
                <w:rFonts w:hint="eastAsia"/>
                <w:color w:val="auto"/>
                <w:sz w:val="24"/>
              </w:rPr>
              <w:t>为提升煤炭</w:t>
            </w:r>
            <w:r>
              <w:rPr>
                <w:rFonts w:hint="eastAsia"/>
                <w:color w:val="auto"/>
                <w:sz w:val="24"/>
                <w:lang w:eastAsia="zh-CN"/>
              </w:rPr>
              <w:t>、矿石、钢铁</w:t>
            </w:r>
            <w:r>
              <w:rPr>
                <w:rFonts w:hint="eastAsia"/>
                <w:color w:val="auto"/>
                <w:sz w:val="24"/>
              </w:rPr>
              <w:t>的中转能力、拓宽辐射范围、增强应急能力，</w:t>
            </w:r>
            <w:r>
              <w:rPr>
                <w:rFonts w:hint="eastAsia" w:eastAsiaTheme="minorEastAsia"/>
                <w:color w:val="auto"/>
                <w:sz w:val="24"/>
              </w:rPr>
              <w:t>唐山海港倚硕国际船舶代理有限公司</w:t>
            </w:r>
            <w:r>
              <w:rPr>
                <w:rFonts w:hint="eastAsia"/>
                <w:color w:val="auto"/>
                <w:sz w:val="24"/>
              </w:rPr>
              <w:t>拟投资500万元建设</w:t>
            </w:r>
            <w:r>
              <w:rPr>
                <w:rFonts w:hint="eastAsia" w:eastAsiaTheme="minorEastAsia"/>
                <w:color w:val="auto"/>
                <w:sz w:val="24"/>
              </w:rPr>
              <w:t>唐山海港倚硕国际船舶代理有限公司集装箱拆、装箱项目</w:t>
            </w:r>
            <w:r>
              <w:rPr>
                <w:rFonts w:hint="eastAsia" w:eastAsiaTheme="minorEastAsia"/>
                <w:color w:val="auto"/>
                <w:sz w:val="24"/>
                <w:lang w:eastAsia="zh-CN"/>
              </w:rPr>
              <w:t>，</w:t>
            </w:r>
            <w:r>
              <w:rPr>
                <w:rFonts w:hint="eastAsia" w:eastAsiaTheme="minorEastAsia"/>
                <w:color w:val="FF0000"/>
                <w:sz w:val="24"/>
                <w:lang w:eastAsia="zh-CN"/>
              </w:rPr>
              <w:t>项目运输车辆均为企业自有运输车队，全部采用新能源车辆</w:t>
            </w:r>
            <w:r>
              <w:rPr>
                <w:rFonts w:hint="eastAsia"/>
                <w:color w:val="FF0000"/>
                <w:sz w:val="24"/>
              </w:rPr>
              <w:t>。</w:t>
            </w:r>
          </w:p>
          <w:p w14:paraId="7883A70C">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2</w:t>
            </w:r>
            <w:r>
              <w:rPr>
                <w:rFonts w:ascii="Times New Roman" w:hAnsi="Times New Roman"/>
                <w:b/>
                <w:color w:val="auto"/>
                <w:sz w:val="24"/>
                <w:szCs w:val="24"/>
              </w:rPr>
              <w:t>.项目基本情况</w:t>
            </w:r>
          </w:p>
          <w:p w14:paraId="612E563F">
            <w:pPr>
              <w:spacing w:line="500" w:lineRule="exact"/>
              <w:ind w:left="719" w:leftChars="228" w:hanging="240" w:hangingChars="100"/>
              <w:rPr>
                <w:color w:val="auto"/>
                <w:sz w:val="24"/>
              </w:rPr>
            </w:pPr>
            <w:r>
              <w:rPr>
                <w:rFonts w:hint="eastAsia"/>
                <w:color w:val="auto"/>
                <w:sz w:val="24"/>
              </w:rPr>
              <w:t>1、</w:t>
            </w:r>
            <w:r>
              <w:rPr>
                <w:color w:val="auto"/>
                <w:sz w:val="24"/>
              </w:rPr>
              <w:t>项目名称：</w:t>
            </w:r>
            <w:r>
              <w:rPr>
                <w:rFonts w:hint="eastAsia" w:eastAsiaTheme="minorEastAsia"/>
                <w:color w:val="auto"/>
                <w:sz w:val="24"/>
              </w:rPr>
              <w:t>唐山海港倚硕国际船舶代理有限公司集装箱拆、装箱项目</w:t>
            </w:r>
          </w:p>
          <w:p w14:paraId="4FFF70BD">
            <w:pPr>
              <w:spacing w:line="500" w:lineRule="exact"/>
              <w:ind w:firstLine="480" w:firstLineChars="200"/>
              <w:rPr>
                <w:color w:val="auto"/>
                <w:sz w:val="24"/>
              </w:rPr>
            </w:pPr>
            <w:r>
              <w:rPr>
                <w:rFonts w:hint="eastAsia"/>
                <w:color w:val="auto"/>
                <w:sz w:val="24"/>
              </w:rPr>
              <w:t>2、</w:t>
            </w:r>
            <w:r>
              <w:rPr>
                <w:color w:val="auto"/>
                <w:sz w:val="24"/>
              </w:rPr>
              <w:t>建设单位：</w:t>
            </w:r>
            <w:r>
              <w:rPr>
                <w:rFonts w:hint="eastAsia" w:eastAsiaTheme="minorEastAsia"/>
                <w:color w:val="auto"/>
                <w:sz w:val="24"/>
              </w:rPr>
              <w:t>唐山海港倚硕国际船舶代理有限公司</w:t>
            </w:r>
          </w:p>
          <w:p w14:paraId="39BB0B51">
            <w:pPr>
              <w:spacing w:line="500" w:lineRule="exact"/>
              <w:ind w:firstLine="480" w:firstLineChars="200"/>
              <w:rPr>
                <w:color w:val="auto"/>
                <w:sz w:val="24"/>
              </w:rPr>
            </w:pPr>
            <w:r>
              <w:rPr>
                <w:rFonts w:hint="eastAsia"/>
                <w:color w:val="auto"/>
                <w:sz w:val="24"/>
              </w:rPr>
              <w:t>3、</w:t>
            </w:r>
            <w:r>
              <w:rPr>
                <w:color w:val="auto"/>
                <w:sz w:val="24"/>
              </w:rPr>
              <w:t>建设性质：</w:t>
            </w:r>
            <w:r>
              <w:rPr>
                <w:rFonts w:hint="eastAsia"/>
                <w:color w:val="auto"/>
                <w:sz w:val="24"/>
              </w:rPr>
              <w:t>新建</w:t>
            </w:r>
          </w:p>
          <w:p w14:paraId="163D4AEC">
            <w:pPr>
              <w:pStyle w:val="6"/>
              <w:spacing w:line="500" w:lineRule="exact"/>
              <w:ind w:firstLine="48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建设内容和规模：</w:t>
            </w:r>
            <w:r>
              <w:rPr>
                <w:rFonts w:hint="eastAsia" w:ascii="Times New Roman" w:hAnsi="Times New Roman"/>
                <w:color w:val="auto"/>
                <w:sz w:val="24"/>
              </w:rPr>
              <w:t>主要利用原有车间，2座7500平方米标准化厂房和1座15000平方米标准化厂房以及堆场仓储面积9300 m²和相应配套设施。年集装箱拆、装箱(主要产品为煤炭、矿石、矿粉、废钢、钢材等其它散货)300万吨。</w:t>
            </w:r>
            <w:r>
              <w:rPr>
                <w:rFonts w:hint="eastAsia" w:ascii="Times New Roman" w:hAnsi="Times New Roman"/>
                <w:color w:val="FF0000"/>
                <w:sz w:val="24"/>
                <w:lang w:eastAsia="zh-CN"/>
              </w:rPr>
              <w:t>根据项目实际情况，项目不储存矿粉。</w:t>
            </w:r>
          </w:p>
          <w:p w14:paraId="5D39BF7A">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本项目项目组成详见表</w:t>
            </w:r>
            <w:r>
              <w:rPr>
                <w:rFonts w:hint="eastAsia" w:ascii="Times New Roman" w:hAnsi="Times New Roman" w:eastAsiaTheme="minorEastAsia"/>
                <w:color w:val="auto"/>
                <w:sz w:val="24"/>
                <w:szCs w:val="24"/>
                <w:lang w:val="en-US" w:eastAsia="zh-CN"/>
              </w:rPr>
              <w:t>7</w:t>
            </w:r>
            <w:r>
              <w:rPr>
                <w:rFonts w:hint="eastAsia" w:ascii="Times New Roman" w:hAnsi="Times New Roman" w:eastAsiaTheme="minorEastAsia"/>
                <w:color w:val="auto"/>
                <w:sz w:val="24"/>
                <w:szCs w:val="24"/>
              </w:rPr>
              <w:t>，本项目主要建构筑物见表</w:t>
            </w:r>
            <w:r>
              <w:rPr>
                <w:rFonts w:hint="eastAsia" w:ascii="Times New Roman" w:hAnsi="Times New Roman" w:eastAsiaTheme="minorEastAsia"/>
                <w:color w:val="auto"/>
                <w:sz w:val="24"/>
                <w:szCs w:val="24"/>
                <w:lang w:val="en-US" w:eastAsia="zh-CN"/>
              </w:rPr>
              <w:t>8</w:t>
            </w:r>
            <w:r>
              <w:rPr>
                <w:rFonts w:ascii="Times New Roman" w:hAnsi="Times New Roman" w:eastAsiaTheme="minorEastAsia"/>
                <w:color w:val="auto"/>
                <w:sz w:val="24"/>
                <w:szCs w:val="24"/>
              </w:rPr>
              <w:t>。</w:t>
            </w:r>
          </w:p>
          <w:p w14:paraId="40599C94">
            <w:pPr>
              <w:pStyle w:val="6"/>
              <w:numPr>
                <w:ilvl w:val="0"/>
                <w:numId w:val="0"/>
              </w:numPr>
              <w:tabs>
                <w:tab w:val="left" w:pos="0"/>
              </w:tabs>
              <w:spacing w:line="500" w:lineRule="exact"/>
              <w:ind w:left="3373" w:leftChars="0" w:hanging="3373" w:hangingChars="1400"/>
              <w:jc w:val="center"/>
              <w:rPr>
                <w:rFonts w:ascii="Times New Roman" w:hAnsi="Times New Roman" w:eastAsiaTheme="minorEastAsia"/>
                <w:b/>
                <w:color w:val="auto"/>
                <w:sz w:val="24"/>
                <w:szCs w:val="24"/>
              </w:rPr>
            </w:pPr>
            <w:r>
              <w:rPr>
                <w:rFonts w:hint="default" w:ascii="Times New Roman" w:hAnsi="Times New Roman" w:cs="Arial" w:eastAsiaTheme="minorEastAsia"/>
                <w:b/>
                <w:bCs/>
                <w:color w:val="auto"/>
                <w:kern w:val="2"/>
                <w:sz w:val="24"/>
                <w:szCs w:val="24"/>
                <w:lang w:val="en-US" w:eastAsia="zh-CN" w:bidi="ar-SA"/>
              </w:rPr>
              <w:t>表</w:t>
            </w:r>
            <w:r>
              <w:rPr>
                <w:rFonts w:hint="eastAsia" w:ascii="Times New Roman" w:hAnsi="Times New Roman" w:cs="Arial" w:eastAsiaTheme="minorEastAsia"/>
                <w:b/>
                <w:bCs/>
                <w:color w:val="auto"/>
                <w:kern w:val="2"/>
                <w:sz w:val="24"/>
                <w:szCs w:val="24"/>
                <w:lang w:val="en-US" w:eastAsia="zh-CN" w:bidi="ar-SA"/>
              </w:rPr>
              <w:t>7</w:t>
            </w:r>
            <w:r>
              <w:rPr>
                <w:rFonts w:hint="eastAsia" w:ascii="Times New Roman" w:hAnsi="Times New Roman" w:eastAsiaTheme="minorEastAsia"/>
                <w:b/>
                <w:color w:val="auto"/>
                <w:sz w:val="24"/>
                <w:szCs w:val="24"/>
                <w:lang w:val="en-US" w:eastAsia="zh-CN"/>
              </w:rPr>
              <w:t xml:space="preserve"> </w:t>
            </w:r>
            <w:r>
              <w:rPr>
                <w:rFonts w:hint="eastAsia" w:ascii="Times New Roman" w:hAnsi="Times New Roman" w:eastAsiaTheme="minorEastAsia"/>
                <w:b/>
                <w:color w:val="auto"/>
                <w:sz w:val="24"/>
                <w:szCs w:val="24"/>
              </w:rPr>
              <w:t xml:space="preserve">  项目组成一览表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38"/>
              <w:gridCol w:w="5224"/>
              <w:gridCol w:w="739"/>
            </w:tblGrid>
            <w:tr w14:paraId="43623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tcBorders>
                    <w:tl2br w:val="nil"/>
                    <w:tr2bl w:val="nil"/>
                  </w:tcBorders>
                  <w:vAlign w:val="center"/>
                </w:tcPr>
                <w:p w14:paraId="69A97E5A">
                  <w:pPr>
                    <w:tabs>
                      <w:tab w:val="left" w:pos="1463"/>
                    </w:tabs>
                    <w:spacing w:line="320" w:lineRule="exact"/>
                    <w:jc w:val="center"/>
                    <w:rPr>
                      <w:b/>
                      <w:color w:val="auto"/>
                      <w:szCs w:val="21"/>
                    </w:rPr>
                  </w:pPr>
                  <w:r>
                    <w:rPr>
                      <w:rFonts w:hint="eastAsia"/>
                      <w:b/>
                      <w:color w:val="auto"/>
                      <w:szCs w:val="21"/>
                    </w:rPr>
                    <w:t>项目组成</w:t>
                  </w:r>
                </w:p>
              </w:tc>
              <w:tc>
                <w:tcPr>
                  <w:tcW w:w="876" w:type="pct"/>
                  <w:tcBorders>
                    <w:tl2br w:val="nil"/>
                    <w:tr2bl w:val="nil"/>
                  </w:tcBorders>
                  <w:vAlign w:val="center"/>
                </w:tcPr>
                <w:p w14:paraId="2BA3DDCB">
                  <w:pPr>
                    <w:tabs>
                      <w:tab w:val="left" w:pos="1463"/>
                    </w:tabs>
                    <w:spacing w:line="320" w:lineRule="exact"/>
                    <w:jc w:val="center"/>
                    <w:rPr>
                      <w:b/>
                      <w:color w:val="auto"/>
                      <w:szCs w:val="21"/>
                    </w:rPr>
                  </w:pPr>
                  <w:r>
                    <w:rPr>
                      <w:b/>
                      <w:color w:val="auto"/>
                      <w:szCs w:val="21"/>
                    </w:rPr>
                    <w:t>名称</w:t>
                  </w:r>
                </w:p>
              </w:tc>
              <w:tc>
                <w:tcPr>
                  <w:tcW w:w="3182" w:type="pct"/>
                  <w:tcBorders>
                    <w:tl2br w:val="nil"/>
                    <w:tr2bl w:val="nil"/>
                  </w:tcBorders>
                  <w:vAlign w:val="center"/>
                </w:tcPr>
                <w:p w14:paraId="654627EB">
                  <w:pPr>
                    <w:spacing w:line="320" w:lineRule="exact"/>
                    <w:jc w:val="center"/>
                    <w:rPr>
                      <w:b/>
                      <w:color w:val="auto"/>
                      <w:szCs w:val="21"/>
                    </w:rPr>
                  </w:pPr>
                  <w:r>
                    <w:rPr>
                      <w:b/>
                      <w:color w:val="auto"/>
                      <w:szCs w:val="21"/>
                    </w:rPr>
                    <w:t>主要建设内容</w:t>
                  </w:r>
                </w:p>
              </w:tc>
              <w:tc>
                <w:tcPr>
                  <w:tcW w:w="450" w:type="pct"/>
                  <w:tcBorders>
                    <w:tl2br w:val="nil"/>
                    <w:tr2bl w:val="nil"/>
                  </w:tcBorders>
                  <w:vAlign w:val="center"/>
                </w:tcPr>
                <w:p w14:paraId="2FCC110F">
                  <w:pPr>
                    <w:spacing w:line="320" w:lineRule="exact"/>
                    <w:jc w:val="center"/>
                    <w:rPr>
                      <w:b/>
                      <w:color w:val="auto"/>
                      <w:szCs w:val="21"/>
                    </w:rPr>
                  </w:pPr>
                  <w:r>
                    <w:rPr>
                      <w:b/>
                      <w:color w:val="auto"/>
                      <w:szCs w:val="21"/>
                    </w:rPr>
                    <w:t>备注</w:t>
                  </w:r>
                </w:p>
              </w:tc>
            </w:tr>
            <w:tr w14:paraId="12775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91" w:type="pct"/>
                  <w:vMerge w:val="restart"/>
                  <w:tcBorders>
                    <w:tl2br w:val="nil"/>
                    <w:tr2bl w:val="nil"/>
                  </w:tcBorders>
                  <w:vAlign w:val="center"/>
                </w:tcPr>
                <w:p w14:paraId="70F43C7D">
                  <w:pPr>
                    <w:spacing w:line="320" w:lineRule="exact"/>
                    <w:jc w:val="center"/>
                    <w:rPr>
                      <w:color w:val="auto"/>
                      <w:szCs w:val="21"/>
                    </w:rPr>
                  </w:pPr>
                  <w:r>
                    <w:rPr>
                      <w:color w:val="auto"/>
                      <w:szCs w:val="21"/>
                    </w:rPr>
                    <w:t>主体工程</w:t>
                  </w:r>
                </w:p>
              </w:tc>
              <w:tc>
                <w:tcPr>
                  <w:tcW w:w="876" w:type="pct"/>
                  <w:tcBorders>
                    <w:tl2br w:val="nil"/>
                    <w:tr2bl w:val="nil"/>
                  </w:tcBorders>
                  <w:vAlign w:val="center"/>
                </w:tcPr>
                <w:p w14:paraId="4ED3B706">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eastAsia="zh-CN"/>
                    </w:rPr>
                    <w:t>厂房</w:t>
                  </w:r>
                </w:p>
              </w:tc>
              <w:tc>
                <w:tcPr>
                  <w:tcW w:w="3182" w:type="pct"/>
                  <w:tcBorders>
                    <w:tl2br w:val="nil"/>
                    <w:tr2bl w:val="nil"/>
                  </w:tcBorders>
                  <w:vAlign w:val="center"/>
                </w:tcPr>
                <w:p w14:paraId="28AD06C6">
                  <w:pPr>
                    <w:spacing w:line="320" w:lineRule="exact"/>
                    <w:jc w:val="center"/>
                    <w:rPr>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7500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lang w:val="en-US" w:eastAsia="zh-CN"/>
                    </w:rPr>
                    <w:t>150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5</w:t>
                  </w:r>
                  <w:r>
                    <w:rPr>
                      <w:rFonts w:hint="eastAsia"/>
                      <w:color w:val="auto"/>
                      <w:kern w:val="0"/>
                      <w:szCs w:val="21"/>
                      <w:highlight w:val="none"/>
                      <w:lang w:val="en-US" w:eastAsia="zh-CN"/>
                    </w:rPr>
                    <w:t>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煤炭</w:t>
                  </w:r>
                  <w:r>
                    <w:rPr>
                      <w:rFonts w:hint="eastAsia"/>
                      <w:color w:val="auto"/>
                      <w:kern w:val="0"/>
                      <w:szCs w:val="21"/>
                      <w:highlight w:val="none"/>
                    </w:rPr>
                    <w:t>的储存和转运</w:t>
                  </w:r>
                </w:p>
              </w:tc>
              <w:tc>
                <w:tcPr>
                  <w:tcW w:w="450" w:type="pct"/>
                  <w:tcBorders>
                    <w:tl2br w:val="nil"/>
                    <w:tr2bl w:val="nil"/>
                  </w:tcBorders>
                  <w:vAlign w:val="center"/>
                </w:tcPr>
                <w:p w14:paraId="0E248F39">
                  <w:pPr>
                    <w:spacing w:line="320" w:lineRule="exact"/>
                    <w:jc w:val="center"/>
                    <w:rPr>
                      <w:rFonts w:hint="eastAsia" w:eastAsia="宋体"/>
                      <w:color w:val="auto"/>
                      <w:szCs w:val="21"/>
                      <w:lang w:eastAsia="zh-CN"/>
                    </w:rPr>
                  </w:pPr>
                  <w:r>
                    <w:rPr>
                      <w:rFonts w:hint="eastAsia"/>
                      <w:color w:val="auto"/>
                      <w:szCs w:val="21"/>
                      <w:lang w:eastAsia="zh-CN"/>
                    </w:rPr>
                    <w:t>租赁现有</w:t>
                  </w:r>
                </w:p>
              </w:tc>
            </w:tr>
            <w:tr w14:paraId="5232C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1" w:type="pct"/>
                  <w:vMerge w:val="continue"/>
                  <w:tcBorders>
                    <w:tl2br w:val="nil"/>
                    <w:tr2bl w:val="nil"/>
                  </w:tcBorders>
                  <w:vAlign w:val="center"/>
                </w:tcPr>
                <w:p w14:paraId="1C4291DA">
                  <w:pPr>
                    <w:spacing w:line="320" w:lineRule="exact"/>
                    <w:jc w:val="center"/>
                    <w:rPr>
                      <w:color w:val="auto"/>
                      <w:szCs w:val="21"/>
                    </w:rPr>
                  </w:pPr>
                </w:p>
              </w:tc>
              <w:tc>
                <w:tcPr>
                  <w:tcW w:w="876" w:type="pct"/>
                  <w:tcBorders>
                    <w:tl2br w:val="nil"/>
                    <w:tr2bl w:val="nil"/>
                  </w:tcBorders>
                  <w:vAlign w:val="center"/>
                </w:tcPr>
                <w:p w14:paraId="4FACAC61">
                  <w:pPr>
                    <w:spacing w:line="320" w:lineRule="exact"/>
                    <w:jc w:val="center"/>
                    <w:rPr>
                      <w:rFonts w:hint="eastAsia" w:eastAsia="宋体"/>
                      <w:color w:val="auto"/>
                      <w:szCs w:val="21"/>
                      <w:lang w:eastAsia="zh-CN"/>
                    </w:rPr>
                  </w:pPr>
                  <w:r>
                    <w:rPr>
                      <w:rFonts w:hint="eastAsia"/>
                      <w:color w:val="auto"/>
                      <w:szCs w:val="21"/>
                    </w:rPr>
                    <w:t>2#</w:t>
                  </w:r>
                  <w:r>
                    <w:rPr>
                      <w:rFonts w:hint="eastAsia"/>
                      <w:color w:val="auto"/>
                      <w:szCs w:val="21"/>
                      <w:lang w:eastAsia="zh-CN"/>
                    </w:rPr>
                    <w:t>厂房</w:t>
                  </w:r>
                </w:p>
              </w:tc>
              <w:tc>
                <w:tcPr>
                  <w:tcW w:w="3182" w:type="pct"/>
                  <w:tcBorders>
                    <w:tl2br w:val="nil"/>
                    <w:tr2bl w:val="nil"/>
                  </w:tcBorders>
                  <w:vAlign w:val="center"/>
                </w:tcPr>
                <w:p w14:paraId="3C70DC03">
                  <w:pPr>
                    <w:spacing w:line="320" w:lineRule="exact"/>
                    <w:jc w:val="center"/>
                    <w:rPr>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7500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rPr>
                    <w:t>1</w:t>
                  </w:r>
                  <w:r>
                    <w:rPr>
                      <w:rFonts w:hint="eastAsia"/>
                      <w:color w:val="auto"/>
                      <w:kern w:val="0"/>
                      <w:szCs w:val="21"/>
                      <w:highlight w:val="none"/>
                      <w:lang w:val="en-US" w:eastAsia="zh-CN"/>
                    </w:rPr>
                    <w:t>5</w:t>
                  </w:r>
                  <w:r>
                    <w:rPr>
                      <w:rFonts w:hint="eastAsia"/>
                      <w:color w:val="auto"/>
                      <w:kern w:val="0"/>
                      <w:szCs w:val="21"/>
                      <w:highlight w:val="none"/>
                    </w:rPr>
                    <w:t>0m</w:t>
                  </w:r>
                  <w:r>
                    <w:rPr>
                      <w:color w:val="auto"/>
                      <w:kern w:val="0"/>
                      <w:szCs w:val="21"/>
                      <w:highlight w:val="none"/>
                    </w:rPr>
                    <w:t>×</w:t>
                  </w:r>
                  <w:r>
                    <w:rPr>
                      <w:rFonts w:hint="eastAsia"/>
                      <w:color w:val="auto"/>
                      <w:kern w:val="0"/>
                      <w:szCs w:val="21"/>
                      <w:highlight w:val="none"/>
                    </w:rPr>
                    <w:t>5</w:t>
                  </w:r>
                  <w:r>
                    <w:rPr>
                      <w:rFonts w:hint="eastAsia"/>
                      <w:color w:val="auto"/>
                      <w:kern w:val="0"/>
                      <w:szCs w:val="21"/>
                      <w:highlight w:val="none"/>
                      <w:lang w:val="en-US" w:eastAsia="zh-CN"/>
                    </w:rPr>
                    <w:t>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矿石、废钢</w:t>
                  </w:r>
                  <w:r>
                    <w:rPr>
                      <w:rFonts w:hint="eastAsia"/>
                      <w:color w:val="auto"/>
                      <w:kern w:val="0"/>
                      <w:szCs w:val="21"/>
                      <w:highlight w:val="none"/>
                    </w:rPr>
                    <w:t>的储存和转运</w:t>
                  </w:r>
                </w:p>
              </w:tc>
              <w:tc>
                <w:tcPr>
                  <w:tcW w:w="450" w:type="pct"/>
                  <w:tcBorders>
                    <w:tl2br w:val="nil"/>
                    <w:tr2bl w:val="nil"/>
                  </w:tcBorders>
                  <w:vAlign w:val="center"/>
                </w:tcPr>
                <w:p w14:paraId="759211B5">
                  <w:pPr>
                    <w:spacing w:line="320" w:lineRule="exact"/>
                    <w:jc w:val="center"/>
                    <w:rPr>
                      <w:rFonts w:hint="eastAsia" w:eastAsia="宋体"/>
                      <w:color w:val="auto"/>
                      <w:szCs w:val="21"/>
                      <w:lang w:eastAsia="zh-CN"/>
                    </w:rPr>
                  </w:pPr>
                  <w:r>
                    <w:rPr>
                      <w:rFonts w:hint="eastAsia"/>
                      <w:color w:val="auto"/>
                      <w:szCs w:val="21"/>
                      <w:lang w:eastAsia="zh-CN"/>
                    </w:rPr>
                    <w:t>租赁现有</w:t>
                  </w:r>
                </w:p>
              </w:tc>
            </w:tr>
            <w:tr w14:paraId="4BD8B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54A8FB21">
                  <w:pPr>
                    <w:spacing w:line="320" w:lineRule="exact"/>
                    <w:jc w:val="center"/>
                    <w:rPr>
                      <w:color w:val="auto"/>
                      <w:szCs w:val="21"/>
                    </w:rPr>
                  </w:pPr>
                </w:p>
              </w:tc>
              <w:tc>
                <w:tcPr>
                  <w:tcW w:w="876" w:type="pct"/>
                  <w:tcBorders>
                    <w:tl2br w:val="nil"/>
                    <w:tr2bl w:val="nil"/>
                  </w:tcBorders>
                  <w:vAlign w:val="center"/>
                </w:tcPr>
                <w:p w14:paraId="45D067A5">
                  <w:pPr>
                    <w:spacing w:line="320" w:lineRule="exact"/>
                    <w:jc w:val="center"/>
                    <w:rPr>
                      <w:rFonts w:hint="default" w:eastAsia="宋体"/>
                      <w:color w:val="auto"/>
                      <w:szCs w:val="21"/>
                      <w:lang w:val="en-US" w:eastAsia="zh-CN"/>
                    </w:rPr>
                  </w:pPr>
                  <w:r>
                    <w:rPr>
                      <w:rFonts w:hint="eastAsia"/>
                      <w:color w:val="auto"/>
                      <w:szCs w:val="21"/>
                      <w:lang w:val="en-US" w:eastAsia="zh-CN"/>
                    </w:rPr>
                    <w:t>3#厂房</w:t>
                  </w:r>
                </w:p>
              </w:tc>
              <w:tc>
                <w:tcPr>
                  <w:tcW w:w="3182" w:type="pct"/>
                  <w:tcBorders>
                    <w:tl2br w:val="nil"/>
                    <w:tr2bl w:val="nil"/>
                  </w:tcBorders>
                  <w:vAlign w:val="center"/>
                </w:tcPr>
                <w:p w14:paraId="658AE17D">
                  <w:pPr>
                    <w:spacing w:line="320" w:lineRule="exact"/>
                    <w:jc w:val="center"/>
                    <w:rPr>
                      <w:rFonts w:hint="eastAsia"/>
                      <w:color w:val="auto"/>
                      <w:szCs w:val="21"/>
                      <w:highlight w:val="none"/>
                    </w:rPr>
                  </w:pPr>
                  <w:r>
                    <w:rPr>
                      <w:rFonts w:hint="eastAsia"/>
                      <w:color w:val="auto"/>
                      <w:szCs w:val="21"/>
                      <w:highlight w:val="none"/>
                    </w:rPr>
                    <w:t>1F，建筑面积</w:t>
                  </w:r>
                  <w:r>
                    <w:rPr>
                      <w:rFonts w:hint="eastAsia"/>
                      <w:color w:val="auto"/>
                      <w:szCs w:val="21"/>
                      <w:highlight w:val="none"/>
                      <w:lang w:val="en-US" w:eastAsia="zh-CN"/>
                    </w:rPr>
                    <w:t>15000</w:t>
                  </w:r>
                  <w:r>
                    <w:rPr>
                      <w:color w:val="auto"/>
                      <w:szCs w:val="21"/>
                      <w:highlight w:val="none"/>
                    </w:rPr>
                    <w:t>m</w:t>
                  </w:r>
                  <w:r>
                    <w:rPr>
                      <w:color w:val="auto"/>
                      <w:szCs w:val="21"/>
                      <w:highlight w:val="none"/>
                      <w:vertAlign w:val="superscript"/>
                    </w:rPr>
                    <w:t>2</w:t>
                  </w:r>
                  <w:r>
                    <w:rPr>
                      <w:rFonts w:hint="eastAsia"/>
                      <w:color w:val="auto"/>
                      <w:szCs w:val="21"/>
                      <w:highlight w:val="none"/>
                    </w:rPr>
                    <w:t>，2.5m基础墙+单层钢结构，规格</w:t>
                  </w:r>
                  <w:r>
                    <w:rPr>
                      <w:rFonts w:hint="eastAsia"/>
                      <w:color w:val="auto"/>
                      <w:kern w:val="0"/>
                      <w:szCs w:val="21"/>
                      <w:highlight w:val="none"/>
                    </w:rPr>
                    <w:t>1</w:t>
                  </w:r>
                  <w:r>
                    <w:rPr>
                      <w:rFonts w:hint="eastAsia"/>
                      <w:color w:val="auto"/>
                      <w:kern w:val="0"/>
                      <w:szCs w:val="21"/>
                      <w:highlight w:val="none"/>
                      <w:lang w:val="en-US" w:eastAsia="zh-CN"/>
                    </w:rPr>
                    <w:t>5</w:t>
                  </w:r>
                  <w:r>
                    <w:rPr>
                      <w:rFonts w:hint="eastAsia"/>
                      <w:color w:val="auto"/>
                      <w:kern w:val="0"/>
                      <w:szCs w:val="21"/>
                      <w:highlight w:val="none"/>
                    </w:rPr>
                    <w:t>0m</w:t>
                  </w:r>
                  <w:r>
                    <w:rPr>
                      <w:color w:val="auto"/>
                      <w:kern w:val="0"/>
                      <w:szCs w:val="21"/>
                      <w:highlight w:val="none"/>
                    </w:rPr>
                    <w:t>×</w:t>
                  </w:r>
                  <w:r>
                    <w:rPr>
                      <w:rFonts w:hint="eastAsia"/>
                      <w:color w:val="auto"/>
                      <w:kern w:val="0"/>
                      <w:szCs w:val="21"/>
                      <w:highlight w:val="none"/>
                      <w:lang w:val="en-US" w:eastAsia="zh-CN"/>
                    </w:rPr>
                    <w:t>100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rPr>
                    <w:t>11.5m，主要用于</w:t>
                  </w:r>
                  <w:r>
                    <w:rPr>
                      <w:rFonts w:hint="eastAsia"/>
                      <w:color w:val="auto"/>
                      <w:kern w:val="0"/>
                      <w:szCs w:val="21"/>
                      <w:highlight w:val="none"/>
                      <w:lang w:eastAsia="zh-CN"/>
                    </w:rPr>
                    <w:t>煤炭</w:t>
                  </w:r>
                  <w:r>
                    <w:rPr>
                      <w:rFonts w:hint="eastAsia"/>
                      <w:color w:val="auto"/>
                      <w:kern w:val="0"/>
                      <w:szCs w:val="21"/>
                      <w:highlight w:val="none"/>
                    </w:rPr>
                    <w:t>的储存和转运</w:t>
                  </w:r>
                </w:p>
              </w:tc>
              <w:tc>
                <w:tcPr>
                  <w:tcW w:w="450" w:type="pct"/>
                  <w:tcBorders>
                    <w:tl2br w:val="nil"/>
                    <w:tr2bl w:val="nil"/>
                  </w:tcBorders>
                  <w:vAlign w:val="center"/>
                </w:tcPr>
                <w:p w14:paraId="404BCA86">
                  <w:pPr>
                    <w:spacing w:line="320" w:lineRule="exact"/>
                    <w:jc w:val="center"/>
                    <w:rPr>
                      <w:rFonts w:hint="eastAsia"/>
                      <w:color w:val="auto"/>
                      <w:szCs w:val="21"/>
                      <w:lang w:eastAsia="zh-CN"/>
                    </w:rPr>
                  </w:pPr>
                  <w:r>
                    <w:rPr>
                      <w:rFonts w:hint="eastAsia"/>
                      <w:color w:val="auto"/>
                      <w:szCs w:val="21"/>
                      <w:lang w:eastAsia="zh-CN"/>
                    </w:rPr>
                    <w:t>租赁现有</w:t>
                  </w:r>
                </w:p>
              </w:tc>
            </w:tr>
            <w:tr w14:paraId="15114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1" w:type="pct"/>
                  <w:vMerge w:val="continue"/>
                  <w:tcBorders>
                    <w:tl2br w:val="nil"/>
                    <w:tr2bl w:val="nil"/>
                  </w:tcBorders>
                  <w:vAlign w:val="center"/>
                </w:tcPr>
                <w:p w14:paraId="451A9235">
                  <w:pPr>
                    <w:spacing w:line="320" w:lineRule="exact"/>
                    <w:jc w:val="center"/>
                    <w:rPr>
                      <w:color w:val="auto"/>
                      <w:szCs w:val="21"/>
                    </w:rPr>
                  </w:pPr>
                </w:p>
              </w:tc>
              <w:tc>
                <w:tcPr>
                  <w:tcW w:w="876" w:type="pct"/>
                  <w:tcBorders>
                    <w:tl2br w:val="nil"/>
                    <w:tr2bl w:val="nil"/>
                  </w:tcBorders>
                  <w:vAlign w:val="center"/>
                </w:tcPr>
                <w:p w14:paraId="2F3B8B26">
                  <w:pPr>
                    <w:spacing w:line="320" w:lineRule="exact"/>
                    <w:jc w:val="center"/>
                    <w:rPr>
                      <w:rFonts w:hint="eastAsia" w:eastAsia="宋体"/>
                      <w:color w:val="auto"/>
                      <w:szCs w:val="21"/>
                      <w:lang w:eastAsia="zh-CN"/>
                    </w:rPr>
                  </w:pPr>
                  <w:r>
                    <w:rPr>
                      <w:rFonts w:hint="eastAsia"/>
                      <w:color w:val="auto"/>
                      <w:szCs w:val="21"/>
                      <w:lang w:eastAsia="zh-CN"/>
                    </w:rPr>
                    <w:t>堆场</w:t>
                  </w:r>
                </w:p>
              </w:tc>
              <w:tc>
                <w:tcPr>
                  <w:tcW w:w="3182" w:type="pct"/>
                  <w:tcBorders>
                    <w:tl2br w:val="nil"/>
                    <w:tr2bl w:val="nil"/>
                  </w:tcBorders>
                  <w:vAlign w:val="center"/>
                </w:tcPr>
                <w:p w14:paraId="23FF7D4A">
                  <w:pPr>
                    <w:spacing w:line="320" w:lineRule="exact"/>
                    <w:jc w:val="center"/>
                    <w:rPr>
                      <w:rFonts w:hint="eastAsia" w:eastAsia="宋体"/>
                      <w:color w:val="auto"/>
                      <w:szCs w:val="21"/>
                      <w:highlight w:val="none"/>
                      <w:lang w:val="en-US" w:eastAsia="zh-CN"/>
                    </w:rPr>
                  </w:pPr>
                  <w:r>
                    <w:rPr>
                      <w:rFonts w:hint="eastAsia"/>
                      <w:color w:val="auto"/>
                      <w:sz w:val="21"/>
                      <w:szCs w:val="21"/>
                      <w:highlight w:val="none"/>
                      <w:lang w:eastAsia="zh-CN"/>
                    </w:rPr>
                    <w:t>露天堆存场，占地</w:t>
                  </w:r>
                  <w:r>
                    <w:rPr>
                      <w:rFonts w:hint="eastAsia"/>
                      <w:color w:val="auto"/>
                      <w:sz w:val="21"/>
                      <w:szCs w:val="21"/>
                      <w:highlight w:val="none"/>
                      <w:lang w:val="en-US" w:eastAsia="zh-CN"/>
                    </w:rPr>
                    <w:t>9300</w:t>
                  </w:r>
                  <w:r>
                    <w:rPr>
                      <w:rFonts w:hint="eastAsia" w:ascii="Times New Roman" w:hAnsi="Times New Roman"/>
                      <w:color w:val="auto"/>
                      <w:sz w:val="21"/>
                      <w:szCs w:val="21"/>
                    </w:rPr>
                    <w:t>m</w:t>
                  </w:r>
                  <w:r>
                    <w:rPr>
                      <w:color w:val="auto"/>
                      <w:szCs w:val="21"/>
                      <w:highlight w:val="none"/>
                      <w:vertAlign w:val="superscript"/>
                    </w:rPr>
                    <w:t>2</w:t>
                  </w:r>
                  <w:r>
                    <w:rPr>
                      <w:rFonts w:hint="eastAsia"/>
                      <w:color w:val="auto"/>
                      <w:sz w:val="21"/>
                      <w:szCs w:val="21"/>
                      <w:lang w:eastAsia="zh-CN"/>
                    </w:rPr>
                    <w:t>，</w:t>
                  </w:r>
                  <w:r>
                    <w:rPr>
                      <w:rFonts w:hint="eastAsia"/>
                      <w:color w:val="auto"/>
                      <w:kern w:val="0"/>
                      <w:szCs w:val="21"/>
                      <w:highlight w:val="none"/>
                    </w:rPr>
                    <w:t>1</w:t>
                  </w:r>
                  <w:r>
                    <w:rPr>
                      <w:rFonts w:hint="eastAsia"/>
                      <w:color w:val="auto"/>
                      <w:kern w:val="0"/>
                      <w:szCs w:val="21"/>
                      <w:highlight w:val="none"/>
                      <w:lang w:val="en-US" w:eastAsia="zh-CN"/>
                    </w:rPr>
                    <w:t>00</w:t>
                  </w:r>
                  <w:r>
                    <w:rPr>
                      <w:rFonts w:hint="eastAsia"/>
                      <w:color w:val="auto"/>
                      <w:kern w:val="0"/>
                      <w:szCs w:val="21"/>
                      <w:highlight w:val="none"/>
                    </w:rPr>
                    <w:t>m</w:t>
                  </w:r>
                  <w:r>
                    <w:rPr>
                      <w:color w:val="auto"/>
                      <w:kern w:val="0"/>
                      <w:szCs w:val="21"/>
                      <w:highlight w:val="none"/>
                    </w:rPr>
                    <w:t>×</w:t>
                  </w:r>
                  <w:r>
                    <w:rPr>
                      <w:rFonts w:hint="eastAsia"/>
                      <w:color w:val="auto"/>
                      <w:kern w:val="0"/>
                      <w:szCs w:val="21"/>
                      <w:highlight w:val="none"/>
                      <w:lang w:val="en-US" w:eastAsia="zh-CN"/>
                    </w:rPr>
                    <w:t>93</w:t>
                  </w:r>
                  <w:r>
                    <w:rPr>
                      <w:rFonts w:hint="eastAsia"/>
                      <w:color w:val="auto"/>
                      <w:kern w:val="0"/>
                      <w:szCs w:val="21"/>
                      <w:highlight w:val="none"/>
                    </w:rPr>
                    <w:t>m</w:t>
                  </w:r>
                  <w:r>
                    <w:rPr>
                      <w:rFonts w:hint="eastAsia"/>
                      <w:color w:val="auto"/>
                      <w:sz w:val="21"/>
                      <w:szCs w:val="21"/>
                      <w:lang w:eastAsia="zh-CN"/>
                    </w:rPr>
                    <w:t>用于钢材储存</w:t>
                  </w:r>
                </w:p>
              </w:tc>
              <w:tc>
                <w:tcPr>
                  <w:tcW w:w="450" w:type="pct"/>
                  <w:tcBorders>
                    <w:tl2br w:val="nil"/>
                    <w:tr2bl w:val="nil"/>
                  </w:tcBorders>
                  <w:vAlign w:val="center"/>
                </w:tcPr>
                <w:p w14:paraId="27BD3982">
                  <w:pPr>
                    <w:spacing w:line="320" w:lineRule="exact"/>
                    <w:jc w:val="center"/>
                    <w:rPr>
                      <w:rFonts w:hint="eastAsia"/>
                      <w:color w:val="auto"/>
                      <w:szCs w:val="21"/>
                      <w:lang w:eastAsia="zh-CN"/>
                    </w:rPr>
                  </w:pPr>
                  <w:r>
                    <w:rPr>
                      <w:rFonts w:hint="eastAsia"/>
                      <w:color w:val="auto"/>
                      <w:szCs w:val="21"/>
                      <w:lang w:eastAsia="zh-CN"/>
                    </w:rPr>
                    <w:t>租赁现有</w:t>
                  </w:r>
                </w:p>
              </w:tc>
            </w:tr>
            <w:tr w14:paraId="0B20D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527F98E0">
                  <w:pPr>
                    <w:spacing w:line="320" w:lineRule="exact"/>
                    <w:jc w:val="center"/>
                    <w:rPr>
                      <w:color w:val="auto"/>
                      <w:szCs w:val="21"/>
                    </w:rPr>
                  </w:pPr>
                  <w:r>
                    <w:rPr>
                      <w:color w:val="auto"/>
                      <w:lang w:val="zh-CN"/>
                    </w:rPr>
                    <w:t>辅助工程</w:t>
                  </w:r>
                </w:p>
              </w:tc>
              <w:tc>
                <w:tcPr>
                  <w:tcW w:w="876" w:type="pct"/>
                  <w:tcBorders>
                    <w:tl2br w:val="nil"/>
                    <w:tr2bl w:val="nil"/>
                  </w:tcBorders>
                  <w:vAlign w:val="center"/>
                </w:tcPr>
                <w:p w14:paraId="5E328E65">
                  <w:pPr>
                    <w:snapToGrid w:val="0"/>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rPr>
                    <w:t>地磅房</w:t>
                  </w:r>
                </w:p>
              </w:tc>
              <w:tc>
                <w:tcPr>
                  <w:tcW w:w="3182" w:type="pct"/>
                  <w:tcBorders>
                    <w:tl2br w:val="nil"/>
                    <w:tr2bl w:val="nil"/>
                  </w:tcBorders>
                  <w:vAlign w:val="center"/>
                </w:tcPr>
                <w:p w14:paraId="453A1447">
                  <w:pPr>
                    <w:spacing w:line="320" w:lineRule="exact"/>
                    <w:jc w:val="center"/>
                    <w:rPr>
                      <w:rFonts w:ascii="Times New Roman" w:hAnsi="Times New Roman" w:eastAsia="宋体" w:cs="Times New Roman"/>
                      <w:color w:val="auto"/>
                      <w:kern w:val="2"/>
                      <w:sz w:val="21"/>
                      <w:szCs w:val="21"/>
                      <w:lang w:val="en-US" w:eastAsia="zh-CN" w:bidi="ar-SA"/>
                    </w:rPr>
                  </w:pPr>
                  <w:r>
                    <w:rPr>
                      <w:rFonts w:hint="eastAsia"/>
                      <w:color w:val="auto"/>
                      <w:szCs w:val="21"/>
                    </w:rPr>
                    <w:t>1F，</w:t>
                  </w:r>
                  <w:r>
                    <w:rPr>
                      <w:rFonts w:hint="eastAsia"/>
                      <w:color w:val="auto"/>
                      <w:szCs w:val="21"/>
                      <w:highlight w:val="none"/>
                    </w:rPr>
                    <w:t>建筑面积</w:t>
                  </w:r>
                  <w:r>
                    <w:rPr>
                      <w:rFonts w:hint="eastAsia"/>
                      <w:color w:val="auto"/>
                      <w:szCs w:val="21"/>
                      <w:highlight w:val="none"/>
                      <w:lang w:val="en-US" w:eastAsia="zh-CN"/>
                    </w:rPr>
                    <w:t>50</w:t>
                  </w:r>
                  <w:r>
                    <w:rPr>
                      <w:color w:val="auto"/>
                      <w:szCs w:val="21"/>
                      <w:highlight w:val="none"/>
                    </w:rPr>
                    <w:t>m</w:t>
                  </w:r>
                  <w:r>
                    <w:rPr>
                      <w:color w:val="auto"/>
                      <w:szCs w:val="21"/>
                      <w:highlight w:val="none"/>
                      <w:vertAlign w:val="superscript"/>
                    </w:rPr>
                    <w:t>2</w:t>
                  </w:r>
                  <w:r>
                    <w:rPr>
                      <w:rFonts w:hint="eastAsia"/>
                      <w:color w:val="auto"/>
                      <w:szCs w:val="21"/>
                      <w:highlight w:val="none"/>
                    </w:rPr>
                    <w:t>，</w:t>
                  </w:r>
                  <w:r>
                    <w:rPr>
                      <w:rFonts w:hint="eastAsia"/>
                      <w:color w:val="auto"/>
                      <w:szCs w:val="21"/>
                      <w:highlight w:val="none"/>
                      <w:lang w:eastAsia="zh-CN"/>
                    </w:rPr>
                    <w:t>砖混</w:t>
                  </w:r>
                  <w:r>
                    <w:rPr>
                      <w:rFonts w:hint="eastAsia"/>
                      <w:color w:val="auto"/>
                      <w:szCs w:val="21"/>
                      <w:highlight w:val="none"/>
                    </w:rPr>
                    <w:t>结构</w:t>
                  </w:r>
                </w:p>
              </w:tc>
              <w:tc>
                <w:tcPr>
                  <w:tcW w:w="450" w:type="pct"/>
                  <w:tcBorders>
                    <w:tl2br w:val="nil"/>
                    <w:tr2bl w:val="nil"/>
                  </w:tcBorders>
                  <w:vAlign w:val="center"/>
                </w:tcPr>
                <w:p w14:paraId="3B1F2DC6">
                  <w:pPr>
                    <w:spacing w:line="32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eastAsia="zh-CN"/>
                    </w:rPr>
                    <w:t>租赁现有</w:t>
                  </w:r>
                </w:p>
              </w:tc>
            </w:tr>
            <w:tr w14:paraId="193C7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64478953">
                  <w:pPr>
                    <w:spacing w:line="320" w:lineRule="exact"/>
                    <w:jc w:val="center"/>
                    <w:rPr>
                      <w:color w:val="auto"/>
                      <w:lang w:val="zh-CN"/>
                    </w:rPr>
                  </w:pPr>
                </w:p>
              </w:tc>
              <w:tc>
                <w:tcPr>
                  <w:tcW w:w="876" w:type="pct"/>
                  <w:tcBorders>
                    <w:tl2br w:val="nil"/>
                    <w:tr2bl w:val="nil"/>
                  </w:tcBorders>
                  <w:vAlign w:val="center"/>
                </w:tcPr>
                <w:p w14:paraId="3F4C9260">
                  <w:pPr>
                    <w:snapToGrid w:val="0"/>
                    <w:spacing w:line="320" w:lineRule="exact"/>
                    <w:jc w:val="center"/>
                    <w:rPr>
                      <w:color w:val="auto"/>
                    </w:rPr>
                  </w:pPr>
                  <w:r>
                    <w:rPr>
                      <w:rFonts w:hint="eastAsia"/>
                      <w:color w:val="auto"/>
                    </w:rPr>
                    <w:t>警卫室</w:t>
                  </w:r>
                </w:p>
              </w:tc>
              <w:tc>
                <w:tcPr>
                  <w:tcW w:w="3182" w:type="pct"/>
                  <w:tcBorders>
                    <w:tl2br w:val="nil"/>
                    <w:tr2bl w:val="nil"/>
                  </w:tcBorders>
                  <w:vAlign w:val="center"/>
                </w:tcPr>
                <w:p w14:paraId="7D78813B">
                  <w:pPr>
                    <w:spacing w:line="320" w:lineRule="exact"/>
                    <w:jc w:val="center"/>
                    <w:rPr>
                      <w:color w:val="auto"/>
                      <w:szCs w:val="21"/>
                    </w:rPr>
                  </w:pPr>
                  <w:r>
                    <w:rPr>
                      <w:rFonts w:hint="eastAsia"/>
                      <w:color w:val="auto"/>
                      <w:szCs w:val="21"/>
                    </w:rPr>
                    <w:t>1F，建筑面积</w:t>
                  </w:r>
                  <w:r>
                    <w:rPr>
                      <w:rFonts w:hint="eastAsia"/>
                      <w:color w:val="auto"/>
                      <w:szCs w:val="21"/>
                      <w:lang w:val="en-US" w:eastAsia="zh-CN"/>
                    </w:rPr>
                    <w:t>50</w:t>
                  </w:r>
                  <w:r>
                    <w:rPr>
                      <w:color w:val="auto"/>
                      <w:szCs w:val="21"/>
                    </w:rPr>
                    <w:t>m</w:t>
                  </w:r>
                  <w:r>
                    <w:rPr>
                      <w:color w:val="auto"/>
                      <w:szCs w:val="21"/>
                      <w:vertAlign w:val="superscript"/>
                    </w:rPr>
                    <w:t>2</w:t>
                  </w:r>
                  <w:r>
                    <w:rPr>
                      <w:rFonts w:hint="eastAsia"/>
                      <w:color w:val="auto"/>
                      <w:szCs w:val="21"/>
                    </w:rPr>
                    <w:t>，</w:t>
                  </w:r>
                  <w:r>
                    <w:rPr>
                      <w:rFonts w:hint="eastAsia"/>
                      <w:color w:val="auto"/>
                      <w:szCs w:val="21"/>
                      <w:lang w:eastAsia="zh-CN"/>
                    </w:rPr>
                    <w:t>砖混</w:t>
                  </w:r>
                  <w:r>
                    <w:rPr>
                      <w:rFonts w:hint="eastAsia"/>
                      <w:color w:val="auto"/>
                      <w:szCs w:val="21"/>
                    </w:rPr>
                    <w:t>结构</w:t>
                  </w:r>
                </w:p>
              </w:tc>
              <w:tc>
                <w:tcPr>
                  <w:tcW w:w="450" w:type="pct"/>
                  <w:tcBorders>
                    <w:tl2br w:val="nil"/>
                    <w:tr2bl w:val="nil"/>
                  </w:tcBorders>
                  <w:vAlign w:val="center"/>
                </w:tcPr>
                <w:p w14:paraId="1F0E804E">
                  <w:pPr>
                    <w:snapToGrid w:val="0"/>
                    <w:spacing w:line="320" w:lineRule="exact"/>
                    <w:jc w:val="center"/>
                    <w:rPr>
                      <w:color w:val="auto"/>
                      <w:szCs w:val="21"/>
                    </w:rPr>
                  </w:pPr>
                  <w:r>
                    <w:rPr>
                      <w:rFonts w:hint="eastAsia"/>
                      <w:color w:val="auto"/>
                      <w:szCs w:val="21"/>
                      <w:lang w:eastAsia="zh-CN"/>
                    </w:rPr>
                    <w:t>租赁现有</w:t>
                  </w:r>
                </w:p>
              </w:tc>
            </w:tr>
            <w:tr w14:paraId="0A227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4BAC248D">
                  <w:pPr>
                    <w:spacing w:line="320" w:lineRule="exact"/>
                    <w:jc w:val="center"/>
                    <w:rPr>
                      <w:color w:val="auto"/>
                      <w:szCs w:val="21"/>
                    </w:rPr>
                  </w:pPr>
                  <w:r>
                    <w:rPr>
                      <w:rFonts w:hint="eastAsia"/>
                      <w:color w:val="auto"/>
                      <w:szCs w:val="21"/>
                    </w:rPr>
                    <w:t>公用工程</w:t>
                  </w:r>
                </w:p>
              </w:tc>
              <w:tc>
                <w:tcPr>
                  <w:tcW w:w="876" w:type="pct"/>
                  <w:tcBorders>
                    <w:tl2br w:val="nil"/>
                    <w:tr2bl w:val="nil"/>
                  </w:tcBorders>
                  <w:vAlign w:val="center"/>
                </w:tcPr>
                <w:p w14:paraId="3D691E3A">
                  <w:pPr>
                    <w:spacing w:line="320" w:lineRule="exact"/>
                    <w:jc w:val="center"/>
                    <w:rPr>
                      <w:color w:val="auto"/>
                      <w:szCs w:val="21"/>
                    </w:rPr>
                  </w:pPr>
                  <w:r>
                    <w:rPr>
                      <w:rFonts w:hint="eastAsia"/>
                      <w:color w:val="auto"/>
                      <w:szCs w:val="21"/>
                    </w:rPr>
                    <w:t>供水</w:t>
                  </w:r>
                </w:p>
              </w:tc>
              <w:tc>
                <w:tcPr>
                  <w:tcW w:w="3182" w:type="pct"/>
                  <w:tcBorders>
                    <w:tl2br w:val="nil"/>
                    <w:tr2bl w:val="nil"/>
                  </w:tcBorders>
                  <w:vAlign w:val="center"/>
                </w:tcPr>
                <w:p w14:paraId="7BFDADF2">
                  <w:pPr>
                    <w:pStyle w:val="12"/>
                    <w:snapToGrid w:val="0"/>
                    <w:spacing w:line="320" w:lineRule="exact"/>
                    <w:jc w:val="center"/>
                    <w:rPr>
                      <w:rFonts w:ascii="Times New Roman" w:hAnsi="Times New Roman"/>
                      <w:color w:val="auto"/>
                      <w:szCs w:val="21"/>
                    </w:rPr>
                  </w:pPr>
                  <w:r>
                    <w:rPr>
                      <w:rFonts w:hint="eastAsia" w:ascii="Times New Roman" w:hAnsi="Times New Roman"/>
                      <w:color w:val="auto"/>
                      <w:szCs w:val="21"/>
                    </w:rPr>
                    <w:t>项目生产及生活用水由唐山海港经济开发区供水管网提供</w:t>
                  </w:r>
                </w:p>
              </w:tc>
              <w:tc>
                <w:tcPr>
                  <w:tcW w:w="450" w:type="pct"/>
                  <w:tcBorders>
                    <w:tl2br w:val="nil"/>
                    <w:tr2bl w:val="nil"/>
                  </w:tcBorders>
                  <w:vAlign w:val="center"/>
                </w:tcPr>
                <w:p w14:paraId="42E98780">
                  <w:pPr>
                    <w:spacing w:line="320" w:lineRule="exact"/>
                    <w:jc w:val="center"/>
                    <w:rPr>
                      <w:color w:val="auto"/>
                      <w:szCs w:val="21"/>
                    </w:rPr>
                  </w:pPr>
                </w:p>
              </w:tc>
            </w:tr>
            <w:tr w14:paraId="4F84A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tcBorders>
                    <w:tl2br w:val="nil"/>
                    <w:tr2bl w:val="nil"/>
                  </w:tcBorders>
                  <w:vAlign w:val="center"/>
                </w:tcPr>
                <w:p w14:paraId="246F943E">
                  <w:pPr>
                    <w:spacing w:line="320" w:lineRule="exact"/>
                    <w:jc w:val="center"/>
                    <w:rPr>
                      <w:color w:val="auto"/>
                      <w:szCs w:val="21"/>
                    </w:rPr>
                  </w:pPr>
                </w:p>
              </w:tc>
              <w:tc>
                <w:tcPr>
                  <w:tcW w:w="876" w:type="pct"/>
                  <w:tcBorders>
                    <w:tl2br w:val="nil"/>
                    <w:tr2bl w:val="nil"/>
                  </w:tcBorders>
                  <w:vAlign w:val="center"/>
                </w:tcPr>
                <w:p w14:paraId="6F4364BD">
                  <w:pPr>
                    <w:spacing w:line="320" w:lineRule="exact"/>
                    <w:jc w:val="center"/>
                    <w:rPr>
                      <w:color w:val="auto"/>
                      <w:szCs w:val="21"/>
                    </w:rPr>
                  </w:pPr>
                  <w:r>
                    <w:rPr>
                      <w:rFonts w:hint="eastAsia"/>
                      <w:color w:val="auto"/>
                      <w:szCs w:val="21"/>
                    </w:rPr>
                    <w:t>供电</w:t>
                  </w:r>
                </w:p>
              </w:tc>
              <w:tc>
                <w:tcPr>
                  <w:tcW w:w="3182" w:type="pct"/>
                  <w:tcBorders>
                    <w:tl2br w:val="nil"/>
                    <w:tr2bl w:val="nil"/>
                  </w:tcBorders>
                  <w:vAlign w:val="center"/>
                </w:tcPr>
                <w:p w14:paraId="7575ADD2">
                  <w:pPr>
                    <w:pStyle w:val="12"/>
                    <w:snapToGrid w:val="0"/>
                    <w:spacing w:line="320" w:lineRule="exact"/>
                    <w:jc w:val="center"/>
                    <w:rPr>
                      <w:rFonts w:ascii="Times New Roman" w:hAnsi="Times New Roman"/>
                      <w:color w:val="auto"/>
                      <w:szCs w:val="21"/>
                    </w:rPr>
                  </w:pPr>
                  <w:r>
                    <w:rPr>
                      <w:rFonts w:hint="eastAsia" w:ascii="Times New Roman" w:hAnsi="Times New Roman"/>
                      <w:color w:val="auto"/>
                      <w:szCs w:val="21"/>
                    </w:rPr>
                    <w:t>由唐山海港经济开发区供电网提供，年用电</w:t>
                  </w:r>
                  <w:r>
                    <w:rPr>
                      <w:rFonts w:hint="eastAsia" w:ascii="Times New Roman" w:hAnsi="Times New Roman"/>
                      <w:color w:val="auto"/>
                      <w:szCs w:val="21"/>
                      <w:lang w:val="en-US" w:eastAsia="zh-CN"/>
                    </w:rPr>
                    <w:t>5</w:t>
                  </w:r>
                  <w:r>
                    <w:rPr>
                      <w:rFonts w:hint="eastAsia" w:ascii="Times New Roman" w:hAnsi="Times New Roman"/>
                      <w:color w:val="auto"/>
                      <w:szCs w:val="21"/>
                    </w:rPr>
                    <w:t>万kWh</w:t>
                  </w:r>
                </w:p>
              </w:tc>
              <w:tc>
                <w:tcPr>
                  <w:tcW w:w="450" w:type="pct"/>
                  <w:tcBorders>
                    <w:tl2br w:val="nil"/>
                    <w:tr2bl w:val="nil"/>
                  </w:tcBorders>
                  <w:vAlign w:val="center"/>
                </w:tcPr>
                <w:p w14:paraId="388779B0">
                  <w:pPr>
                    <w:spacing w:line="320" w:lineRule="exact"/>
                    <w:jc w:val="center"/>
                    <w:rPr>
                      <w:color w:val="auto"/>
                      <w:szCs w:val="21"/>
                    </w:rPr>
                  </w:pPr>
                </w:p>
              </w:tc>
            </w:tr>
            <w:tr w14:paraId="7A9AB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tcBorders>
                    <w:tl2br w:val="nil"/>
                    <w:tr2bl w:val="nil"/>
                  </w:tcBorders>
                  <w:vAlign w:val="center"/>
                </w:tcPr>
                <w:p w14:paraId="3D270858">
                  <w:pPr>
                    <w:spacing w:line="320" w:lineRule="exact"/>
                    <w:jc w:val="center"/>
                    <w:rPr>
                      <w:color w:val="auto"/>
                      <w:szCs w:val="21"/>
                    </w:rPr>
                  </w:pPr>
                </w:p>
              </w:tc>
              <w:tc>
                <w:tcPr>
                  <w:tcW w:w="876" w:type="pct"/>
                  <w:tcBorders>
                    <w:tl2br w:val="nil"/>
                    <w:tr2bl w:val="nil"/>
                  </w:tcBorders>
                  <w:vAlign w:val="center"/>
                </w:tcPr>
                <w:p w14:paraId="0B6CD022">
                  <w:pPr>
                    <w:spacing w:line="320" w:lineRule="exact"/>
                    <w:jc w:val="center"/>
                    <w:rPr>
                      <w:color w:val="auto"/>
                      <w:szCs w:val="21"/>
                    </w:rPr>
                  </w:pPr>
                  <w:r>
                    <w:rPr>
                      <w:rFonts w:hint="eastAsia"/>
                      <w:color w:val="auto"/>
                      <w:szCs w:val="21"/>
                    </w:rPr>
                    <w:t>供暖与制冷</w:t>
                  </w:r>
                </w:p>
              </w:tc>
              <w:tc>
                <w:tcPr>
                  <w:tcW w:w="3182" w:type="pct"/>
                  <w:tcBorders>
                    <w:tl2br w:val="nil"/>
                    <w:tr2bl w:val="nil"/>
                  </w:tcBorders>
                  <w:vAlign w:val="center"/>
                </w:tcPr>
                <w:p w14:paraId="0462E546">
                  <w:pPr>
                    <w:pStyle w:val="13"/>
                    <w:snapToGrid w:val="0"/>
                    <w:spacing w:line="320" w:lineRule="exact"/>
                    <w:ind w:firstLine="0" w:firstLineChars="0"/>
                    <w:jc w:val="center"/>
                    <w:rPr>
                      <w:rFonts w:hAnsi="Times New Roman"/>
                      <w:color w:val="auto"/>
                      <w:szCs w:val="21"/>
                    </w:rPr>
                  </w:pPr>
                  <w:r>
                    <w:rPr>
                      <w:rFonts w:hAnsi="Times New Roman"/>
                      <w:color w:val="auto"/>
                      <w:sz w:val="21"/>
                      <w:szCs w:val="21"/>
                    </w:rPr>
                    <w:t>项目生产区不供暖，</w:t>
                  </w:r>
                  <w:r>
                    <w:rPr>
                      <w:rFonts w:hint="eastAsia"/>
                      <w:color w:val="auto"/>
                      <w:sz w:val="21"/>
                      <w:szCs w:val="21"/>
                    </w:rPr>
                    <w:t>办公室</w:t>
                  </w:r>
                  <w:r>
                    <w:rPr>
                      <w:rFonts w:hAnsi="Times New Roman"/>
                      <w:color w:val="auto"/>
                      <w:sz w:val="21"/>
                      <w:szCs w:val="21"/>
                    </w:rPr>
                    <w:t>采用</w:t>
                  </w:r>
                  <w:r>
                    <w:rPr>
                      <w:rFonts w:hAnsi="Times New Roman"/>
                      <w:bCs/>
                      <w:snapToGrid w:val="0"/>
                      <w:color w:val="auto"/>
                      <w:kern w:val="0"/>
                      <w:sz w:val="21"/>
                      <w:szCs w:val="21"/>
                    </w:rPr>
                    <w:t>分体</w:t>
                  </w:r>
                  <w:r>
                    <w:rPr>
                      <w:rFonts w:hint="eastAsia" w:hAnsi="Times New Roman"/>
                      <w:bCs/>
                      <w:snapToGrid w:val="0"/>
                      <w:color w:val="auto"/>
                      <w:kern w:val="0"/>
                      <w:sz w:val="21"/>
                      <w:szCs w:val="21"/>
                    </w:rPr>
                    <w:t>电</w:t>
                  </w:r>
                  <w:r>
                    <w:rPr>
                      <w:rFonts w:hAnsi="Times New Roman"/>
                      <w:bCs/>
                      <w:snapToGrid w:val="0"/>
                      <w:color w:val="auto"/>
                      <w:kern w:val="0"/>
                      <w:sz w:val="21"/>
                      <w:szCs w:val="21"/>
                    </w:rPr>
                    <w:t>空调采暖及制冷</w:t>
                  </w:r>
                </w:p>
              </w:tc>
              <w:tc>
                <w:tcPr>
                  <w:tcW w:w="450" w:type="pct"/>
                  <w:tcBorders>
                    <w:tl2br w:val="nil"/>
                    <w:tr2bl w:val="nil"/>
                  </w:tcBorders>
                  <w:vAlign w:val="center"/>
                </w:tcPr>
                <w:p w14:paraId="312C97BC">
                  <w:pPr>
                    <w:spacing w:line="320" w:lineRule="exact"/>
                    <w:jc w:val="center"/>
                    <w:rPr>
                      <w:color w:val="auto"/>
                      <w:szCs w:val="21"/>
                    </w:rPr>
                  </w:pPr>
                </w:p>
              </w:tc>
            </w:tr>
            <w:tr w14:paraId="54584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restart"/>
                  <w:tcBorders>
                    <w:tl2br w:val="nil"/>
                    <w:tr2bl w:val="nil"/>
                  </w:tcBorders>
                  <w:vAlign w:val="center"/>
                </w:tcPr>
                <w:p w14:paraId="5DB94C4A">
                  <w:pPr>
                    <w:spacing w:line="320" w:lineRule="exact"/>
                    <w:jc w:val="center"/>
                    <w:rPr>
                      <w:color w:val="auto"/>
                      <w:szCs w:val="21"/>
                    </w:rPr>
                  </w:pPr>
                  <w:r>
                    <w:rPr>
                      <w:rFonts w:hint="eastAsia"/>
                      <w:color w:val="auto"/>
                      <w:szCs w:val="21"/>
                    </w:rPr>
                    <w:t>环保工程</w:t>
                  </w:r>
                </w:p>
              </w:tc>
              <w:tc>
                <w:tcPr>
                  <w:tcW w:w="876" w:type="pct"/>
                  <w:tcBorders>
                    <w:tl2br w:val="nil"/>
                    <w:tr2bl w:val="nil"/>
                  </w:tcBorders>
                  <w:vAlign w:val="center"/>
                </w:tcPr>
                <w:p w14:paraId="1B14B466">
                  <w:pPr>
                    <w:spacing w:line="320" w:lineRule="exact"/>
                    <w:jc w:val="center"/>
                    <w:rPr>
                      <w:color w:val="auto"/>
                      <w:szCs w:val="21"/>
                    </w:rPr>
                  </w:pPr>
                  <w:r>
                    <w:rPr>
                      <w:rFonts w:hint="eastAsia"/>
                      <w:color w:val="auto"/>
                      <w:szCs w:val="21"/>
                    </w:rPr>
                    <w:t>废气</w:t>
                  </w:r>
                </w:p>
              </w:tc>
              <w:tc>
                <w:tcPr>
                  <w:tcW w:w="3182" w:type="pct"/>
                  <w:tcBorders>
                    <w:tl2br w:val="nil"/>
                    <w:tr2bl w:val="nil"/>
                  </w:tcBorders>
                  <w:vAlign w:val="center"/>
                </w:tcPr>
                <w:p w14:paraId="17DBA35E">
                  <w:pPr>
                    <w:spacing w:line="320" w:lineRule="exact"/>
                    <w:jc w:val="center"/>
                    <w:rPr>
                      <w:color w:val="auto"/>
                      <w:szCs w:val="21"/>
                    </w:rPr>
                  </w:pPr>
                  <w:r>
                    <w:rPr>
                      <w:rFonts w:hint="eastAsia"/>
                      <w:color w:val="auto"/>
                      <w:szCs w:val="21"/>
                    </w:rPr>
                    <w:t>煤炭装卸、储存均在封闭的</w:t>
                  </w:r>
                  <w:r>
                    <w:rPr>
                      <w:rFonts w:hint="eastAsia"/>
                      <w:color w:val="auto"/>
                      <w:szCs w:val="21"/>
                      <w:lang w:eastAsia="zh-CN"/>
                    </w:rPr>
                    <w:t>厂房</w:t>
                  </w:r>
                  <w:r>
                    <w:rPr>
                      <w:rFonts w:hint="eastAsia"/>
                      <w:color w:val="auto"/>
                      <w:szCs w:val="21"/>
                    </w:rPr>
                    <w:t>内进行，</w:t>
                  </w:r>
                  <w:r>
                    <w:rPr>
                      <w:rFonts w:hint="eastAsia"/>
                      <w:color w:val="auto"/>
                      <w:szCs w:val="21"/>
                      <w:lang w:eastAsia="zh-CN"/>
                    </w:rPr>
                    <w:t>厂房</w:t>
                  </w:r>
                  <w:r>
                    <w:rPr>
                      <w:rFonts w:hint="eastAsia"/>
                      <w:color w:val="auto"/>
                      <w:szCs w:val="21"/>
                    </w:rPr>
                    <w:t>顶部设置喷淋抑尘装置，可覆盖全部</w:t>
                  </w:r>
                  <w:r>
                    <w:rPr>
                      <w:rFonts w:hint="eastAsia"/>
                      <w:color w:val="auto"/>
                    </w:rPr>
                    <w:t>堆存区域</w:t>
                  </w:r>
                  <w:r>
                    <w:rPr>
                      <w:rFonts w:hint="eastAsia"/>
                      <w:color w:val="auto"/>
                      <w:szCs w:val="21"/>
                    </w:rPr>
                    <w:t>；厂区门口配置洗车平台，对进出场车辆</w:t>
                  </w:r>
                  <w:r>
                    <w:rPr>
                      <w:rFonts w:hint="eastAsia"/>
                    </w:rPr>
                    <w:t>车身及</w:t>
                  </w:r>
                  <w:r>
                    <w:rPr>
                      <w:rFonts w:hint="eastAsia"/>
                      <w:color w:val="auto"/>
                      <w:szCs w:val="21"/>
                    </w:rPr>
                    <w:t>车轮进行冲洗，运输车辆加盖苫布</w:t>
                  </w:r>
                </w:p>
              </w:tc>
              <w:tc>
                <w:tcPr>
                  <w:tcW w:w="450" w:type="pct"/>
                  <w:tcBorders>
                    <w:tl2br w:val="nil"/>
                    <w:tr2bl w:val="nil"/>
                  </w:tcBorders>
                  <w:vAlign w:val="center"/>
                </w:tcPr>
                <w:p w14:paraId="2035C7D4">
                  <w:pPr>
                    <w:spacing w:line="320" w:lineRule="exact"/>
                    <w:jc w:val="center"/>
                    <w:rPr>
                      <w:color w:val="auto"/>
                      <w:szCs w:val="21"/>
                    </w:rPr>
                  </w:pPr>
                </w:p>
              </w:tc>
            </w:tr>
            <w:tr w14:paraId="02BAF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91" w:type="pct"/>
                  <w:vMerge w:val="continue"/>
                  <w:tcBorders>
                    <w:tl2br w:val="nil"/>
                    <w:tr2bl w:val="nil"/>
                  </w:tcBorders>
                  <w:vAlign w:val="center"/>
                </w:tcPr>
                <w:p w14:paraId="0FEE0FC3">
                  <w:pPr>
                    <w:spacing w:line="320" w:lineRule="exact"/>
                    <w:jc w:val="center"/>
                    <w:rPr>
                      <w:color w:val="auto"/>
                      <w:szCs w:val="21"/>
                    </w:rPr>
                  </w:pPr>
                </w:p>
              </w:tc>
              <w:tc>
                <w:tcPr>
                  <w:tcW w:w="876" w:type="pct"/>
                  <w:vMerge w:val="restart"/>
                  <w:tcBorders>
                    <w:tl2br w:val="nil"/>
                    <w:tr2bl w:val="nil"/>
                  </w:tcBorders>
                  <w:vAlign w:val="center"/>
                </w:tcPr>
                <w:p w14:paraId="4839A6AA">
                  <w:pPr>
                    <w:spacing w:line="320" w:lineRule="exact"/>
                    <w:jc w:val="center"/>
                    <w:rPr>
                      <w:color w:val="auto"/>
                      <w:szCs w:val="21"/>
                    </w:rPr>
                  </w:pPr>
                  <w:r>
                    <w:rPr>
                      <w:rFonts w:hint="eastAsia"/>
                      <w:color w:val="auto"/>
                      <w:szCs w:val="21"/>
                    </w:rPr>
                    <w:t>废水</w:t>
                  </w:r>
                </w:p>
              </w:tc>
              <w:tc>
                <w:tcPr>
                  <w:tcW w:w="3182" w:type="pct"/>
                  <w:tcBorders>
                    <w:tl2br w:val="nil"/>
                    <w:tr2bl w:val="nil"/>
                  </w:tcBorders>
                  <w:vAlign w:val="center"/>
                </w:tcPr>
                <w:p w14:paraId="41599A2F">
                  <w:pPr>
                    <w:spacing w:line="320" w:lineRule="exact"/>
                    <w:jc w:val="center"/>
                    <w:rPr>
                      <w:color w:val="auto"/>
                      <w:szCs w:val="21"/>
                    </w:rPr>
                  </w:pPr>
                  <w:r>
                    <w:rPr>
                      <w:rFonts w:hint="eastAsia"/>
                      <w:color w:val="auto"/>
                      <w:szCs w:val="21"/>
                    </w:rPr>
                    <w:t>少量员工盥洗及冲厕废水，经市政污水管网排至唐山海港经济开发区东部污水处理厂处理</w:t>
                  </w:r>
                </w:p>
              </w:tc>
              <w:tc>
                <w:tcPr>
                  <w:tcW w:w="450" w:type="pct"/>
                  <w:tcBorders>
                    <w:tl2br w:val="nil"/>
                    <w:tr2bl w:val="nil"/>
                  </w:tcBorders>
                  <w:vAlign w:val="center"/>
                </w:tcPr>
                <w:p w14:paraId="779D4C88">
                  <w:pPr>
                    <w:snapToGrid w:val="0"/>
                    <w:spacing w:line="320" w:lineRule="exact"/>
                    <w:jc w:val="center"/>
                    <w:rPr>
                      <w:color w:val="auto"/>
                      <w:szCs w:val="21"/>
                    </w:rPr>
                  </w:pPr>
                </w:p>
              </w:tc>
            </w:tr>
            <w:tr w14:paraId="3511F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91" w:type="pct"/>
                  <w:vMerge w:val="continue"/>
                  <w:tcBorders>
                    <w:tl2br w:val="nil"/>
                    <w:tr2bl w:val="nil"/>
                  </w:tcBorders>
                  <w:vAlign w:val="center"/>
                </w:tcPr>
                <w:p w14:paraId="6CB02248">
                  <w:pPr>
                    <w:spacing w:line="320" w:lineRule="exact"/>
                    <w:jc w:val="center"/>
                    <w:rPr>
                      <w:color w:val="auto"/>
                      <w:szCs w:val="21"/>
                    </w:rPr>
                  </w:pPr>
                </w:p>
              </w:tc>
              <w:tc>
                <w:tcPr>
                  <w:tcW w:w="876" w:type="pct"/>
                  <w:vMerge w:val="continue"/>
                  <w:tcBorders>
                    <w:tl2br w:val="nil"/>
                    <w:tr2bl w:val="nil"/>
                  </w:tcBorders>
                  <w:vAlign w:val="center"/>
                </w:tcPr>
                <w:p w14:paraId="58174A43">
                  <w:pPr>
                    <w:spacing w:line="320" w:lineRule="exact"/>
                    <w:jc w:val="center"/>
                    <w:rPr>
                      <w:rFonts w:hint="eastAsia"/>
                      <w:color w:val="auto"/>
                      <w:szCs w:val="21"/>
                    </w:rPr>
                  </w:pPr>
                </w:p>
              </w:tc>
              <w:tc>
                <w:tcPr>
                  <w:tcW w:w="3182" w:type="pct"/>
                  <w:tcBorders>
                    <w:tl2br w:val="nil"/>
                    <w:tr2bl w:val="nil"/>
                  </w:tcBorders>
                  <w:vAlign w:val="center"/>
                </w:tcPr>
                <w:p w14:paraId="7E614363">
                  <w:pPr>
                    <w:spacing w:line="320" w:lineRule="exact"/>
                    <w:jc w:val="center"/>
                    <w:rPr>
                      <w:rFonts w:hint="eastAsia" w:eastAsia="宋体"/>
                      <w:color w:val="auto"/>
                      <w:szCs w:val="21"/>
                      <w:lang w:eastAsia="zh-CN"/>
                    </w:rPr>
                  </w:pPr>
                  <w:r>
                    <w:rPr>
                      <w:rFonts w:hint="eastAsia"/>
                      <w:color w:val="auto"/>
                      <w:szCs w:val="21"/>
                      <w:lang w:eastAsia="zh-CN"/>
                    </w:rPr>
                    <w:t>喷淋用水全部蒸发，不外排</w:t>
                  </w:r>
                </w:p>
              </w:tc>
              <w:tc>
                <w:tcPr>
                  <w:tcW w:w="450" w:type="pct"/>
                  <w:tcBorders>
                    <w:tl2br w:val="nil"/>
                    <w:tr2bl w:val="nil"/>
                  </w:tcBorders>
                  <w:vAlign w:val="center"/>
                </w:tcPr>
                <w:p w14:paraId="6EC0775C">
                  <w:pPr>
                    <w:snapToGrid w:val="0"/>
                    <w:spacing w:line="320" w:lineRule="exact"/>
                    <w:jc w:val="center"/>
                    <w:rPr>
                      <w:color w:val="auto"/>
                      <w:szCs w:val="21"/>
                    </w:rPr>
                  </w:pPr>
                </w:p>
              </w:tc>
            </w:tr>
            <w:tr w14:paraId="70D2C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91" w:type="pct"/>
                  <w:vMerge w:val="continue"/>
                  <w:tcBorders>
                    <w:tl2br w:val="nil"/>
                    <w:tr2bl w:val="nil"/>
                  </w:tcBorders>
                  <w:vAlign w:val="center"/>
                </w:tcPr>
                <w:p w14:paraId="777D8C8B">
                  <w:pPr>
                    <w:spacing w:line="320" w:lineRule="exact"/>
                    <w:jc w:val="center"/>
                    <w:rPr>
                      <w:color w:val="auto"/>
                      <w:szCs w:val="21"/>
                    </w:rPr>
                  </w:pPr>
                </w:p>
              </w:tc>
              <w:tc>
                <w:tcPr>
                  <w:tcW w:w="876" w:type="pct"/>
                  <w:vMerge w:val="continue"/>
                  <w:tcBorders>
                    <w:tl2br w:val="nil"/>
                    <w:tr2bl w:val="nil"/>
                  </w:tcBorders>
                  <w:vAlign w:val="center"/>
                </w:tcPr>
                <w:p w14:paraId="487F1D45">
                  <w:pPr>
                    <w:spacing w:line="320" w:lineRule="exact"/>
                    <w:jc w:val="center"/>
                    <w:rPr>
                      <w:color w:val="auto"/>
                      <w:szCs w:val="21"/>
                    </w:rPr>
                  </w:pPr>
                </w:p>
              </w:tc>
              <w:tc>
                <w:tcPr>
                  <w:tcW w:w="3182" w:type="pct"/>
                  <w:tcBorders>
                    <w:tl2br w:val="nil"/>
                    <w:tr2bl w:val="nil"/>
                  </w:tcBorders>
                  <w:vAlign w:val="center"/>
                </w:tcPr>
                <w:p w14:paraId="5403CC21">
                  <w:pPr>
                    <w:spacing w:line="320" w:lineRule="exact"/>
                    <w:jc w:val="center"/>
                    <w:rPr>
                      <w:rFonts w:hint="eastAsia" w:eastAsia="宋体"/>
                      <w:color w:val="auto"/>
                      <w:szCs w:val="21"/>
                      <w:lang w:eastAsia="zh-CN"/>
                    </w:rPr>
                  </w:pPr>
                  <w:r>
                    <w:rPr>
                      <w:rFonts w:hint="eastAsia"/>
                      <w:color w:val="auto"/>
                      <w:kern w:val="0"/>
                      <w:szCs w:val="21"/>
                      <w:lang w:bidi="ar"/>
                    </w:rPr>
                    <w:t>洗车废水经沉淀池沉淀后回用于洗车</w:t>
                  </w:r>
                  <w:r>
                    <w:rPr>
                      <w:rFonts w:hint="eastAsia"/>
                      <w:lang w:eastAsia="zh-CN"/>
                    </w:rPr>
                    <w:t>，循环利用，不外排</w:t>
                  </w:r>
                </w:p>
              </w:tc>
              <w:tc>
                <w:tcPr>
                  <w:tcW w:w="450" w:type="pct"/>
                  <w:tcBorders>
                    <w:tl2br w:val="nil"/>
                    <w:tr2bl w:val="nil"/>
                  </w:tcBorders>
                  <w:vAlign w:val="center"/>
                </w:tcPr>
                <w:p w14:paraId="71E49053">
                  <w:pPr>
                    <w:snapToGrid w:val="0"/>
                    <w:spacing w:line="320" w:lineRule="exact"/>
                    <w:jc w:val="center"/>
                    <w:rPr>
                      <w:color w:val="auto"/>
                      <w:szCs w:val="21"/>
                    </w:rPr>
                  </w:pPr>
                </w:p>
              </w:tc>
            </w:tr>
            <w:tr w14:paraId="6B76C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91" w:type="pct"/>
                  <w:vMerge w:val="continue"/>
                  <w:tcBorders>
                    <w:tl2br w:val="nil"/>
                    <w:tr2bl w:val="nil"/>
                  </w:tcBorders>
                  <w:vAlign w:val="center"/>
                </w:tcPr>
                <w:p w14:paraId="2DE9B88A">
                  <w:pPr>
                    <w:spacing w:line="320" w:lineRule="exact"/>
                    <w:jc w:val="center"/>
                    <w:rPr>
                      <w:color w:val="auto"/>
                      <w:szCs w:val="21"/>
                    </w:rPr>
                  </w:pPr>
                </w:p>
              </w:tc>
              <w:tc>
                <w:tcPr>
                  <w:tcW w:w="876" w:type="pct"/>
                  <w:tcBorders>
                    <w:tl2br w:val="nil"/>
                    <w:tr2bl w:val="nil"/>
                  </w:tcBorders>
                  <w:vAlign w:val="center"/>
                </w:tcPr>
                <w:p w14:paraId="75C985BD">
                  <w:pPr>
                    <w:spacing w:line="320" w:lineRule="exact"/>
                    <w:jc w:val="center"/>
                    <w:rPr>
                      <w:color w:val="auto"/>
                      <w:szCs w:val="21"/>
                    </w:rPr>
                  </w:pPr>
                  <w:r>
                    <w:rPr>
                      <w:rFonts w:hint="eastAsia"/>
                      <w:color w:val="auto"/>
                      <w:szCs w:val="21"/>
                    </w:rPr>
                    <w:t>噪声</w:t>
                  </w:r>
                </w:p>
              </w:tc>
              <w:tc>
                <w:tcPr>
                  <w:tcW w:w="3182" w:type="pct"/>
                  <w:tcBorders>
                    <w:tl2br w:val="nil"/>
                    <w:tr2bl w:val="nil"/>
                  </w:tcBorders>
                  <w:vAlign w:val="center"/>
                </w:tcPr>
                <w:p w14:paraId="05814FA5">
                  <w:pPr>
                    <w:spacing w:line="320" w:lineRule="exact"/>
                    <w:jc w:val="center"/>
                    <w:rPr>
                      <w:color w:val="auto"/>
                      <w:szCs w:val="21"/>
                    </w:rPr>
                  </w:pPr>
                  <w:r>
                    <w:rPr>
                      <w:rFonts w:hint="eastAsia"/>
                      <w:color w:val="auto"/>
                      <w:szCs w:val="21"/>
                    </w:rPr>
                    <w:t>选用低噪声设备、合理布局，进出场车辆平稳起步、禁止鸣笛等措施</w:t>
                  </w:r>
                </w:p>
              </w:tc>
              <w:tc>
                <w:tcPr>
                  <w:tcW w:w="450" w:type="pct"/>
                  <w:tcBorders>
                    <w:tl2br w:val="nil"/>
                    <w:tr2bl w:val="nil"/>
                  </w:tcBorders>
                  <w:vAlign w:val="center"/>
                </w:tcPr>
                <w:p w14:paraId="02EAFFFA">
                  <w:pPr>
                    <w:spacing w:line="320" w:lineRule="exact"/>
                    <w:jc w:val="center"/>
                    <w:rPr>
                      <w:color w:val="auto"/>
                      <w:szCs w:val="21"/>
                    </w:rPr>
                  </w:pPr>
                </w:p>
              </w:tc>
            </w:tr>
            <w:tr w14:paraId="46041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pct"/>
                  <w:vMerge w:val="continue"/>
                  <w:tcBorders>
                    <w:tl2br w:val="nil"/>
                    <w:tr2bl w:val="nil"/>
                  </w:tcBorders>
                  <w:vAlign w:val="center"/>
                </w:tcPr>
                <w:p w14:paraId="4681332E">
                  <w:pPr>
                    <w:spacing w:line="320" w:lineRule="exact"/>
                    <w:jc w:val="center"/>
                    <w:rPr>
                      <w:color w:val="auto"/>
                      <w:szCs w:val="21"/>
                    </w:rPr>
                  </w:pPr>
                </w:p>
              </w:tc>
              <w:tc>
                <w:tcPr>
                  <w:tcW w:w="876" w:type="pct"/>
                  <w:tcBorders>
                    <w:tl2br w:val="nil"/>
                    <w:tr2bl w:val="nil"/>
                  </w:tcBorders>
                  <w:vAlign w:val="center"/>
                </w:tcPr>
                <w:p w14:paraId="03B3EFFE">
                  <w:pPr>
                    <w:spacing w:line="320" w:lineRule="exact"/>
                    <w:jc w:val="center"/>
                    <w:rPr>
                      <w:color w:val="auto"/>
                      <w:szCs w:val="21"/>
                    </w:rPr>
                  </w:pPr>
                  <w:r>
                    <w:rPr>
                      <w:rFonts w:hint="eastAsia"/>
                      <w:color w:val="auto"/>
                      <w:szCs w:val="21"/>
                    </w:rPr>
                    <w:t>固废</w:t>
                  </w:r>
                </w:p>
              </w:tc>
              <w:tc>
                <w:tcPr>
                  <w:tcW w:w="3182" w:type="pct"/>
                  <w:tcBorders>
                    <w:tl2br w:val="nil"/>
                    <w:tr2bl w:val="nil"/>
                  </w:tcBorders>
                  <w:vAlign w:val="center"/>
                </w:tcPr>
                <w:p w14:paraId="08AE8DDC">
                  <w:pPr>
                    <w:pStyle w:val="6"/>
                    <w:adjustRightInd/>
                    <w:spacing w:line="320" w:lineRule="exact"/>
                    <w:ind w:firstLine="0" w:firstLineChars="0"/>
                    <w:jc w:val="center"/>
                    <w:rPr>
                      <w:color w:val="auto"/>
                      <w:sz w:val="21"/>
                      <w:szCs w:val="21"/>
                    </w:rPr>
                  </w:pPr>
                  <w:r>
                    <w:rPr>
                      <w:rFonts w:asciiTheme="minorHAnsi" w:hAnsiTheme="minorHAnsi" w:eastAsiaTheme="minorEastAsia" w:cstheme="minorBidi"/>
                      <w:color w:val="auto"/>
                      <w:sz w:val="21"/>
                      <w:szCs w:val="22"/>
                    </w:rPr>
                    <w:t>一般固废</w:t>
                  </w:r>
                  <w:r>
                    <w:rPr>
                      <w:rFonts w:hint="eastAsia" w:asciiTheme="minorHAnsi" w:hAnsiTheme="minorHAnsi" w:eastAsiaTheme="minorEastAsia" w:cstheme="minorBidi"/>
                      <w:color w:val="auto"/>
                      <w:sz w:val="21"/>
                      <w:szCs w:val="22"/>
                    </w:rPr>
                    <w:t>：</w:t>
                  </w:r>
                  <w:r>
                    <w:rPr>
                      <w:rFonts w:hint="eastAsia"/>
                      <w:color w:val="auto"/>
                      <w:sz w:val="21"/>
                      <w:szCs w:val="21"/>
                    </w:rPr>
                    <w:t>洗车平台产生的煤泥定期清理掺入原煤中外售；职工生活垃圾交由环卫部门处置。</w:t>
                  </w:r>
                </w:p>
                <w:p w14:paraId="46CED88D">
                  <w:pPr>
                    <w:pStyle w:val="6"/>
                    <w:adjustRightInd/>
                    <w:spacing w:line="320" w:lineRule="exact"/>
                    <w:ind w:firstLine="0" w:firstLineChars="0"/>
                    <w:jc w:val="center"/>
                    <w:rPr>
                      <w:rFonts w:ascii="Times New Roman" w:hAnsi="Times New Roman" w:cs="Times New Roman"/>
                      <w:b/>
                      <w:color w:val="auto"/>
                      <w:szCs w:val="21"/>
                    </w:rPr>
                  </w:pPr>
                  <w:r>
                    <w:rPr>
                      <w:rFonts w:hint="eastAsia"/>
                      <w:color w:val="auto"/>
                      <w:sz w:val="21"/>
                      <w:szCs w:val="21"/>
                    </w:rPr>
                    <w:t>危险废物：</w:t>
                  </w:r>
                  <w:r>
                    <w:rPr>
                      <w:color w:val="auto"/>
                      <w:sz w:val="21"/>
                      <w:szCs w:val="21"/>
                    </w:rPr>
                    <w:t>废</w:t>
                  </w:r>
                  <w:r>
                    <w:rPr>
                      <w:rFonts w:hint="eastAsia"/>
                      <w:color w:val="auto"/>
                      <w:sz w:val="21"/>
                      <w:szCs w:val="21"/>
                    </w:rPr>
                    <w:t>润滑</w:t>
                  </w:r>
                  <w:r>
                    <w:rPr>
                      <w:color w:val="auto"/>
                      <w:sz w:val="21"/>
                      <w:szCs w:val="21"/>
                    </w:rPr>
                    <w:t>油</w:t>
                  </w:r>
                  <w:r>
                    <w:rPr>
                      <w:rFonts w:hint="eastAsia"/>
                      <w:color w:val="auto"/>
                      <w:sz w:val="21"/>
                      <w:szCs w:val="21"/>
                    </w:rPr>
                    <w:t>和</w:t>
                  </w:r>
                  <w:r>
                    <w:rPr>
                      <w:color w:val="auto"/>
                      <w:sz w:val="21"/>
                      <w:szCs w:val="21"/>
                    </w:rPr>
                    <w:t>废油桶</w:t>
                  </w:r>
                  <w:r>
                    <w:rPr>
                      <w:rFonts w:hint="eastAsia" w:ascii="Times New Roman" w:hAnsi="Times New Roman" w:cs="Times New Roman"/>
                      <w:color w:val="auto"/>
                      <w:sz w:val="21"/>
                      <w:szCs w:val="21"/>
                    </w:rPr>
                    <w:t>，收集后暂存于危废间，</w:t>
                  </w:r>
                  <w:r>
                    <w:rPr>
                      <w:rFonts w:hint="eastAsia"/>
                      <w:color w:val="auto"/>
                      <w:sz w:val="21"/>
                      <w:szCs w:val="21"/>
                    </w:rPr>
                    <w:t>定期交有资质单位处理。</w:t>
                  </w:r>
                </w:p>
              </w:tc>
              <w:tc>
                <w:tcPr>
                  <w:tcW w:w="450" w:type="pct"/>
                  <w:tcBorders>
                    <w:tl2br w:val="nil"/>
                    <w:tr2bl w:val="nil"/>
                  </w:tcBorders>
                  <w:vAlign w:val="center"/>
                </w:tcPr>
                <w:p w14:paraId="322C7CA2">
                  <w:pPr>
                    <w:spacing w:line="320" w:lineRule="exact"/>
                    <w:jc w:val="center"/>
                    <w:rPr>
                      <w:color w:val="auto"/>
                      <w:szCs w:val="21"/>
                    </w:rPr>
                  </w:pPr>
                </w:p>
              </w:tc>
            </w:tr>
          </w:tbl>
          <w:p w14:paraId="23058710">
            <w:pPr>
              <w:pStyle w:val="6"/>
              <w:numPr>
                <w:ilvl w:val="0"/>
                <w:numId w:val="0"/>
              </w:numPr>
              <w:tabs>
                <w:tab w:val="left" w:pos="0"/>
              </w:tabs>
              <w:spacing w:line="500" w:lineRule="exact"/>
              <w:ind w:left="3573" w:leftChars="0" w:hanging="3573" w:hangingChars="1483"/>
              <w:jc w:val="center"/>
              <w:rPr>
                <w:rFonts w:ascii="Times New Roman" w:hAnsi="Times New Roman" w:eastAsiaTheme="minorEastAsia"/>
                <w:b/>
                <w:bCs/>
                <w:color w:val="auto"/>
                <w:sz w:val="24"/>
                <w:szCs w:val="24"/>
              </w:rPr>
            </w:pPr>
            <w:r>
              <w:rPr>
                <w:rFonts w:hint="default" w:ascii="Times New Roman" w:hAnsi="Times New Roman" w:cs="Arial" w:eastAsiaTheme="minorEastAsia"/>
                <w:b/>
                <w:bCs/>
                <w:color w:val="auto"/>
                <w:kern w:val="2"/>
                <w:sz w:val="24"/>
                <w:szCs w:val="24"/>
                <w:lang w:val="en-US" w:eastAsia="zh-CN" w:bidi="ar-SA"/>
              </w:rPr>
              <w:t>表</w:t>
            </w:r>
            <w:r>
              <w:rPr>
                <w:rFonts w:hint="eastAsia" w:ascii="Times New Roman" w:hAnsi="Times New Roman" w:cs="Arial" w:eastAsiaTheme="minorEastAsia"/>
                <w:b/>
                <w:bCs/>
                <w:color w:val="auto"/>
                <w:kern w:val="2"/>
                <w:sz w:val="24"/>
                <w:szCs w:val="24"/>
                <w:lang w:val="en-US" w:eastAsia="zh-CN" w:bidi="ar-SA"/>
              </w:rPr>
              <w:t>8</w:t>
            </w:r>
            <w:r>
              <w:rPr>
                <w:rFonts w:hint="eastAsia" w:ascii="Times New Roman" w:hAnsi="Times New Roman" w:eastAsiaTheme="minorEastAsia"/>
                <w:b/>
                <w:bCs/>
                <w:color w:val="auto"/>
                <w:sz w:val="24"/>
                <w:szCs w:val="24"/>
                <w:lang w:val="en-US" w:eastAsia="zh-CN"/>
              </w:rPr>
              <w:t xml:space="preserve"> </w:t>
            </w:r>
            <w:r>
              <w:rPr>
                <w:rFonts w:ascii="Times New Roman" w:hAnsi="Times New Roman" w:eastAsiaTheme="minorEastAsia"/>
                <w:b/>
                <w:bCs/>
                <w:color w:val="auto"/>
                <w:sz w:val="24"/>
                <w:szCs w:val="24"/>
              </w:rPr>
              <w:t xml:space="preserve"> </w:t>
            </w:r>
            <w:r>
              <w:rPr>
                <w:rFonts w:hint="eastAsia" w:ascii="Times New Roman" w:hAnsi="Times New Roman" w:eastAsiaTheme="minorEastAsia"/>
                <w:b/>
                <w:bCs/>
                <w:color w:val="auto"/>
                <w:sz w:val="24"/>
                <w:szCs w:val="24"/>
              </w:rPr>
              <w:t xml:space="preserve"> </w:t>
            </w:r>
            <w:r>
              <w:rPr>
                <w:rFonts w:ascii="Times New Roman" w:hAnsi="Times New Roman" w:eastAsiaTheme="minorEastAsia"/>
                <w:b/>
                <w:bCs/>
                <w:color w:val="auto"/>
                <w:sz w:val="24"/>
                <w:szCs w:val="24"/>
              </w:rPr>
              <w:t>本项目主要建构筑物一览表</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486"/>
              <w:gridCol w:w="1098"/>
              <w:gridCol w:w="1528"/>
              <w:gridCol w:w="1426"/>
              <w:gridCol w:w="2518"/>
              <w:gridCol w:w="1147"/>
            </w:tblGrid>
            <w:tr w14:paraId="436A1E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296" w:type="pct"/>
                  <w:vAlign w:val="center"/>
                </w:tcPr>
                <w:p w14:paraId="4888754A">
                  <w:pPr>
                    <w:widowControl/>
                    <w:adjustRightInd w:val="0"/>
                    <w:snapToGrid w:val="0"/>
                    <w:spacing w:line="320" w:lineRule="exact"/>
                    <w:jc w:val="center"/>
                    <w:textAlignment w:val="center"/>
                    <w:rPr>
                      <w:color w:val="auto"/>
                      <w:szCs w:val="21"/>
                    </w:rPr>
                  </w:pPr>
                  <w:r>
                    <w:rPr>
                      <w:color w:val="auto"/>
                      <w:kern w:val="0"/>
                      <w:szCs w:val="21"/>
                    </w:rPr>
                    <w:t>序号</w:t>
                  </w:r>
                </w:p>
              </w:tc>
              <w:tc>
                <w:tcPr>
                  <w:tcW w:w="669" w:type="pct"/>
                  <w:vAlign w:val="center"/>
                </w:tcPr>
                <w:p w14:paraId="7B7F33AC">
                  <w:pPr>
                    <w:widowControl/>
                    <w:adjustRightInd w:val="0"/>
                    <w:snapToGrid w:val="0"/>
                    <w:spacing w:line="320" w:lineRule="exact"/>
                    <w:jc w:val="center"/>
                    <w:textAlignment w:val="center"/>
                    <w:rPr>
                      <w:color w:val="auto"/>
                      <w:szCs w:val="21"/>
                    </w:rPr>
                  </w:pPr>
                  <w:r>
                    <w:rPr>
                      <w:color w:val="auto"/>
                      <w:kern w:val="0"/>
                      <w:szCs w:val="21"/>
                    </w:rPr>
                    <w:t>名称</w:t>
                  </w:r>
                </w:p>
              </w:tc>
              <w:tc>
                <w:tcPr>
                  <w:tcW w:w="931" w:type="pct"/>
                  <w:vAlign w:val="center"/>
                </w:tcPr>
                <w:p w14:paraId="02BB4A7D">
                  <w:pPr>
                    <w:widowControl/>
                    <w:adjustRightInd w:val="0"/>
                    <w:snapToGrid w:val="0"/>
                    <w:spacing w:line="320" w:lineRule="exact"/>
                    <w:jc w:val="center"/>
                    <w:textAlignment w:val="center"/>
                    <w:rPr>
                      <w:color w:val="auto"/>
                      <w:szCs w:val="21"/>
                    </w:rPr>
                  </w:pPr>
                  <w:r>
                    <w:rPr>
                      <w:color w:val="auto"/>
                      <w:kern w:val="0"/>
                      <w:szCs w:val="21"/>
                    </w:rPr>
                    <w:t>建筑面积m</w:t>
                  </w:r>
                  <w:r>
                    <w:rPr>
                      <w:color w:val="auto"/>
                      <w:kern w:val="0"/>
                      <w:szCs w:val="21"/>
                      <w:vertAlign w:val="superscript"/>
                    </w:rPr>
                    <w:t>2</w:t>
                  </w:r>
                </w:p>
              </w:tc>
              <w:tc>
                <w:tcPr>
                  <w:tcW w:w="869" w:type="pct"/>
                  <w:tcBorders>
                    <w:right w:val="single" w:color="auto" w:sz="4" w:space="0"/>
                  </w:tcBorders>
                  <w:vAlign w:val="center"/>
                </w:tcPr>
                <w:p w14:paraId="75F019A5">
                  <w:pPr>
                    <w:widowControl/>
                    <w:adjustRightInd w:val="0"/>
                    <w:snapToGrid w:val="0"/>
                    <w:spacing w:line="320" w:lineRule="exact"/>
                    <w:jc w:val="center"/>
                    <w:textAlignment w:val="center"/>
                    <w:rPr>
                      <w:color w:val="auto"/>
                      <w:kern w:val="0"/>
                      <w:szCs w:val="21"/>
                    </w:rPr>
                  </w:pPr>
                  <w:r>
                    <w:rPr>
                      <w:color w:val="auto"/>
                      <w:kern w:val="0"/>
                      <w:szCs w:val="21"/>
                    </w:rPr>
                    <w:t>占地面积m</w:t>
                  </w:r>
                  <w:r>
                    <w:rPr>
                      <w:color w:val="auto"/>
                      <w:kern w:val="0"/>
                      <w:szCs w:val="21"/>
                      <w:vertAlign w:val="superscript"/>
                    </w:rPr>
                    <w:t>2</w:t>
                  </w:r>
                </w:p>
              </w:tc>
              <w:tc>
                <w:tcPr>
                  <w:tcW w:w="1534" w:type="pct"/>
                  <w:tcBorders>
                    <w:left w:val="single" w:color="auto" w:sz="4" w:space="0"/>
                  </w:tcBorders>
                  <w:vAlign w:val="center"/>
                </w:tcPr>
                <w:p w14:paraId="195E6761">
                  <w:pPr>
                    <w:widowControl/>
                    <w:adjustRightInd w:val="0"/>
                    <w:snapToGrid w:val="0"/>
                    <w:spacing w:line="320" w:lineRule="exact"/>
                    <w:jc w:val="center"/>
                    <w:textAlignment w:val="center"/>
                    <w:rPr>
                      <w:color w:val="auto"/>
                      <w:kern w:val="0"/>
                      <w:szCs w:val="21"/>
                    </w:rPr>
                  </w:pPr>
                  <w:r>
                    <w:rPr>
                      <w:color w:val="auto"/>
                      <w:kern w:val="0"/>
                      <w:szCs w:val="21"/>
                    </w:rPr>
                    <w:t>结构形式</w:t>
                  </w:r>
                </w:p>
              </w:tc>
              <w:tc>
                <w:tcPr>
                  <w:tcW w:w="699" w:type="pct"/>
                  <w:tcBorders>
                    <w:left w:val="single" w:color="auto" w:sz="4" w:space="0"/>
                  </w:tcBorders>
                  <w:vAlign w:val="center"/>
                </w:tcPr>
                <w:p w14:paraId="3C9FB42B">
                  <w:pPr>
                    <w:widowControl/>
                    <w:adjustRightInd w:val="0"/>
                    <w:snapToGrid w:val="0"/>
                    <w:spacing w:line="320" w:lineRule="exact"/>
                    <w:jc w:val="center"/>
                    <w:textAlignment w:val="center"/>
                    <w:rPr>
                      <w:color w:val="auto"/>
                      <w:kern w:val="0"/>
                      <w:szCs w:val="21"/>
                    </w:rPr>
                  </w:pPr>
                  <w:r>
                    <w:rPr>
                      <w:rFonts w:hint="eastAsia"/>
                      <w:color w:val="auto"/>
                      <w:kern w:val="0"/>
                      <w:szCs w:val="21"/>
                    </w:rPr>
                    <w:t>备注</w:t>
                  </w:r>
                </w:p>
              </w:tc>
            </w:tr>
            <w:tr w14:paraId="2AA0E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670" w:hRule="atLeast"/>
                <w:jc w:val="center"/>
              </w:trPr>
              <w:tc>
                <w:tcPr>
                  <w:tcW w:w="296" w:type="pct"/>
                  <w:vAlign w:val="center"/>
                </w:tcPr>
                <w:p w14:paraId="3890E104">
                  <w:pPr>
                    <w:pStyle w:val="34"/>
                    <w:spacing w:before="31" w:after="31" w:line="320" w:lineRule="exact"/>
                    <w:rPr>
                      <w:rFonts w:ascii="Times New Roman"/>
                      <w:color w:val="auto"/>
                      <w:szCs w:val="21"/>
                    </w:rPr>
                  </w:pPr>
                  <w:r>
                    <w:rPr>
                      <w:rFonts w:ascii="Times New Roman"/>
                      <w:color w:val="auto"/>
                    </w:rPr>
                    <w:t>1</w:t>
                  </w:r>
                </w:p>
              </w:tc>
              <w:tc>
                <w:tcPr>
                  <w:tcW w:w="669" w:type="pct"/>
                  <w:vAlign w:val="center"/>
                </w:tcPr>
                <w:p w14:paraId="7632AD69">
                  <w:pPr>
                    <w:adjustRightInd w:val="0"/>
                    <w:spacing w:line="320" w:lineRule="exact"/>
                    <w:jc w:val="center"/>
                    <w:rPr>
                      <w:rFonts w:hint="eastAsia" w:eastAsia="宋体"/>
                      <w:bCs/>
                      <w:snapToGrid w:val="0"/>
                      <w:color w:val="auto"/>
                      <w:kern w:val="0"/>
                      <w:szCs w:val="21"/>
                      <w:lang w:eastAsia="zh-CN"/>
                    </w:rPr>
                  </w:pPr>
                  <w:r>
                    <w:rPr>
                      <w:rFonts w:hint="eastAsia"/>
                      <w:bCs/>
                      <w:snapToGrid w:val="0"/>
                      <w:color w:val="auto"/>
                      <w:kern w:val="0"/>
                      <w:szCs w:val="21"/>
                    </w:rPr>
                    <w:t>1#</w:t>
                  </w:r>
                  <w:r>
                    <w:rPr>
                      <w:rFonts w:hint="eastAsia"/>
                      <w:bCs/>
                      <w:snapToGrid w:val="0"/>
                      <w:color w:val="auto"/>
                      <w:kern w:val="0"/>
                      <w:szCs w:val="21"/>
                      <w:lang w:eastAsia="zh-CN"/>
                    </w:rPr>
                    <w:t>厂房</w:t>
                  </w:r>
                </w:p>
              </w:tc>
              <w:tc>
                <w:tcPr>
                  <w:tcW w:w="931" w:type="pct"/>
                  <w:vAlign w:val="center"/>
                </w:tcPr>
                <w:p w14:paraId="1D701334">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869" w:type="pct"/>
                  <w:tcBorders>
                    <w:right w:val="single" w:color="auto" w:sz="4" w:space="0"/>
                  </w:tcBorders>
                  <w:vAlign w:val="center"/>
                </w:tcPr>
                <w:p w14:paraId="3DCE584C">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1534" w:type="pct"/>
                  <w:tcBorders>
                    <w:left w:val="single" w:color="auto" w:sz="4" w:space="0"/>
                  </w:tcBorders>
                  <w:vAlign w:val="center"/>
                </w:tcPr>
                <w:p w14:paraId="5E2C3932">
                  <w:pPr>
                    <w:widowControl/>
                    <w:adjustRightInd w:val="0"/>
                    <w:snapToGrid w:val="0"/>
                    <w:spacing w:line="320" w:lineRule="exact"/>
                    <w:jc w:val="center"/>
                    <w:textAlignment w:val="center"/>
                    <w:rPr>
                      <w:color w:val="auto"/>
                      <w:kern w:val="0"/>
                      <w:szCs w:val="21"/>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rPr>
                    <w:t>5</w:t>
                  </w:r>
                  <w:r>
                    <w:rPr>
                      <w:rFonts w:hint="eastAsia"/>
                      <w:color w:val="auto"/>
                      <w:kern w:val="0"/>
                      <w:szCs w:val="21"/>
                      <w:lang w:val="en-US" w:eastAsia="zh-CN"/>
                    </w:rPr>
                    <w:t>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1F9C4AF6">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D2ED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67723FB7">
                  <w:pPr>
                    <w:pStyle w:val="34"/>
                    <w:spacing w:before="31" w:after="31" w:line="320" w:lineRule="exact"/>
                    <w:rPr>
                      <w:rFonts w:ascii="Times New Roman"/>
                      <w:color w:val="auto"/>
                      <w:szCs w:val="21"/>
                    </w:rPr>
                  </w:pPr>
                  <w:r>
                    <w:rPr>
                      <w:rFonts w:hint="eastAsia" w:ascii="Times New Roman"/>
                      <w:color w:val="auto"/>
                      <w:szCs w:val="21"/>
                    </w:rPr>
                    <w:t>2</w:t>
                  </w:r>
                </w:p>
              </w:tc>
              <w:tc>
                <w:tcPr>
                  <w:tcW w:w="669" w:type="pct"/>
                  <w:vAlign w:val="center"/>
                </w:tcPr>
                <w:p w14:paraId="1B6DE6B1">
                  <w:pPr>
                    <w:adjustRightInd w:val="0"/>
                    <w:spacing w:line="320" w:lineRule="exact"/>
                    <w:jc w:val="center"/>
                    <w:rPr>
                      <w:rFonts w:hint="eastAsia" w:eastAsia="宋体"/>
                      <w:bCs/>
                      <w:snapToGrid w:val="0"/>
                      <w:color w:val="auto"/>
                      <w:kern w:val="0"/>
                      <w:szCs w:val="21"/>
                      <w:lang w:eastAsia="zh-CN"/>
                    </w:rPr>
                  </w:pPr>
                  <w:r>
                    <w:rPr>
                      <w:rFonts w:hint="eastAsia"/>
                      <w:bCs/>
                      <w:snapToGrid w:val="0"/>
                      <w:color w:val="auto"/>
                      <w:kern w:val="0"/>
                      <w:szCs w:val="21"/>
                    </w:rPr>
                    <w:t>2#</w:t>
                  </w:r>
                  <w:r>
                    <w:rPr>
                      <w:rFonts w:hint="eastAsia"/>
                      <w:bCs/>
                      <w:snapToGrid w:val="0"/>
                      <w:color w:val="auto"/>
                      <w:kern w:val="0"/>
                      <w:szCs w:val="21"/>
                      <w:lang w:eastAsia="zh-CN"/>
                    </w:rPr>
                    <w:t>厂房</w:t>
                  </w:r>
                </w:p>
              </w:tc>
              <w:tc>
                <w:tcPr>
                  <w:tcW w:w="931" w:type="pct"/>
                  <w:vAlign w:val="center"/>
                </w:tcPr>
                <w:p w14:paraId="1AF535AB">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869" w:type="pct"/>
                  <w:tcBorders>
                    <w:right w:val="single" w:color="auto" w:sz="4" w:space="0"/>
                  </w:tcBorders>
                  <w:vAlign w:val="center"/>
                </w:tcPr>
                <w:p w14:paraId="0553C55F">
                  <w:pPr>
                    <w:widowControl/>
                    <w:adjustRightInd w:val="0"/>
                    <w:snapToGrid w:val="0"/>
                    <w:spacing w:line="320" w:lineRule="exact"/>
                    <w:jc w:val="center"/>
                    <w:textAlignment w:val="center"/>
                    <w:rPr>
                      <w:color w:val="auto"/>
                      <w:szCs w:val="21"/>
                    </w:rPr>
                  </w:pPr>
                  <w:r>
                    <w:rPr>
                      <w:rFonts w:hint="eastAsia"/>
                      <w:color w:val="auto"/>
                      <w:szCs w:val="21"/>
                      <w:lang w:val="en-US" w:eastAsia="zh-CN"/>
                    </w:rPr>
                    <w:t>75</w:t>
                  </w:r>
                  <w:r>
                    <w:rPr>
                      <w:rFonts w:hint="eastAsia"/>
                      <w:color w:val="auto"/>
                      <w:szCs w:val="21"/>
                    </w:rPr>
                    <w:t>00</w:t>
                  </w:r>
                </w:p>
              </w:tc>
              <w:tc>
                <w:tcPr>
                  <w:tcW w:w="1534" w:type="pct"/>
                  <w:tcBorders>
                    <w:left w:val="single" w:color="auto" w:sz="4" w:space="0"/>
                  </w:tcBorders>
                  <w:vAlign w:val="center"/>
                </w:tcPr>
                <w:p w14:paraId="140711D0">
                  <w:pPr>
                    <w:widowControl/>
                    <w:adjustRightInd w:val="0"/>
                    <w:snapToGrid w:val="0"/>
                    <w:spacing w:line="320" w:lineRule="exact"/>
                    <w:jc w:val="center"/>
                    <w:textAlignment w:val="center"/>
                    <w:rPr>
                      <w:color w:val="auto"/>
                      <w:kern w:val="0"/>
                      <w:szCs w:val="21"/>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rPr>
                    <w:t>5</w:t>
                  </w:r>
                  <w:r>
                    <w:rPr>
                      <w:rFonts w:hint="eastAsia"/>
                      <w:color w:val="auto"/>
                      <w:kern w:val="0"/>
                      <w:szCs w:val="21"/>
                      <w:lang w:val="en-US" w:eastAsia="zh-CN"/>
                    </w:rPr>
                    <w:t>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03F0CF31">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0034F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0D32F120">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3</w:t>
                  </w:r>
                </w:p>
              </w:tc>
              <w:tc>
                <w:tcPr>
                  <w:tcW w:w="669" w:type="pct"/>
                  <w:vAlign w:val="center"/>
                </w:tcPr>
                <w:p w14:paraId="54E41AD8">
                  <w:pPr>
                    <w:adjustRightInd w:val="0"/>
                    <w:spacing w:line="320" w:lineRule="exact"/>
                    <w:jc w:val="center"/>
                    <w:rPr>
                      <w:rFonts w:hint="default" w:eastAsia="宋体"/>
                      <w:bCs/>
                      <w:snapToGrid w:val="0"/>
                      <w:color w:val="auto"/>
                      <w:kern w:val="0"/>
                      <w:szCs w:val="21"/>
                      <w:lang w:val="en-US" w:eastAsia="zh-CN"/>
                    </w:rPr>
                  </w:pPr>
                  <w:r>
                    <w:rPr>
                      <w:rFonts w:hint="eastAsia"/>
                      <w:bCs/>
                      <w:snapToGrid w:val="0"/>
                      <w:color w:val="auto"/>
                      <w:kern w:val="0"/>
                      <w:szCs w:val="21"/>
                      <w:lang w:val="en-US" w:eastAsia="zh-CN"/>
                    </w:rPr>
                    <w:t>3#厂房</w:t>
                  </w:r>
                </w:p>
              </w:tc>
              <w:tc>
                <w:tcPr>
                  <w:tcW w:w="931" w:type="pct"/>
                  <w:vAlign w:val="center"/>
                </w:tcPr>
                <w:p w14:paraId="042F3FDE">
                  <w:pPr>
                    <w:widowControl/>
                    <w:adjustRightInd w:val="0"/>
                    <w:snapToGrid w:val="0"/>
                    <w:spacing w:line="320" w:lineRule="exact"/>
                    <w:jc w:val="center"/>
                    <w:textAlignment w:val="center"/>
                    <w:rPr>
                      <w:rFonts w:hint="default"/>
                      <w:color w:val="auto"/>
                      <w:szCs w:val="21"/>
                      <w:lang w:val="en-US" w:eastAsia="zh-CN"/>
                    </w:rPr>
                  </w:pPr>
                  <w:r>
                    <w:rPr>
                      <w:rFonts w:hint="eastAsia"/>
                      <w:color w:val="auto"/>
                      <w:szCs w:val="21"/>
                      <w:lang w:val="en-US" w:eastAsia="zh-CN"/>
                    </w:rPr>
                    <w:t>15000</w:t>
                  </w:r>
                </w:p>
              </w:tc>
              <w:tc>
                <w:tcPr>
                  <w:tcW w:w="869" w:type="pct"/>
                  <w:tcBorders>
                    <w:right w:val="single" w:color="auto" w:sz="4" w:space="0"/>
                  </w:tcBorders>
                  <w:vAlign w:val="center"/>
                </w:tcPr>
                <w:p w14:paraId="20B18CB7">
                  <w:pPr>
                    <w:widowControl/>
                    <w:adjustRightInd w:val="0"/>
                    <w:snapToGrid w:val="0"/>
                    <w:spacing w:line="320" w:lineRule="exact"/>
                    <w:jc w:val="center"/>
                    <w:textAlignment w:val="center"/>
                    <w:rPr>
                      <w:rFonts w:hint="default"/>
                      <w:color w:val="auto"/>
                      <w:szCs w:val="21"/>
                      <w:lang w:val="en-US" w:eastAsia="zh-CN"/>
                    </w:rPr>
                  </w:pPr>
                  <w:r>
                    <w:rPr>
                      <w:rFonts w:hint="eastAsia"/>
                      <w:color w:val="auto"/>
                      <w:szCs w:val="21"/>
                      <w:lang w:val="en-US" w:eastAsia="zh-CN"/>
                    </w:rPr>
                    <w:t>15000</w:t>
                  </w:r>
                </w:p>
              </w:tc>
              <w:tc>
                <w:tcPr>
                  <w:tcW w:w="1534" w:type="pct"/>
                  <w:tcBorders>
                    <w:left w:val="single" w:color="auto" w:sz="4" w:space="0"/>
                  </w:tcBorders>
                  <w:vAlign w:val="center"/>
                </w:tcPr>
                <w:p w14:paraId="7D9BDF37">
                  <w:pPr>
                    <w:widowControl/>
                    <w:adjustRightInd w:val="0"/>
                    <w:snapToGrid w:val="0"/>
                    <w:spacing w:line="320" w:lineRule="exact"/>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1</w:t>
                  </w:r>
                  <w:r>
                    <w:rPr>
                      <w:rFonts w:hint="eastAsia"/>
                      <w:color w:val="auto"/>
                      <w:kern w:val="0"/>
                      <w:szCs w:val="21"/>
                      <w:lang w:val="en-US" w:eastAsia="zh-CN"/>
                    </w:rPr>
                    <w:t>5</w:t>
                  </w:r>
                  <w:r>
                    <w:rPr>
                      <w:rFonts w:hint="eastAsia"/>
                      <w:color w:val="auto"/>
                      <w:kern w:val="0"/>
                      <w:szCs w:val="21"/>
                    </w:rPr>
                    <w:t>0m</w:t>
                  </w:r>
                  <w:r>
                    <w:rPr>
                      <w:color w:val="auto"/>
                      <w:kern w:val="0"/>
                      <w:szCs w:val="21"/>
                    </w:rPr>
                    <w:t>×</w:t>
                  </w:r>
                  <w:r>
                    <w:rPr>
                      <w:rFonts w:hint="eastAsia"/>
                      <w:color w:val="auto"/>
                      <w:kern w:val="0"/>
                      <w:szCs w:val="21"/>
                      <w:lang w:val="en-US" w:eastAsia="zh-CN"/>
                    </w:rPr>
                    <w:t>100</w:t>
                  </w:r>
                  <w:r>
                    <w:rPr>
                      <w:rFonts w:hint="eastAsia"/>
                      <w:color w:val="auto"/>
                      <w:kern w:val="0"/>
                      <w:szCs w:val="21"/>
                    </w:rPr>
                    <w:t>m</w:t>
                  </w:r>
                  <w:r>
                    <w:rPr>
                      <w:color w:val="auto"/>
                      <w:kern w:val="0"/>
                      <w:szCs w:val="21"/>
                    </w:rPr>
                    <w:t>×</w:t>
                  </w:r>
                  <w:r>
                    <w:rPr>
                      <w:rFonts w:hint="eastAsia"/>
                      <w:color w:val="auto"/>
                      <w:kern w:val="0"/>
                      <w:szCs w:val="21"/>
                    </w:rPr>
                    <w:t>11.5m，2.5m基础墙+单层钢结构</w:t>
                  </w:r>
                </w:p>
              </w:tc>
              <w:tc>
                <w:tcPr>
                  <w:tcW w:w="699" w:type="pct"/>
                  <w:tcBorders>
                    <w:left w:val="single" w:color="auto" w:sz="4" w:space="0"/>
                  </w:tcBorders>
                  <w:vAlign w:val="center"/>
                </w:tcPr>
                <w:p w14:paraId="1B94FE12">
                  <w:pPr>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szCs w:val="21"/>
                      <w:lang w:eastAsia="zh-CN"/>
                    </w:rPr>
                    <w:t>租赁现有</w:t>
                  </w:r>
                </w:p>
              </w:tc>
            </w:tr>
            <w:tr w14:paraId="2BC166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3276E671">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4</w:t>
                  </w:r>
                </w:p>
              </w:tc>
              <w:tc>
                <w:tcPr>
                  <w:tcW w:w="669" w:type="pct"/>
                  <w:vAlign w:val="center"/>
                </w:tcPr>
                <w:p w14:paraId="54E647C2">
                  <w:pPr>
                    <w:adjustRightInd w:val="0"/>
                    <w:spacing w:line="320" w:lineRule="exact"/>
                    <w:jc w:val="center"/>
                    <w:rPr>
                      <w:bCs/>
                      <w:snapToGrid w:val="0"/>
                      <w:color w:val="auto"/>
                      <w:kern w:val="0"/>
                      <w:szCs w:val="21"/>
                    </w:rPr>
                  </w:pPr>
                  <w:r>
                    <w:rPr>
                      <w:rFonts w:hint="eastAsia"/>
                      <w:bCs/>
                      <w:snapToGrid w:val="0"/>
                      <w:color w:val="auto"/>
                      <w:kern w:val="0"/>
                      <w:szCs w:val="21"/>
                    </w:rPr>
                    <w:t>危废间</w:t>
                  </w:r>
                </w:p>
              </w:tc>
              <w:tc>
                <w:tcPr>
                  <w:tcW w:w="931" w:type="pct"/>
                  <w:vAlign w:val="center"/>
                </w:tcPr>
                <w:p w14:paraId="0F2C31E8">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25</w:t>
                  </w:r>
                </w:p>
              </w:tc>
              <w:tc>
                <w:tcPr>
                  <w:tcW w:w="869" w:type="pct"/>
                  <w:tcBorders>
                    <w:right w:val="single" w:color="auto" w:sz="4" w:space="0"/>
                  </w:tcBorders>
                  <w:vAlign w:val="center"/>
                </w:tcPr>
                <w:p w14:paraId="57250D18">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25</w:t>
                  </w:r>
                </w:p>
              </w:tc>
              <w:tc>
                <w:tcPr>
                  <w:tcW w:w="1534" w:type="pct"/>
                  <w:tcBorders>
                    <w:left w:val="single" w:color="auto" w:sz="4" w:space="0"/>
                  </w:tcBorders>
                  <w:vAlign w:val="center"/>
                </w:tcPr>
                <w:p w14:paraId="036FC37A">
                  <w:pPr>
                    <w:widowControl/>
                    <w:adjustRightInd w:val="0"/>
                    <w:snapToGrid w:val="0"/>
                    <w:spacing w:line="320" w:lineRule="exact"/>
                    <w:jc w:val="center"/>
                    <w:textAlignment w:val="center"/>
                    <w:rPr>
                      <w:color w:val="auto"/>
                      <w:kern w:val="0"/>
                      <w:szCs w:val="21"/>
                    </w:rPr>
                  </w:pPr>
                  <w:r>
                    <w:rPr>
                      <w:rFonts w:hint="eastAsia"/>
                      <w:color w:val="auto"/>
                      <w:kern w:val="0"/>
                      <w:szCs w:val="21"/>
                    </w:rPr>
                    <w:t>砖混结构</w:t>
                  </w:r>
                </w:p>
              </w:tc>
              <w:tc>
                <w:tcPr>
                  <w:tcW w:w="699" w:type="pct"/>
                  <w:tcBorders>
                    <w:left w:val="single" w:color="auto" w:sz="4" w:space="0"/>
                  </w:tcBorders>
                  <w:vAlign w:val="center"/>
                </w:tcPr>
                <w:p w14:paraId="103D354E">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45EF4E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42" w:hRule="atLeast"/>
                <w:jc w:val="center"/>
              </w:trPr>
              <w:tc>
                <w:tcPr>
                  <w:tcW w:w="296" w:type="pct"/>
                  <w:vAlign w:val="center"/>
                </w:tcPr>
                <w:p w14:paraId="7CE1786A">
                  <w:pPr>
                    <w:pStyle w:val="34"/>
                    <w:spacing w:before="31" w:after="31" w:line="320" w:lineRule="exact"/>
                    <w:rPr>
                      <w:rFonts w:hint="eastAsia" w:ascii="Times New Roman" w:hAnsi="Times New Roman" w:eastAsia="宋体" w:cs="Times New Roman"/>
                      <w:color w:val="auto"/>
                      <w:kern w:val="0"/>
                      <w:sz w:val="21"/>
                      <w:szCs w:val="21"/>
                      <w:lang w:val="en-US" w:eastAsia="zh-CN" w:bidi="ar-SA"/>
                    </w:rPr>
                  </w:pPr>
                  <w:r>
                    <w:rPr>
                      <w:rFonts w:hint="eastAsia" w:ascii="Times New Roman"/>
                      <w:color w:val="auto"/>
                      <w:szCs w:val="21"/>
                      <w:lang w:val="en-US" w:eastAsia="zh-CN"/>
                    </w:rPr>
                    <w:t>5</w:t>
                  </w:r>
                </w:p>
              </w:tc>
              <w:tc>
                <w:tcPr>
                  <w:tcW w:w="669" w:type="pct"/>
                  <w:vAlign w:val="center"/>
                </w:tcPr>
                <w:p w14:paraId="174606DD">
                  <w:pPr>
                    <w:adjustRightInd w:val="0"/>
                    <w:spacing w:line="320" w:lineRule="exact"/>
                    <w:jc w:val="center"/>
                    <w:rPr>
                      <w:bCs/>
                      <w:snapToGrid w:val="0"/>
                      <w:color w:val="auto"/>
                      <w:kern w:val="0"/>
                      <w:szCs w:val="21"/>
                    </w:rPr>
                  </w:pPr>
                  <w:r>
                    <w:rPr>
                      <w:rFonts w:hint="eastAsia"/>
                      <w:bCs/>
                      <w:snapToGrid w:val="0"/>
                      <w:color w:val="auto"/>
                      <w:kern w:val="0"/>
                      <w:szCs w:val="21"/>
                    </w:rPr>
                    <w:t>地磅房</w:t>
                  </w:r>
                </w:p>
              </w:tc>
              <w:tc>
                <w:tcPr>
                  <w:tcW w:w="931" w:type="pct"/>
                  <w:vAlign w:val="center"/>
                </w:tcPr>
                <w:p w14:paraId="3425FAB7">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869" w:type="pct"/>
                  <w:tcBorders>
                    <w:right w:val="single" w:color="auto" w:sz="4" w:space="0"/>
                  </w:tcBorders>
                  <w:vAlign w:val="center"/>
                </w:tcPr>
                <w:p w14:paraId="39DCB35A">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1534" w:type="pct"/>
                  <w:tcBorders>
                    <w:left w:val="single" w:color="auto" w:sz="4" w:space="0"/>
                  </w:tcBorders>
                  <w:vAlign w:val="center"/>
                </w:tcPr>
                <w:p w14:paraId="08A04E8A">
                  <w:pPr>
                    <w:widowControl/>
                    <w:adjustRightInd w:val="0"/>
                    <w:snapToGrid w:val="0"/>
                    <w:spacing w:line="320" w:lineRule="exact"/>
                    <w:jc w:val="center"/>
                    <w:textAlignment w:val="center"/>
                    <w:rPr>
                      <w:color w:val="auto"/>
                      <w:kern w:val="0"/>
                      <w:szCs w:val="21"/>
                      <w:highlight w:val="yellow"/>
                    </w:rPr>
                  </w:pPr>
                  <w:r>
                    <w:rPr>
                      <w:rFonts w:hint="eastAsia"/>
                      <w:color w:val="auto"/>
                      <w:kern w:val="0"/>
                      <w:szCs w:val="21"/>
                    </w:rPr>
                    <w:t>砖混结构</w:t>
                  </w:r>
                </w:p>
              </w:tc>
              <w:tc>
                <w:tcPr>
                  <w:tcW w:w="699" w:type="pct"/>
                  <w:tcBorders>
                    <w:left w:val="single" w:color="auto" w:sz="4" w:space="0"/>
                  </w:tcBorders>
                  <w:vAlign w:val="center"/>
                </w:tcPr>
                <w:p w14:paraId="76789749">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673A73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500E0BD8">
                  <w:pPr>
                    <w:pStyle w:val="34"/>
                    <w:spacing w:before="31" w:after="31" w:line="320" w:lineRule="exact"/>
                    <w:rPr>
                      <w:rFonts w:hint="default" w:ascii="Times New Roman" w:eastAsia="宋体"/>
                      <w:color w:val="auto"/>
                      <w:szCs w:val="21"/>
                      <w:lang w:val="en-US" w:eastAsia="zh-CN"/>
                    </w:rPr>
                  </w:pPr>
                  <w:r>
                    <w:rPr>
                      <w:rFonts w:hint="eastAsia" w:ascii="Times New Roman"/>
                      <w:color w:val="auto"/>
                      <w:szCs w:val="21"/>
                      <w:lang w:val="en-US" w:eastAsia="zh-CN"/>
                    </w:rPr>
                    <w:t>6</w:t>
                  </w:r>
                </w:p>
              </w:tc>
              <w:tc>
                <w:tcPr>
                  <w:tcW w:w="669" w:type="pct"/>
                  <w:vAlign w:val="center"/>
                </w:tcPr>
                <w:p w14:paraId="3AD68816">
                  <w:pPr>
                    <w:adjustRightInd w:val="0"/>
                    <w:spacing w:line="320" w:lineRule="exact"/>
                    <w:jc w:val="center"/>
                    <w:rPr>
                      <w:bCs/>
                      <w:snapToGrid w:val="0"/>
                      <w:color w:val="auto"/>
                      <w:kern w:val="0"/>
                      <w:szCs w:val="21"/>
                    </w:rPr>
                  </w:pPr>
                  <w:r>
                    <w:rPr>
                      <w:rFonts w:hint="eastAsia"/>
                      <w:bCs/>
                      <w:snapToGrid w:val="0"/>
                      <w:color w:val="auto"/>
                      <w:kern w:val="0"/>
                      <w:szCs w:val="21"/>
                    </w:rPr>
                    <w:t>警卫室</w:t>
                  </w:r>
                </w:p>
              </w:tc>
              <w:tc>
                <w:tcPr>
                  <w:tcW w:w="931" w:type="pct"/>
                  <w:vAlign w:val="center"/>
                </w:tcPr>
                <w:p w14:paraId="2130664D">
                  <w:pPr>
                    <w:widowControl/>
                    <w:adjustRightInd w:val="0"/>
                    <w:snapToGrid w:val="0"/>
                    <w:spacing w:line="320" w:lineRule="exact"/>
                    <w:jc w:val="center"/>
                    <w:textAlignment w:val="center"/>
                    <w:rPr>
                      <w:rFonts w:hint="default" w:eastAsia="宋体"/>
                      <w:color w:val="auto"/>
                      <w:szCs w:val="21"/>
                      <w:lang w:val="en-US" w:eastAsia="zh-CN"/>
                    </w:rPr>
                  </w:pPr>
                  <w:r>
                    <w:rPr>
                      <w:rFonts w:hint="eastAsia"/>
                      <w:color w:val="auto"/>
                      <w:szCs w:val="21"/>
                      <w:lang w:val="en-US" w:eastAsia="zh-CN"/>
                    </w:rPr>
                    <w:t>50</w:t>
                  </w:r>
                </w:p>
              </w:tc>
              <w:tc>
                <w:tcPr>
                  <w:tcW w:w="869" w:type="pct"/>
                  <w:tcBorders>
                    <w:right w:val="single" w:color="auto" w:sz="4" w:space="0"/>
                  </w:tcBorders>
                  <w:vAlign w:val="center"/>
                </w:tcPr>
                <w:p w14:paraId="6464B7A3">
                  <w:pPr>
                    <w:widowControl/>
                    <w:adjustRightInd w:val="0"/>
                    <w:snapToGrid w:val="0"/>
                    <w:spacing w:line="320" w:lineRule="exact"/>
                    <w:jc w:val="center"/>
                    <w:textAlignment w:val="center"/>
                    <w:rPr>
                      <w:color w:val="auto"/>
                      <w:szCs w:val="21"/>
                    </w:rPr>
                  </w:pPr>
                  <w:r>
                    <w:rPr>
                      <w:rFonts w:hint="eastAsia"/>
                      <w:color w:val="auto"/>
                      <w:szCs w:val="21"/>
                      <w:lang w:val="en-US" w:eastAsia="zh-CN"/>
                    </w:rPr>
                    <w:t>50</w:t>
                  </w:r>
                </w:p>
              </w:tc>
              <w:tc>
                <w:tcPr>
                  <w:tcW w:w="1534" w:type="pct"/>
                  <w:tcBorders>
                    <w:left w:val="single" w:color="auto" w:sz="4" w:space="0"/>
                  </w:tcBorders>
                  <w:vAlign w:val="center"/>
                </w:tcPr>
                <w:p w14:paraId="33142165">
                  <w:pPr>
                    <w:widowControl/>
                    <w:adjustRightInd w:val="0"/>
                    <w:snapToGrid w:val="0"/>
                    <w:spacing w:line="320" w:lineRule="exact"/>
                    <w:jc w:val="center"/>
                    <w:textAlignment w:val="center"/>
                    <w:rPr>
                      <w:color w:val="auto"/>
                      <w:kern w:val="0"/>
                      <w:szCs w:val="21"/>
                      <w:highlight w:val="yellow"/>
                    </w:rPr>
                  </w:pPr>
                  <w:r>
                    <w:rPr>
                      <w:rFonts w:hint="eastAsia"/>
                      <w:color w:val="auto"/>
                      <w:kern w:val="0"/>
                      <w:szCs w:val="21"/>
                    </w:rPr>
                    <w:t>砖混结构</w:t>
                  </w:r>
                </w:p>
              </w:tc>
              <w:tc>
                <w:tcPr>
                  <w:tcW w:w="699" w:type="pct"/>
                  <w:tcBorders>
                    <w:left w:val="single" w:color="auto" w:sz="4" w:space="0"/>
                  </w:tcBorders>
                  <w:vAlign w:val="center"/>
                </w:tcPr>
                <w:p w14:paraId="187CD02A">
                  <w:pPr>
                    <w:spacing w:line="320" w:lineRule="exact"/>
                    <w:jc w:val="center"/>
                    <w:rPr>
                      <w:rFonts w:hint="eastAsia" w:eastAsia="宋体"/>
                      <w:color w:val="auto"/>
                      <w:kern w:val="0"/>
                      <w:szCs w:val="21"/>
                      <w:lang w:val="en-US" w:eastAsia="zh-CN"/>
                    </w:rPr>
                  </w:pPr>
                  <w:r>
                    <w:rPr>
                      <w:rFonts w:hint="eastAsia"/>
                      <w:color w:val="auto"/>
                      <w:szCs w:val="21"/>
                      <w:lang w:eastAsia="zh-CN"/>
                    </w:rPr>
                    <w:t>租赁现有</w:t>
                  </w:r>
                </w:p>
              </w:tc>
            </w:tr>
            <w:tr w14:paraId="027B02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12EFF94B">
                  <w:pPr>
                    <w:pStyle w:val="34"/>
                    <w:spacing w:before="31" w:after="31" w:line="320" w:lineRule="exact"/>
                    <w:rPr>
                      <w:rFonts w:hint="default" w:ascii="Times New Roman"/>
                      <w:color w:val="auto"/>
                      <w:szCs w:val="21"/>
                      <w:lang w:val="en-US" w:eastAsia="zh-CN"/>
                    </w:rPr>
                  </w:pPr>
                  <w:r>
                    <w:rPr>
                      <w:rFonts w:hint="eastAsia" w:ascii="Times New Roman"/>
                      <w:color w:val="auto"/>
                      <w:szCs w:val="21"/>
                      <w:lang w:val="en-US" w:eastAsia="zh-CN"/>
                    </w:rPr>
                    <w:t>7</w:t>
                  </w:r>
                </w:p>
              </w:tc>
              <w:tc>
                <w:tcPr>
                  <w:tcW w:w="669" w:type="pct"/>
                  <w:shd w:val="clear" w:color="auto" w:fill="auto"/>
                  <w:vAlign w:val="center"/>
                </w:tcPr>
                <w:p w14:paraId="71253CAE">
                  <w:pPr>
                    <w:spacing w:line="36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初期雨水池</w:t>
                  </w:r>
                </w:p>
              </w:tc>
              <w:tc>
                <w:tcPr>
                  <w:tcW w:w="931" w:type="pct"/>
                  <w:shd w:val="clear" w:color="auto" w:fill="auto"/>
                  <w:vAlign w:val="center"/>
                </w:tcPr>
                <w:p w14:paraId="04F3419A">
                  <w:pPr>
                    <w:spacing w:line="360" w:lineRule="exact"/>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150</w:t>
                  </w:r>
                </w:p>
              </w:tc>
              <w:tc>
                <w:tcPr>
                  <w:tcW w:w="869" w:type="pct"/>
                  <w:tcBorders>
                    <w:right w:val="single" w:color="auto" w:sz="4" w:space="0"/>
                  </w:tcBorders>
                  <w:shd w:val="clear" w:color="auto" w:fill="auto"/>
                  <w:vAlign w:val="center"/>
                </w:tcPr>
                <w:p w14:paraId="421A97D8">
                  <w:pPr>
                    <w:pStyle w:val="50"/>
                    <w:spacing w:line="360" w:lineRule="exact"/>
                    <w:ind w:firstLine="0" w:firstLineChars="0"/>
                    <w:jc w:val="center"/>
                    <w:rPr>
                      <w:rFonts w:hint="default" w:ascii="Times New Roman" w:hAnsi="Times New Roman" w:eastAsia="宋体" w:cs="Times New Roman"/>
                      <w:bCs/>
                      <w:color w:val="000000" w:themeColor="text1"/>
                      <w:kern w:val="2"/>
                      <w:sz w:val="21"/>
                      <w:szCs w:val="24"/>
                      <w:highlight w:val="none"/>
                      <w:lang w:val="en-US" w:eastAsia="zh-CN" w:bidi="ar-SA"/>
                      <w14:textFill>
                        <w14:solidFill>
                          <w14:schemeClr w14:val="tx1"/>
                        </w14:solidFill>
                      </w14:textFill>
                    </w:rPr>
                  </w:pPr>
                  <w:r>
                    <w:rPr>
                      <w:rFonts w:hint="eastAsia" w:cs="Times New Roman"/>
                      <w:bCs/>
                      <w:color w:val="000000" w:themeColor="text1"/>
                      <w:kern w:val="2"/>
                      <w:sz w:val="21"/>
                      <w:szCs w:val="24"/>
                      <w:highlight w:val="none"/>
                      <w:lang w:val="en-US" w:eastAsia="zh-CN" w:bidi="ar-SA"/>
                      <w14:textFill>
                        <w14:solidFill>
                          <w14:schemeClr w14:val="tx1"/>
                        </w14:solidFill>
                      </w14:textFill>
                    </w:rPr>
                    <w:t>150</w:t>
                  </w:r>
                </w:p>
              </w:tc>
              <w:tc>
                <w:tcPr>
                  <w:tcW w:w="1534" w:type="pct"/>
                  <w:tcBorders>
                    <w:left w:val="single" w:color="auto" w:sz="4" w:space="0"/>
                  </w:tcBorders>
                  <w:vAlign w:val="center"/>
                </w:tcPr>
                <w:p w14:paraId="1E048F77">
                  <w:pPr>
                    <w:widowControl/>
                    <w:adjustRightInd w:val="0"/>
                    <w:snapToGrid w:val="0"/>
                    <w:spacing w:line="320" w:lineRule="exact"/>
                    <w:jc w:val="center"/>
                    <w:textAlignment w:val="center"/>
                    <w:rPr>
                      <w:rFonts w:hint="eastAsia"/>
                      <w:color w:val="auto"/>
                      <w:kern w:val="0"/>
                      <w:szCs w:val="21"/>
                    </w:rPr>
                  </w:pPr>
                  <w:r>
                    <w:rPr>
                      <w:rFonts w:hint="eastAsia" w:cs="Times New Roman"/>
                      <w:bCs/>
                      <w:color w:val="000000" w:themeColor="text1"/>
                      <w:kern w:val="2"/>
                      <w:sz w:val="21"/>
                      <w:szCs w:val="24"/>
                      <w:highlight w:val="none"/>
                      <w:lang w:val="en-US" w:eastAsia="zh-CN"/>
                      <w14:textFill>
                        <w14:solidFill>
                          <w14:schemeClr w14:val="tx1"/>
                        </w14:solidFill>
                      </w14:textFill>
                    </w:rPr>
                    <w:t>深3</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w:t>
                  </w:r>
                  <w:r>
                    <w:rPr>
                      <w:rFonts w:hint="eastAsia" w:cs="Times New Roman"/>
                      <w:bCs/>
                      <w:color w:val="000000" w:themeColor="text1"/>
                      <w:kern w:val="2"/>
                      <w:sz w:val="21"/>
                      <w:szCs w:val="24"/>
                      <w:highlight w:val="none"/>
                      <w:lang w:val="en-US" w:eastAsia="zh-CN"/>
                      <w14:textFill>
                        <w14:solidFill>
                          <w14:schemeClr w14:val="tx1"/>
                        </w14:solidFill>
                      </w14:textFill>
                    </w:rPr>
                    <w:t>4</w:t>
                  </w:r>
                  <w:r>
                    <w:rPr>
                      <w:rFonts w:hint="eastAsia" w:ascii="Times New Roman" w:hAnsi="Times New Roman" w:cs="Times New Roman"/>
                      <w:bCs/>
                      <w:color w:val="000000" w:themeColor="text1"/>
                      <w:kern w:val="2"/>
                      <w:sz w:val="21"/>
                      <w:szCs w:val="24"/>
                      <w:highlight w:val="none"/>
                      <w:lang w:val="en-US" w:eastAsia="zh-CN"/>
                      <w14:textFill>
                        <w14:solidFill>
                          <w14:schemeClr w14:val="tx1"/>
                        </w14:solidFill>
                      </w14:textFill>
                    </w:rPr>
                    <w:t>50</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m³，防渗</w:t>
                  </w:r>
                  <w:r>
                    <w:rPr>
                      <w:rFonts w:hint="default" w:ascii="Times New Roman" w:hAnsi="Times New Roman" w:eastAsia="宋体" w:cs="Times New Roman"/>
                      <w:bCs/>
                      <w:color w:val="000000" w:themeColor="text1"/>
                      <w:kern w:val="2"/>
                      <w:sz w:val="21"/>
                      <w:szCs w:val="24"/>
                      <w:highlight w:val="none"/>
                      <w:lang w:val="en-US" w:eastAsia="zh-CN"/>
                      <w14:textFill>
                        <w14:solidFill>
                          <w14:schemeClr w14:val="tx1"/>
                        </w14:solidFill>
                      </w14:textFill>
                    </w:rPr>
                    <w:t>混凝土结构</w:t>
                  </w:r>
                </w:p>
              </w:tc>
              <w:tc>
                <w:tcPr>
                  <w:tcW w:w="699" w:type="pct"/>
                  <w:tcBorders>
                    <w:left w:val="single" w:color="auto" w:sz="4" w:space="0"/>
                  </w:tcBorders>
                  <w:vAlign w:val="center"/>
                </w:tcPr>
                <w:p w14:paraId="336AC4ED">
                  <w:pPr>
                    <w:spacing w:line="320" w:lineRule="exact"/>
                    <w:jc w:val="center"/>
                    <w:rPr>
                      <w:rFonts w:hint="eastAsia"/>
                      <w:color w:val="auto"/>
                      <w:szCs w:val="21"/>
                      <w:lang w:eastAsia="zh-CN"/>
                    </w:rPr>
                  </w:pPr>
                  <w:r>
                    <w:rPr>
                      <w:rFonts w:hint="eastAsia"/>
                      <w:color w:val="auto"/>
                      <w:szCs w:val="21"/>
                      <w:lang w:eastAsia="zh-CN"/>
                    </w:rPr>
                    <w:t>新建</w:t>
                  </w:r>
                </w:p>
              </w:tc>
            </w:tr>
            <w:tr w14:paraId="6806F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352" w:hRule="atLeast"/>
                <w:jc w:val="center"/>
              </w:trPr>
              <w:tc>
                <w:tcPr>
                  <w:tcW w:w="296" w:type="pct"/>
                  <w:vAlign w:val="center"/>
                </w:tcPr>
                <w:p w14:paraId="3CEDC0F0">
                  <w:pPr>
                    <w:pStyle w:val="34"/>
                    <w:spacing w:before="31" w:after="31" w:line="320" w:lineRule="exact"/>
                    <w:rPr>
                      <w:rFonts w:hint="default" w:ascii="Times New Roman"/>
                      <w:color w:val="auto"/>
                      <w:szCs w:val="21"/>
                      <w:lang w:val="en-US" w:eastAsia="zh-CN"/>
                    </w:rPr>
                  </w:pPr>
                  <w:r>
                    <w:rPr>
                      <w:rFonts w:hint="eastAsia" w:ascii="Times New Roman"/>
                      <w:color w:val="auto"/>
                      <w:szCs w:val="21"/>
                      <w:lang w:val="en-US" w:eastAsia="zh-CN"/>
                    </w:rPr>
                    <w:t>8</w:t>
                  </w:r>
                </w:p>
              </w:tc>
              <w:tc>
                <w:tcPr>
                  <w:tcW w:w="669" w:type="pct"/>
                  <w:shd w:val="clear" w:color="auto" w:fill="auto"/>
                  <w:vAlign w:val="center"/>
                </w:tcPr>
                <w:p w14:paraId="01739193">
                  <w:pPr>
                    <w:spacing w:line="360" w:lineRule="exact"/>
                    <w:jc w:val="center"/>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消防水池</w:t>
                  </w:r>
                </w:p>
              </w:tc>
              <w:tc>
                <w:tcPr>
                  <w:tcW w:w="931" w:type="pct"/>
                  <w:shd w:val="clear" w:color="auto" w:fill="auto"/>
                  <w:vAlign w:val="center"/>
                </w:tcPr>
                <w:p w14:paraId="61150CCE">
                  <w:pPr>
                    <w:spacing w:line="360" w:lineRule="exact"/>
                    <w:jc w:val="center"/>
                    <w:rPr>
                      <w:rFonts w:hint="default"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869" w:type="pct"/>
                  <w:tcBorders>
                    <w:right w:val="single" w:color="auto" w:sz="4" w:space="0"/>
                  </w:tcBorders>
                  <w:shd w:val="clear" w:color="auto" w:fill="auto"/>
                  <w:vAlign w:val="center"/>
                </w:tcPr>
                <w:p w14:paraId="1B9E4F4B">
                  <w:pPr>
                    <w:pStyle w:val="50"/>
                    <w:spacing w:line="360" w:lineRule="exact"/>
                    <w:ind w:firstLine="0" w:firstLineChars="0"/>
                    <w:jc w:val="center"/>
                    <w:rPr>
                      <w:rFonts w:hint="default" w:ascii="Times New Roman" w:hAnsi="Times New Roman" w:cs="Times New Roman"/>
                      <w:bCs/>
                      <w:color w:val="000000" w:themeColor="text1"/>
                      <w:kern w:val="2"/>
                      <w:sz w:val="21"/>
                      <w:szCs w:val="24"/>
                      <w:highlight w:val="none"/>
                      <w:lang w:val="en-US" w:eastAsia="zh-CN" w:bidi="ar-SA"/>
                      <w14:textFill>
                        <w14:solidFill>
                          <w14:schemeClr w14:val="tx1"/>
                        </w14:solidFill>
                      </w14:textFill>
                    </w:rPr>
                  </w:pPr>
                  <w:r>
                    <w:rPr>
                      <w:rFonts w:hint="eastAsia" w:cs="Times New Roman"/>
                      <w:bCs/>
                      <w:color w:val="000000" w:themeColor="text1"/>
                      <w:kern w:val="2"/>
                      <w:sz w:val="21"/>
                      <w:szCs w:val="24"/>
                      <w:highlight w:val="none"/>
                      <w:lang w:val="en-US" w:eastAsia="zh-CN" w:bidi="ar-SA"/>
                      <w14:textFill>
                        <w14:solidFill>
                          <w14:schemeClr w14:val="tx1"/>
                        </w14:solidFill>
                      </w14:textFill>
                    </w:rPr>
                    <w:t>50</w:t>
                  </w:r>
                </w:p>
              </w:tc>
              <w:tc>
                <w:tcPr>
                  <w:tcW w:w="1534" w:type="pct"/>
                  <w:tcBorders>
                    <w:left w:val="single" w:color="auto" w:sz="4" w:space="0"/>
                  </w:tcBorders>
                  <w:vAlign w:val="center"/>
                </w:tcPr>
                <w:p w14:paraId="14615A00">
                  <w:pPr>
                    <w:widowControl/>
                    <w:adjustRightInd w:val="0"/>
                    <w:snapToGrid w:val="0"/>
                    <w:spacing w:line="320" w:lineRule="exact"/>
                    <w:jc w:val="center"/>
                    <w:textAlignment w:val="center"/>
                    <w:rPr>
                      <w:rFonts w:hint="default" w:cs="Times New Roman"/>
                      <w:bCs/>
                      <w:color w:val="000000" w:themeColor="text1"/>
                      <w:kern w:val="2"/>
                      <w:sz w:val="21"/>
                      <w:szCs w:val="24"/>
                      <w:highlight w:val="none"/>
                      <w:lang w:val="en-US" w:eastAsia="zh-CN"/>
                      <w14:textFill>
                        <w14:solidFill>
                          <w14:schemeClr w14:val="tx1"/>
                        </w14:solidFill>
                      </w14:textFill>
                    </w:rPr>
                  </w:pPr>
                  <w:r>
                    <w:rPr>
                      <w:rFonts w:hint="eastAsia" w:cs="Times New Roman"/>
                      <w:bCs/>
                      <w:color w:val="000000" w:themeColor="text1"/>
                      <w:kern w:val="2"/>
                      <w:sz w:val="21"/>
                      <w:szCs w:val="24"/>
                      <w:highlight w:val="none"/>
                      <w:lang w:val="en-US" w:eastAsia="zh-CN"/>
                      <w14:textFill>
                        <w14:solidFill>
                          <w14:schemeClr w14:val="tx1"/>
                        </w14:solidFill>
                      </w14:textFill>
                    </w:rPr>
                    <w:t>深2.5m，125</w:t>
                  </w:r>
                  <w:r>
                    <w:rPr>
                      <w:rFonts w:hint="default" w:ascii="Times New Roman" w:hAnsi="Times New Roman" w:cs="Times New Roman"/>
                      <w:bCs/>
                      <w:color w:val="000000" w:themeColor="text1"/>
                      <w:kern w:val="2"/>
                      <w:sz w:val="21"/>
                      <w:szCs w:val="24"/>
                      <w:highlight w:val="none"/>
                      <w:lang w:val="en-US" w:eastAsia="zh-CN"/>
                      <w14:textFill>
                        <w14:solidFill>
                          <w14:schemeClr w14:val="tx1"/>
                        </w14:solidFill>
                      </w14:textFill>
                    </w:rPr>
                    <w:t>m³，防渗</w:t>
                  </w:r>
                  <w:r>
                    <w:rPr>
                      <w:rFonts w:hint="default" w:ascii="Times New Roman" w:hAnsi="Times New Roman" w:eastAsia="宋体" w:cs="Times New Roman"/>
                      <w:bCs/>
                      <w:color w:val="000000" w:themeColor="text1"/>
                      <w:kern w:val="2"/>
                      <w:sz w:val="21"/>
                      <w:szCs w:val="24"/>
                      <w:highlight w:val="none"/>
                      <w:lang w:val="en-US" w:eastAsia="zh-CN"/>
                      <w14:textFill>
                        <w14:solidFill>
                          <w14:schemeClr w14:val="tx1"/>
                        </w14:solidFill>
                      </w14:textFill>
                    </w:rPr>
                    <w:t>混凝土结构</w:t>
                  </w:r>
                </w:p>
              </w:tc>
              <w:tc>
                <w:tcPr>
                  <w:tcW w:w="699" w:type="pct"/>
                  <w:tcBorders>
                    <w:left w:val="single" w:color="auto" w:sz="4" w:space="0"/>
                  </w:tcBorders>
                  <w:vAlign w:val="center"/>
                </w:tcPr>
                <w:p w14:paraId="132ECB78">
                  <w:pPr>
                    <w:spacing w:line="320" w:lineRule="exact"/>
                    <w:jc w:val="center"/>
                    <w:rPr>
                      <w:rFonts w:hint="eastAsia"/>
                      <w:color w:val="auto"/>
                      <w:szCs w:val="21"/>
                      <w:lang w:eastAsia="zh-CN"/>
                    </w:rPr>
                  </w:pPr>
                  <w:r>
                    <w:rPr>
                      <w:rFonts w:hint="eastAsia"/>
                      <w:color w:val="auto"/>
                      <w:szCs w:val="21"/>
                      <w:lang w:eastAsia="zh-CN"/>
                    </w:rPr>
                    <w:t>新建</w:t>
                  </w:r>
                </w:p>
              </w:tc>
            </w:tr>
          </w:tbl>
          <w:p w14:paraId="54086180">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2.</w:t>
            </w:r>
            <w:r>
              <w:rPr>
                <w:rFonts w:ascii="Times New Roman" w:hAnsi="Times New Roman"/>
                <w:b/>
                <w:color w:val="auto"/>
                <w:sz w:val="24"/>
                <w:szCs w:val="24"/>
              </w:rPr>
              <w:t>产品方案</w:t>
            </w:r>
          </w:p>
          <w:p w14:paraId="56CED77F">
            <w:pPr>
              <w:pStyle w:val="6"/>
              <w:spacing w:line="500" w:lineRule="exact"/>
              <w:ind w:firstLine="480"/>
              <w:rPr>
                <w:rFonts w:hint="eastAsia" w:ascii="Times New Roman" w:hAnsi="Times New Roman" w:eastAsia="宋体"/>
                <w:color w:val="auto"/>
                <w:sz w:val="24"/>
                <w:lang w:eastAsia="zh-CN"/>
              </w:rPr>
            </w:pPr>
            <w:r>
              <w:rPr>
                <w:rFonts w:hint="eastAsia" w:ascii="Times New Roman" w:hAnsi="Times New Roman"/>
                <w:color w:val="auto"/>
                <w:sz w:val="24"/>
              </w:rPr>
              <w:t>年集装箱拆、装箱(主要产品为煤炭、矿石、废钢、钢材等其它散货)300万吨</w:t>
            </w:r>
            <w:r>
              <w:rPr>
                <w:rFonts w:hint="eastAsia" w:ascii="Times New Roman" w:hAnsi="Times New Roman"/>
                <w:color w:val="auto"/>
                <w:sz w:val="24"/>
                <w:lang w:eastAsia="zh-CN"/>
              </w:rPr>
              <w:t>。具体的产品方案见下表。</w:t>
            </w:r>
          </w:p>
          <w:p w14:paraId="3D44AB1A">
            <w:pPr>
              <w:pStyle w:val="6"/>
              <w:spacing w:line="500" w:lineRule="exact"/>
              <w:ind w:left="0" w:leftChars="0" w:firstLine="0" w:firstLineChars="0"/>
              <w:jc w:val="center"/>
              <w:rPr>
                <w:rFonts w:hint="eastAsia" w:ascii="Times New Roman" w:hAnsi="Times New Roman"/>
                <w:b/>
                <w:color w:val="auto"/>
                <w:sz w:val="24"/>
                <w:szCs w:val="24"/>
              </w:rPr>
            </w:pPr>
            <w:r>
              <w:rPr>
                <w:rFonts w:hint="eastAsia" w:ascii="Times New Roman" w:hAnsi="Times New Roman"/>
                <w:b/>
                <w:bCs/>
                <w:color w:val="auto"/>
                <w:sz w:val="24"/>
                <w:szCs w:val="24"/>
                <w:lang w:eastAsia="zh-CN"/>
              </w:rPr>
              <w:t>表</w:t>
            </w:r>
            <w:r>
              <w:rPr>
                <w:rFonts w:hint="eastAsia" w:ascii="Times New Roman" w:hAnsi="Times New Roman"/>
                <w:b/>
                <w:bCs/>
                <w:color w:val="auto"/>
                <w:sz w:val="24"/>
                <w:szCs w:val="24"/>
                <w:lang w:val="en-US" w:eastAsia="zh-CN"/>
              </w:rPr>
              <w:t>9</w:t>
            </w:r>
            <w:r>
              <w:rPr>
                <w:rFonts w:hint="eastAsia" w:ascii="Times New Roman" w:hAnsi="Times New Roman"/>
                <w:b/>
                <w:bCs/>
                <w:color w:val="auto"/>
                <w:sz w:val="24"/>
                <w:szCs w:val="24"/>
              </w:rPr>
              <w:t xml:space="preserve">    建设项目</w:t>
            </w:r>
            <w:r>
              <w:rPr>
                <w:rFonts w:hint="eastAsia" w:ascii="Times New Roman" w:hAnsi="Times New Roman"/>
                <w:b/>
                <w:bCs/>
                <w:color w:val="auto"/>
                <w:sz w:val="24"/>
                <w:szCs w:val="24"/>
                <w:lang w:eastAsia="zh-CN"/>
              </w:rPr>
              <w:t>产品方案</w:t>
            </w:r>
            <w:r>
              <w:rPr>
                <w:rFonts w:ascii="Times New Roman" w:hAnsi="Times New Roman"/>
                <w:b/>
                <w:bCs/>
                <w:color w:val="auto"/>
                <w:sz w:val="24"/>
                <w:szCs w:val="24"/>
              </w:rPr>
              <w:t>一览表</w:t>
            </w:r>
          </w:p>
          <w:tbl>
            <w:tblPr>
              <w:tblStyle w:val="2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2735"/>
              <w:gridCol w:w="2736"/>
            </w:tblGrid>
            <w:tr w14:paraId="70AAC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4952BD7D">
                  <w:pPr>
                    <w:pStyle w:val="32"/>
                    <w:kinsoku w:val="0"/>
                    <w:overflowPunct w:val="0"/>
                    <w:spacing w:line="320" w:lineRule="exact"/>
                    <w:jc w:val="center"/>
                    <w:rPr>
                      <w:rFonts w:hint="eastAsia" w:ascii="Times New Roman" w:hAnsi="Times New Roman" w:eastAsiaTheme="minorEastAsia"/>
                      <w:b/>
                      <w:bCs w:val="0"/>
                      <w:color w:val="auto"/>
                      <w:szCs w:val="21"/>
                      <w:lang w:eastAsia="zh-CN"/>
                    </w:rPr>
                  </w:pPr>
                  <w:r>
                    <w:rPr>
                      <w:rFonts w:hint="eastAsia" w:ascii="Times New Roman" w:hAnsi="Times New Roman" w:eastAsiaTheme="minorEastAsia"/>
                      <w:b/>
                      <w:bCs w:val="0"/>
                      <w:color w:val="auto"/>
                      <w:szCs w:val="21"/>
                      <w:lang w:eastAsia="zh-CN"/>
                    </w:rPr>
                    <w:t>产品名称</w:t>
                  </w:r>
                </w:p>
              </w:tc>
              <w:tc>
                <w:tcPr>
                  <w:tcW w:w="2735" w:type="dxa"/>
                  <w:tcBorders>
                    <w:tl2br w:val="nil"/>
                    <w:tr2bl w:val="nil"/>
                  </w:tcBorders>
                  <w:vAlign w:val="center"/>
                </w:tcPr>
                <w:p w14:paraId="6558335D">
                  <w:pPr>
                    <w:pStyle w:val="32"/>
                    <w:kinsoku w:val="0"/>
                    <w:overflowPunct w:val="0"/>
                    <w:spacing w:line="320" w:lineRule="exact"/>
                    <w:jc w:val="center"/>
                    <w:rPr>
                      <w:rFonts w:hint="default" w:ascii="Times New Roman" w:hAnsi="Times New Roman" w:eastAsiaTheme="minorEastAsia"/>
                      <w:b/>
                      <w:bCs w:val="0"/>
                      <w:color w:val="auto"/>
                      <w:szCs w:val="21"/>
                      <w:lang w:val="en-US" w:eastAsia="zh-CN"/>
                    </w:rPr>
                  </w:pPr>
                  <w:r>
                    <w:rPr>
                      <w:rFonts w:hint="eastAsia" w:ascii="Times New Roman" w:hAnsi="Times New Roman" w:eastAsiaTheme="minorEastAsia"/>
                      <w:b/>
                      <w:bCs w:val="0"/>
                      <w:color w:val="auto"/>
                      <w:szCs w:val="21"/>
                      <w:lang w:eastAsia="zh-CN"/>
                    </w:rPr>
                    <w:t>数量万</w:t>
                  </w:r>
                  <w:r>
                    <w:rPr>
                      <w:rFonts w:hint="eastAsia" w:ascii="Times New Roman" w:hAnsi="Times New Roman" w:eastAsiaTheme="minorEastAsia"/>
                      <w:b/>
                      <w:bCs w:val="0"/>
                      <w:color w:val="auto"/>
                      <w:szCs w:val="21"/>
                      <w:lang w:val="en-US" w:eastAsia="zh-CN"/>
                    </w:rPr>
                    <w:t>t/a</w:t>
                  </w:r>
                </w:p>
              </w:tc>
              <w:tc>
                <w:tcPr>
                  <w:tcW w:w="2736" w:type="dxa"/>
                  <w:tcBorders>
                    <w:tl2br w:val="nil"/>
                    <w:tr2bl w:val="nil"/>
                  </w:tcBorders>
                  <w:vAlign w:val="center"/>
                </w:tcPr>
                <w:p w14:paraId="17A89B9F">
                  <w:pPr>
                    <w:pStyle w:val="32"/>
                    <w:kinsoku w:val="0"/>
                    <w:overflowPunct w:val="0"/>
                    <w:spacing w:line="320" w:lineRule="exact"/>
                    <w:jc w:val="center"/>
                    <w:rPr>
                      <w:rFonts w:hint="eastAsia" w:ascii="Times New Roman" w:hAnsi="Times New Roman" w:eastAsiaTheme="minorEastAsia"/>
                      <w:b/>
                      <w:bCs w:val="0"/>
                      <w:color w:val="auto"/>
                      <w:szCs w:val="21"/>
                      <w:lang w:eastAsia="zh-CN"/>
                    </w:rPr>
                  </w:pPr>
                  <w:r>
                    <w:rPr>
                      <w:rFonts w:hint="eastAsia" w:ascii="Times New Roman" w:hAnsi="Times New Roman" w:eastAsiaTheme="minorEastAsia"/>
                      <w:b/>
                      <w:bCs w:val="0"/>
                      <w:color w:val="auto"/>
                      <w:szCs w:val="21"/>
                      <w:lang w:eastAsia="zh-CN"/>
                    </w:rPr>
                    <w:t>备注</w:t>
                  </w:r>
                </w:p>
              </w:tc>
            </w:tr>
            <w:tr w14:paraId="18A40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5A5785D3">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煤炭</w:t>
                  </w:r>
                </w:p>
              </w:tc>
              <w:tc>
                <w:tcPr>
                  <w:tcW w:w="2735" w:type="dxa"/>
                  <w:tcBorders>
                    <w:tl2br w:val="nil"/>
                    <w:tr2bl w:val="nil"/>
                  </w:tcBorders>
                  <w:vAlign w:val="center"/>
                </w:tcPr>
                <w:p w14:paraId="2AA1AABE">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200</w:t>
                  </w:r>
                </w:p>
              </w:tc>
              <w:tc>
                <w:tcPr>
                  <w:tcW w:w="2736" w:type="dxa"/>
                  <w:tcBorders>
                    <w:tl2br w:val="nil"/>
                    <w:tr2bl w:val="nil"/>
                  </w:tcBorders>
                  <w:vAlign w:val="center"/>
                </w:tcPr>
                <w:p w14:paraId="7C4A83EE">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1#厂房、3#厂房堆存</w:t>
                  </w:r>
                </w:p>
              </w:tc>
            </w:tr>
            <w:tr w14:paraId="3C927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03FF216F">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矿石</w:t>
                  </w:r>
                </w:p>
              </w:tc>
              <w:tc>
                <w:tcPr>
                  <w:tcW w:w="2735" w:type="dxa"/>
                  <w:tcBorders>
                    <w:tl2br w:val="nil"/>
                    <w:tr2bl w:val="nil"/>
                  </w:tcBorders>
                  <w:vAlign w:val="center"/>
                </w:tcPr>
                <w:p w14:paraId="12A154FF">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20</w:t>
                  </w:r>
                </w:p>
              </w:tc>
              <w:tc>
                <w:tcPr>
                  <w:tcW w:w="2736" w:type="dxa"/>
                  <w:vMerge w:val="restart"/>
                  <w:tcBorders>
                    <w:tl2br w:val="nil"/>
                    <w:tr2bl w:val="nil"/>
                  </w:tcBorders>
                  <w:vAlign w:val="center"/>
                </w:tcPr>
                <w:p w14:paraId="21BE64CA">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2#厂房储存</w:t>
                  </w:r>
                </w:p>
              </w:tc>
            </w:tr>
            <w:tr w14:paraId="0ABFA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6B6D59C4">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废钢</w:t>
                  </w:r>
                </w:p>
              </w:tc>
              <w:tc>
                <w:tcPr>
                  <w:tcW w:w="2735" w:type="dxa"/>
                  <w:tcBorders>
                    <w:tl2br w:val="nil"/>
                    <w:tr2bl w:val="nil"/>
                  </w:tcBorders>
                  <w:vAlign w:val="center"/>
                </w:tcPr>
                <w:p w14:paraId="1856F9B9">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30</w:t>
                  </w:r>
                </w:p>
              </w:tc>
              <w:tc>
                <w:tcPr>
                  <w:tcW w:w="2736" w:type="dxa"/>
                  <w:vMerge w:val="continue"/>
                  <w:tcBorders>
                    <w:tl2br w:val="nil"/>
                    <w:tr2bl w:val="nil"/>
                  </w:tcBorders>
                  <w:vAlign w:val="center"/>
                </w:tcPr>
                <w:p w14:paraId="50414BFB">
                  <w:pPr>
                    <w:pStyle w:val="32"/>
                    <w:kinsoku w:val="0"/>
                    <w:overflowPunct w:val="0"/>
                    <w:spacing w:line="320" w:lineRule="exact"/>
                    <w:jc w:val="center"/>
                    <w:rPr>
                      <w:rFonts w:hint="eastAsia" w:ascii="Times New Roman" w:hAnsi="Times New Roman" w:eastAsiaTheme="minorEastAsia"/>
                      <w:b w:val="0"/>
                      <w:bCs/>
                      <w:color w:val="auto"/>
                      <w:szCs w:val="21"/>
                    </w:rPr>
                  </w:pPr>
                </w:p>
              </w:tc>
            </w:tr>
            <w:tr w14:paraId="54660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35" w:type="dxa"/>
                  <w:tcBorders>
                    <w:tl2br w:val="nil"/>
                    <w:tr2bl w:val="nil"/>
                  </w:tcBorders>
                  <w:vAlign w:val="center"/>
                </w:tcPr>
                <w:p w14:paraId="217837B4">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钢材</w:t>
                  </w:r>
                </w:p>
              </w:tc>
              <w:tc>
                <w:tcPr>
                  <w:tcW w:w="2735" w:type="dxa"/>
                  <w:tcBorders>
                    <w:tl2br w:val="nil"/>
                    <w:tr2bl w:val="nil"/>
                  </w:tcBorders>
                  <w:vAlign w:val="center"/>
                </w:tcPr>
                <w:p w14:paraId="2AEB487B">
                  <w:pPr>
                    <w:pStyle w:val="32"/>
                    <w:kinsoku w:val="0"/>
                    <w:overflowPunct w:val="0"/>
                    <w:spacing w:line="320" w:lineRule="exact"/>
                    <w:jc w:val="center"/>
                    <w:rPr>
                      <w:rFonts w:hint="default" w:ascii="Times New Roman" w:hAnsi="Times New Roman" w:eastAsiaTheme="minorEastAsia"/>
                      <w:b w:val="0"/>
                      <w:bCs/>
                      <w:color w:val="auto"/>
                      <w:szCs w:val="21"/>
                      <w:lang w:val="en-US" w:eastAsia="zh-CN"/>
                    </w:rPr>
                  </w:pPr>
                  <w:r>
                    <w:rPr>
                      <w:rFonts w:hint="eastAsia" w:ascii="Times New Roman" w:hAnsi="Times New Roman" w:eastAsiaTheme="minorEastAsia"/>
                      <w:b w:val="0"/>
                      <w:bCs/>
                      <w:color w:val="auto"/>
                      <w:szCs w:val="21"/>
                      <w:lang w:val="en-US" w:eastAsia="zh-CN"/>
                    </w:rPr>
                    <w:t>50</w:t>
                  </w:r>
                </w:p>
              </w:tc>
              <w:tc>
                <w:tcPr>
                  <w:tcW w:w="2736" w:type="dxa"/>
                  <w:tcBorders>
                    <w:tl2br w:val="nil"/>
                    <w:tr2bl w:val="nil"/>
                  </w:tcBorders>
                  <w:vAlign w:val="center"/>
                </w:tcPr>
                <w:p w14:paraId="2F4B64CC">
                  <w:pPr>
                    <w:pStyle w:val="32"/>
                    <w:kinsoku w:val="0"/>
                    <w:overflowPunct w:val="0"/>
                    <w:spacing w:line="320" w:lineRule="exact"/>
                    <w:jc w:val="center"/>
                    <w:rPr>
                      <w:rFonts w:hint="eastAsia" w:ascii="Times New Roman" w:hAnsi="Times New Roman" w:eastAsiaTheme="minorEastAsia"/>
                      <w:b w:val="0"/>
                      <w:bCs/>
                      <w:color w:val="auto"/>
                      <w:szCs w:val="21"/>
                      <w:lang w:eastAsia="zh-CN"/>
                    </w:rPr>
                  </w:pPr>
                  <w:r>
                    <w:rPr>
                      <w:rFonts w:hint="eastAsia" w:ascii="Times New Roman" w:hAnsi="Times New Roman" w:eastAsiaTheme="minorEastAsia"/>
                      <w:b w:val="0"/>
                      <w:bCs/>
                      <w:color w:val="auto"/>
                      <w:szCs w:val="21"/>
                      <w:lang w:eastAsia="zh-CN"/>
                    </w:rPr>
                    <w:t>露天料场储存</w:t>
                  </w:r>
                </w:p>
              </w:tc>
            </w:tr>
          </w:tbl>
          <w:p w14:paraId="50BC206F">
            <w:pPr>
              <w:pStyle w:val="6"/>
              <w:spacing w:line="500" w:lineRule="exact"/>
              <w:ind w:firstLine="482"/>
              <w:rPr>
                <w:rFonts w:ascii="Times New Roman" w:hAnsi="Times New Roman"/>
                <w:b/>
                <w:color w:val="auto"/>
                <w:sz w:val="24"/>
                <w:szCs w:val="24"/>
              </w:rPr>
            </w:pPr>
            <w:r>
              <w:rPr>
                <w:rFonts w:hint="eastAsia" w:ascii="Times New Roman" w:hAnsi="Times New Roman"/>
                <w:b/>
                <w:color w:val="auto"/>
                <w:sz w:val="24"/>
                <w:szCs w:val="24"/>
              </w:rPr>
              <w:t>3.</w:t>
            </w:r>
            <w:r>
              <w:rPr>
                <w:rFonts w:ascii="Times New Roman" w:hAnsi="Times New Roman"/>
                <w:b/>
                <w:color w:val="auto"/>
                <w:sz w:val="24"/>
                <w:szCs w:val="24"/>
              </w:rPr>
              <w:t>主要设备</w:t>
            </w:r>
          </w:p>
          <w:p w14:paraId="1640678E">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项目主要生产设备</w:t>
            </w:r>
            <w:r>
              <w:rPr>
                <w:rFonts w:ascii="Times New Roman" w:hAnsi="Times New Roman"/>
                <w:color w:val="auto"/>
                <w:sz w:val="24"/>
                <w:szCs w:val="24"/>
              </w:rPr>
              <w:t>见下表。</w:t>
            </w:r>
          </w:p>
          <w:p w14:paraId="0D3301FF">
            <w:pPr>
              <w:pStyle w:val="6"/>
              <w:numPr>
                <w:ilvl w:val="0"/>
                <w:numId w:val="0"/>
              </w:numPr>
              <w:tabs>
                <w:tab w:val="left" w:pos="0"/>
              </w:tabs>
              <w:spacing w:line="500" w:lineRule="exact"/>
              <w:ind w:left="3373" w:leftChars="0" w:hanging="3373" w:hangingChars="1400"/>
              <w:jc w:val="center"/>
              <w:rPr>
                <w:rFonts w:ascii="Times New Roman" w:hAnsi="Times New Roman"/>
                <w:b/>
                <w:bCs/>
                <w:color w:val="auto"/>
                <w:sz w:val="24"/>
                <w:szCs w:val="24"/>
              </w:rPr>
            </w:pPr>
            <w:r>
              <w:rPr>
                <w:rFonts w:hint="default" w:ascii="Times New Roman" w:hAnsi="Times New Roman" w:eastAsia="宋体" w:cs="Arial"/>
                <w:b/>
                <w:bCs/>
                <w:color w:val="auto"/>
                <w:kern w:val="2"/>
                <w:sz w:val="24"/>
                <w:szCs w:val="24"/>
                <w:lang w:val="en-US" w:eastAsia="zh-CN" w:bidi="ar-SA"/>
              </w:rPr>
              <w:t>表</w:t>
            </w:r>
            <w:r>
              <w:rPr>
                <w:rFonts w:hint="eastAsia" w:ascii="Times New Roman" w:hAnsi="Times New Roman" w:cs="Arial"/>
                <w:b/>
                <w:bCs/>
                <w:color w:val="auto"/>
                <w:kern w:val="2"/>
                <w:sz w:val="24"/>
                <w:szCs w:val="24"/>
                <w:lang w:val="en-US" w:eastAsia="zh-CN" w:bidi="ar-SA"/>
              </w:rPr>
              <w:t>10</w:t>
            </w:r>
            <w:r>
              <w:rPr>
                <w:rFonts w:hint="eastAsia" w:ascii="Times New Roman" w:hAnsi="Times New Roman"/>
                <w:b/>
                <w:bCs/>
                <w:color w:val="auto"/>
                <w:sz w:val="24"/>
                <w:szCs w:val="24"/>
                <w:lang w:val="en-US" w:eastAsia="zh-CN"/>
              </w:rPr>
              <w:t xml:space="preserve">   </w:t>
            </w:r>
            <w:r>
              <w:rPr>
                <w:rFonts w:hint="eastAsia" w:ascii="Times New Roman" w:hAnsi="Times New Roman"/>
                <w:b/>
                <w:bCs/>
                <w:color w:val="auto"/>
                <w:sz w:val="24"/>
                <w:szCs w:val="24"/>
              </w:rPr>
              <w:t>建设项目主要生产设备</w:t>
            </w:r>
            <w:r>
              <w:rPr>
                <w:rFonts w:ascii="Times New Roman" w:hAnsi="Times New Roman"/>
                <w:b/>
                <w:bCs/>
                <w:color w:val="auto"/>
                <w:sz w:val="24"/>
                <w:szCs w:val="24"/>
              </w:rPr>
              <w:t>一览表</w:t>
            </w:r>
          </w:p>
          <w:tbl>
            <w:tblPr>
              <w:tblStyle w:val="23"/>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17"/>
              <w:gridCol w:w="1209"/>
              <w:gridCol w:w="1281"/>
              <w:gridCol w:w="981"/>
              <w:gridCol w:w="4110"/>
            </w:tblGrid>
            <w:tr w14:paraId="1A995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376" w:type="pct"/>
                  <w:tcBorders>
                    <w:tl2br w:val="nil"/>
                    <w:tr2bl w:val="nil"/>
                  </w:tcBorders>
                  <w:vAlign w:val="center"/>
                </w:tcPr>
                <w:p w14:paraId="226CBA4F">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序号</w:t>
                  </w:r>
                </w:p>
              </w:tc>
              <w:tc>
                <w:tcPr>
                  <w:tcW w:w="737" w:type="pct"/>
                  <w:tcBorders>
                    <w:tl2br w:val="nil"/>
                    <w:tr2bl w:val="nil"/>
                  </w:tcBorders>
                  <w:vAlign w:val="center"/>
                </w:tcPr>
                <w:p w14:paraId="7E2ECB72">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设备名称</w:t>
                  </w:r>
                </w:p>
              </w:tc>
              <w:tc>
                <w:tcPr>
                  <w:tcW w:w="781" w:type="pct"/>
                  <w:tcBorders>
                    <w:tl2br w:val="nil"/>
                    <w:tr2bl w:val="nil"/>
                  </w:tcBorders>
                  <w:vAlign w:val="center"/>
                </w:tcPr>
                <w:p w14:paraId="34D8FE71">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规格型号</w:t>
                  </w:r>
                </w:p>
              </w:tc>
              <w:tc>
                <w:tcPr>
                  <w:tcW w:w="598" w:type="pct"/>
                  <w:tcBorders>
                    <w:tl2br w:val="nil"/>
                    <w:tr2bl w:val="nil"/>
                  </w:tcBorders>
                  <w:vAlign w:val="center"/>
                </w:tcPr>
                <w:p w14:paraId="66044435">
                  <w:pPr>
                    <w:pStyle w:val="32"/>
                    <w:kinsoku w:val="0"/>
                    <w:overflowPunct w:val="0"/>
                    <w:spacing w:line="320" w:lineRule="exact"/>
                    <w:rPr>
                      <w:rFonts w:ascii="Times New Roman" w:hAnsi="Times New Roman" w:eastAsiaTheme="minorEastAsia"/>
                      <w:b/>
                      <w:color w:val="auto"/>
                      <w:szCs w:val="21"/>
                    </w:rPr>
                  </w:pPr>
                  <w:r>
                    <w:rPr>
                      <w:rFonts w:ascii="Times New Roman" w:hAnsi="Times New Roman" w:eastAsiaTheme="minorEastAsia"/>
                      <w:b/>
                      <w:color w:val="auto"/>
                      <w:szCs w:val="21"/>
                    </w:rPr>
                    <w:t>数量</w:t>
                  </w:r>
                </w:p>
              </w:tc>
              <w:tc>
                <w:tcPr>
                  <w:tcW w:w="2506" w:type="pct"/>
                  <w:tcBorders>
                    <w:tl2br w:val="nil"/>
                    <w:tr2bl w:val="nil"/>
                  </w:tcBorders>
                  <w:vAlign w:val="center"/>
                </w:tcPr>
                <w:p w14:paraId="6381FC24">
                  <w:pPr>
                    <w:pStyle w:val="32"/>
                    <w:kinsoku w:val="0"/>
                    <w:overflowPunct w:val="0"/>
                    <w:spacing w:line="320" w:lineRule="exact"/>
                    <w:rPr>
                      <w:rFonts w:ascii="Times New Roman" w:hAnsi="Times New Roman" w:eastAsiaTheme="minorEastAsia"/>
                      <w:b/>
                      <w:color w:val="auto"/>
                      <w:szCs w:val="21"/>
                    </w:rPr>
                  </w:pPr>
                  <w:r>
                    <w:rPr>
                      <w:rFonts w:hint="eastAsia" w:ascii="Times New Roman" w:hAnsi="Times New Roman" w:eastAsiaTheme="minorEastAsia"/>
                      <w:b/>
                      <w:color w:val="auto"/>
                      <w:szCs w:val="21"/>
                    </w:rPr>
                    <w:t>备注</w:t>
                  </w:r>
                </w:p>
              </w:tc>
            </w:tr>
            <w:tr w14:paraId="1C7E77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376" w:type="pct"/>
                  <w:tcBorders>
                    <w:tl2br w:val="nil"/>
                    <w:tr2bl w:val="nil"/>
                  </w:tcBorders>
                  <w:vAlign w:val="center"/>
                </w:tcPr>
                <w:p w14:paraId="49FA4E03">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1</w:t>
                  </w:r>
                </w:p>
              </w:tc>
              <w:tc>
                <w:tcPr>
                  <w:tcW w:w="737" w:type="pct"/>
                  <w:tcBorders>
                    <w:tl2br w:val="nil"/>
                    <w:tr2bl w:val="nil"/>
                  </w:tcBorders>
                  <w:vAlign w:val="center"/>
                </w:tcPr>
                <w:p w14:paraId="2BF39187">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lang w:val="en-US"/>
                    </w:rPr>
                    <w:t>装载机</w:t>
                  </w:r>
                </w:p>
              </w:tc>
              <w:tc>
                <w:tcPr>
                  <w:tcW w:w="781" w:type="pct"/>
                  <w:tcBorders>
                    <w:tl2br w:val="nil"/>
                    <w:tr2bl w:val="nil"/>
                  </w:tcBorders>
                  <w:vAlign w:val="center"/>
                </w:tcPr>
                <w:p w14:paraId="4FB15FE7">
                  <w:pPr>
                    <w:pStyle w:val="32"/>
                    <w:kinsoku w:val="0"/>
                    <w:overflowPunct w:val="0"/>
                    <w:spacing w:line="320" w:lineRule="exact"/>
                    <w:rPr>
                      <w:rFonts w:ascii="Times New Roman" w:hAnsi="Times New Roman" w:eastAsiaTheme="minorEastAsia"/>
                      <w:color w:val="auto"/>
                      <w:szCs w:val="21"/>
                      <w:lang w:val="en-US"/>
                    </w:rPr>
                  </w:pPr>
                  <w:r>
                    <w:rPr>
                      <w:rFonts w:hint="eastAsia" w:ascii="Times New Roman" w:hAnsi="Times New Roman" w:eastAsiaTheme="minorEastAsia"/>
                      <w:color w:val="auto"/>
                      <w:szCs w:val="21"/>
                      <w:lang w:val="en-US"/>
                    </w:rPr>
                    <w:t>/</w:t>
                  </w:r>
                </w:p>
              </w:tc>
              <w:tc>
                <w:tcPr>
                  <w:tcW w:w="598" w:type="pct"/>
                  <w:tcBorders>
                    <w:tl2br w:val="nil"/>
                    <w:tr2bl w:val="nil"/>
                  </w:tcBorders>
                  <w:vAlign w:val="center"/>
                </w:tcPr>
                <w:p w14:paraId="629851A1">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6</w:t>
                  </w:r>
                  <w:r>
                    <w:rPr>
                      <w:rFonts w:hint="eastAsia" w:ascii="Times New Roman" w:hAnsi="Times New Roman" w:eastAsiaTheme="minorEastAsia"/>
                      <w:color w:val="auto"/>
                      <w:szCs w:val="21"/>
                    </w:rPr>
                    <w:t>辆</w:t>
                  </w:r>
                </w:p>
              </w:tc>
              <w:tc>
                <w:tcPr>
                  <w:tcW w:w="2506" w:type="pct"/>
                  <w:tcBorders>
                    <w:tl2br w:val="nil"/>
                    <w:tr2bl w:val="nil"/>
                  </w:tcBorders>
                  <w:vAlign w:val="center"/>
                </w:tcPr>
                <w:p w14:paraId="5B2C316C">
                  <w:pPr>
                    <w:pStyle w:val="32"/>
                    <w:kinsoku w:val="0"/>
                    <w:overflowPunct w:val="0"/>
                    <w:spacing w:line="320" w:lineRule="exact"/>
                    <w:rPr>
                      <w:rFonts w:ascii="Times New Roman" w:hAnsi="Times New Roman" w:eastAsiaTheme="minorEastAsia"/>
                      <w:color w:val="auto"/>
                      <w:szCs w:val="21"/>
                    </w:rPr>
                  </w:pPr>
                  <w:r>
                    <w:rPr>
                      <w:rFonts w:hint="eastAsia" w:ascii="Times New Roman" w:hAnsi="Times New Roman" w:eastAsiaTheme="minorEastAsia"/>
                      <w:color w:val="auto"/>
                      <w:szCs w:val="21"/>
                    </w:rPr>
                    <w:t>厂区内非道路移动机械</w:t>
                  </w:r>
                  <w:r>
                    <w:rPr>
                      <w:rFonts w:hint="eastAsia"/>
                      <w:color w:val="auto"/>
                      <w:lang w:val="en-US"/>
                    </w:rPr>
                    <w:t>采</w:t>
                  </w:r>
                  <w:r>
                    <w:rPr>
                      <w:rFonts w:hint="eastAsia" w:ascii="Times New Roman" w:hAnsi="Times New Roman" w:eastAsiaTheme="minorEastAsia"/>
                      <w:color w:val="auto"/>
                      <w:szCs w:val="21"/>
                    </w:rPr>
                    <w:t>用国</w:t>
                  </w:r>
                  <w:r>
                    <w:rPr>
                      <w:rFonts w:hint="eastAsia" w:ascii="Times New Roman" w:hAnsi="Times New Roman" w:eastAsiaTheme="minorEastAsia"/>
                      <w:color w:val="auto"/>
                      <w:szCs w:val="21"/>
                      <w:lang w:val="en-US"/>
                    </w:rPr>
                    <w:t>四</w:t>
                  </w:r>
                  <w:r>
                    <w:rPr>
                      <w:rFonts w:hint="eastAsia" w:ascii="Times New Roman" w:hAnsi="Times New Roman" w:eastAsiaTheme="minorEastAsia"/>
                      <w:color w:val="auto"/>
                      <w:szCs w:val="21"/>
                    </w:rPr>
                    <w:t>排放标准</w:t>
                  </w:r>
                  <w:r>
                    <w:rPr>
                      <w:rFonts w:hint="eastAsia" w:ascii="Times New Roman" w:hAnsi="Times New Roman" w:eastAsiaTheme="minorEastAsia"/>
                      <w:color w:val="auto"/>
                      <w:szCs w:val="21"/>
                      <w:lang w:eastAsia="zh-CN"/>
                    </w:rPr>
                    <w:t>，并环保备案</w:t>
                  </w:r>
                </w:p>
              </w:tc>
            </w:tr>
            <w:tr w14:paraId="42941F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1B0E9CA0">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2</w:t>
                  </w:r>
                </w:p>
              </w:tc>
              <w:tc>
                <w:tcPr>
                  <w:tcW w:w="737" w:type="pct"/>
                  <w:tcBorders>
                    <w:tl2br w:val="nil"/>
                    <w:tr2bl w:val="nil"/>
                  </w:tcBorders>
                  <w:vAlign w:val="center"/>
                </w:tcPr>
                <w:p w14:paraId="60D17FF9">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喷淋装置</w:t>
                  </w:r>
                </w:p>
              </w:tc>
              <w:tc>
                <w:tcPr>
                  <w:tcW w:w="781" w:type="pct"/>
                  <w:tcBorders>
                    <w:tl2br w:val="nil"/>
                    <w:tr2bl w:val="nil"/>
                  </w:tcBorders>
                  <w:vAlign w:val="center"/>
                </w:tcPr>
                <w:p w14:paraId="32D8B9F3">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w:t>
                  </w:r>
                </w:p>
              </w:tc>
              <w:tc>
                <w:tcPr>
                  <w:tcW w:w="598" w:type="pct"/>
                  <w:tcBorders>
                    <w:tl2br w:val="nil"/>
                    <w:tr2bl w:val="nil"/>
                  </w:tcBorders>
                  <w:vAlign w:val="center"/>
                </w:tcPr>
                <w:p w14:paraId="1AC11313">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rPr>
                    <w:t>4套</w:t>
                  </w:r>
                </w:p>
              </w:tc>
              <w:tc>
                <w:tcPr>
                  <w:tcW w:w="2506" w:type="pct"/>
                  <w:tcBorders>
                    <w:tl2br w:val="nil"/>
                    <w:tr2bl w:val="nil"/>
                  </w:tcBorders>
                  <w:vAlign w:val="center"/>
                </w:tcPr>
                <w:p w14:paraId="4D01600B">
                  <w:pPr>
                    <w:kinsoku w:val="0"/>
                    <w:overflowPunct w:val="0"/>
                    <w:autoSpaceDE w:val="0"/>
                    <w:autoSpaceDN w:val="0"/>
                    <w:adjustRightInd w:val="0"/>
                    <w:spacing w:line="320" w:lineRule="exact"/>
                    <w:jc w:val="center"/>
                    <w:rPr>
                      <w:rFonts w:hint="eastAsia" w:eastAsiaTheme="minorEastAsia"/>
                      <w:color w:val="FF0000"/>
                      <w:lang w:val="en-US" w:eastAsia="zh-CN"/>
                    </w:rPr>
                  </w:pPr>
                  <w:r>
                    <w:rPr>
                      <w:rFonts w:hint="eastAsia" w:eastAsiaTheme="minorEastAsia"/>
                      <w:color w:val="FF0000"/>
                      <w:lang w:val="en-US" w:eastAsia="zh-CN"/>
                    </w:rPr>
                    <w:t>1#2#车间各一套，3#车间2套</w:t>
                  </w:r>
                </w:p>
                <w:p w14:paraId="4F17F29C">
                  <w:pPr>
                    <w:kinsoku w:val="0"/>
                    <w:overflowPunct w:val="0"/>
                    <w:autoSpaceDE w:val="0"/>
                    <w:autoSpaceDN w:val="0"/>
                    <w:adjustRightInd w:val="0"/>
                    <w:spacing w:line="320" w:lineRule="exact"/>
                    <w:jc w:val="center"/>
                    <w:rPr>
                      <w:rFonts w:eastAsiaTheme="minorEastAsia"/>
                      <w:color w:val="FF0000"/>
                      <w:szCs w:val="21"/>
                    </w:rPr>
                  </w:pPr>
                  <w:r>
                    <w:rPr>
                      <w:rFonts w:hint="eastAsia" w:eastAsiaTheme="minorEastAsia"/>
                      <w:color w:val="FF0000"/>
                      <w:lang w:eastAsia="zh-CN"/>
                    </w:rPr>
                    <w:t>能做到车间全覆盖，</w:t>
                  </w:r>
                  <w:r>
                    <w:rPr>
                      <w:rFonts w:hint="eastAsia" w:eastAsiaTheme="minorEastAsia"/>
                      <w:color w:val="FF0000"/>
                    </w:rPr>
                    <w:t>带电伴热</w:t>
                  </w:r>
                </w:p>
              </w:tc>
            </w:tr>
            <w:tr w14:paraId="449B8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3F2870A8">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3</w:t>
                  </w:r>
                </w:p>
              </w:tc>
              <w:tc>
                <w:tcPr>
                  <w:tcW w:w="737" w:type="pct"/>
                  <w:tcBorders>
                    <w:tl2br w:val="nil"/>
                    <w:tr2bl w:val="nil"/>
                  </w:tcBorders>
                  <w:vAlign w:val="center"/>
                </w:tcPr>
                <w:p w14:paraId="5FBC103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洗车平台</w:t>
                  </w:r>
                </w:p>
              </w:tc>
              <w:tc>
                <w:tcPr>
                  <w:tcW w:w="781" w:type="pct"/>
                  <w:tcBorders>
                    <w:tl2br w:val="nil"/>
                    <w:tr2bl w:val="nil"/>
                  </w:tcBorders>
                  <w:vAlign w:val="center"/>
                </w:tcPr>
                <w:p w14:paraId="150CFF2D">
                  <w:pPr>
                    <w:kinsoku w:val="0"/>
                    <w:overflowPunct w:val="0"/>
                    <w:autoSpaceDE w:val="0"/>
                    <w:autoSpaceDN w:val="0"/>
                    <w:adjustRightInd w:val="0"/>
                    <w:spacing w:line="320" w:lineRule="exact"/>
                    <w:jc w:val="center"/>
                    <w:rPr>
                      <w:rFonts w:eastAsiaTheme="minorEastAsia"/>
                      <w:bCs/>
                      <w:color w:val="auto"/>
                    </w:rPr>
                  </w:pPr>
                  <w:r>
                    <w:rPr>
                      <w:rFonts w:hint="eastAsia" w:eastAsiaTheme="minorEastAsia"/>
                      <w:color w:val="auto"/>
                    </w:rPr>
                    <w:t>6</w:t>
                  </w:r>
                  <w:r>
                    <w:rPr>
                      <w:rFonts w:eastAsiaTheme="minorEastAsia"/>
                      <w:color w:val="auto"/>
                    </w:rPr>
                    <w:t>m×</w:t>
                  </w:r>
                  <w:r>
                    <w:rPr>
                      <w:rFonts w:hint="eastAsia" w:eastAsiaTheme="minorEastAsia"/>
                      <w:color w:val="auto"/>
                    </w:rPr>
                    <w:t>2.5</w:t>
                  </w:r>
                  <w:r>
                    <w:rPr>
                      <w:rFonts w:eastAsiaTheme="minorEastAsia"/>
                      <w:color w:val="auto"/>
                    </w:rPr>
                    <w:t>m</w:t>
                  </w:r>
                </w:p>
              </w:tc>
              <w:tc>
                <w:tcPr>
                  <w:tcW w:w="598" w:type="pct"/>
                  <w:tcBorders>
                    <w:tl2br w:val="nil"/>
                    <w:tr2bl w:val="nil"/>
                  </w:tcBorders>
                  <w:vAlign w:val="center"/>
                </w:tcPr>
                <w:p w14:paraId="1325981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1套</w:t>
                  </w:r>
                </w:p>
              </w:tc>
              <w:tc>
                <w:tcPr>
                  <w:tcW w:w="2506" w:type="pct"/>
                  <w:tcBorders>
                    <w:tl2br w:val="nil"/>
                    <w:tr2bl w:val="nil"/>
                  </w:tcBorders>
                  <w:vAlign w:val="center"/>
                </w:tcPr>
                <w:p w14:paraId="12E4C95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靠近厂区大门处，对进出场车辆提供清洗服务</w:t>
                  </w:r>
                </w:p>
              </w:tc>
            </w:tr>
            <w:tr w14:paraId="64083D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305A7C3F">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4</w:t>
                  </w:r>
                </w:p>
              </w:tc>
              <w:tc>
                <w:tcPr>
                  <w:tcW w:w="737" w:type="pct"/>
                  <w:tcBorders>
                    <w:tl2br w:val="nil"/>
                    <w:tr2bl w:val="nil"/>
                  </w:tcBorders>
                  <w:vAlign w:val="center"/>
                </w:tcPr>
                <w:p w14:paraId="2267CCEC">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地磅</w:t>
                  </w:r>
                </w:p>
              </w:tc>
              <w:tc>
                <w:tcPr>
                  <w:tcW w:w="781" w:type="pct"/>
                  <w:tcBorders>
                    <w:tl2br w:val="nil"/>
                    <w:tr2bl w:val="nil"/>
                  </w:tcBorders>
                  <w:vAlign w:val="center"/>
                </w:tcPr>
                <w:p w14:paraId="48B0B84D">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36D90F28">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1台</w:t>
                  </w:r>
                </w:p>
              </w:tc>
              <w:tc>
                <w:tcPr>
                  <w:tcW w:w="2506" w:type="pct"/>
                  <w:tcBorders>
                    <w:tl2br w:val="nil"/>
                    <w:tr2bl w:val="nil"/>
                  </w:tcBorders>
                  <w:vAlign w:val="center"/>
                </w:tcPr>
                <w:p w14:paraId="0A51EB56">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r>
            <w:tr w14:paraId="1683BA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7FF0653A">
                  <w:pPr>
                    <w:kinsoku w:val="0"/>
                    <w:overflowPunct w:val="0"/>
                    <w:autoSpaceDE w:val="0"/>
                    <w:autoSpaceDN w:val="0"/>
                    <w:adjustRightInd w:val="0"/>
                    <w:spacing w:line="320" w:lineRule="exact"/>
                    <w:jc w:val="center"/>
                    <w:rPr>
                      <w:rFonts w:eastAsiaTheme="minorEastAsia"/>
                      <w:color w:val="auto"/>
                      <w:szCs w:val="21"/>
                    </w:rPr>
                  </w:pPr>
                  <w:r>
                    <w:rPr>
                      <w:rFonts w:hint="eastAsia" w:eastAsiaTheme="minorEastAsia"/>
                      <w:color w:val="auto"/>
                      <w:szCs w:val="21"/>
                    </w:rPr>
                    <w:t>5</w:t>
                  </w:r>
                </w:p>
              </w:tc>
              <w:tc>
                <w:tcPr>
                  <w:tcW w:w="737" w:type="pct"/>
                  <w:tcBorders>
                    <w:tl2br w:val="nil"/>
                    <w:tr2bl w:val="nil"/>
                  </w:tcBorders>
                  <w:vAlign w:val="center"/>
                </w:tcPr>
                <w:p w14:paraId="38C609C7">
                  <w:pPr>
                    <w:kinsoku w:val="0"/>
                    <w:overflowPunct w:val="0"/>
                    <w:autoSpaceDE w:val="0"/>
                    <w:autoSpaceDN w:val="0"/>
                    <w:adjustRightInd w:val="0"/>
                    <w:spacing w:line="320" w:lineRule="exact"/>
                    <w:jc w:val="center"/>
                    <w:rPr>
                      <w:rFonts w:hint="eastAsia" w:eastAsiaTheme="minorEastAsia"/>
                      <w:color w:val="auto"/>
                      <w:lang w:eastAsia="zh-CN"/>
                    </w:rPr>
                  </w:pPr>
                  <w:r>
                    <w:rPr>
                      <w:rFonts w:hint="eastAsia" w:eastAsiaTheme="minorEastAsia"/>
                      <w:color w:val="auto"/>
                      <w:lang w:eastAsia="zh-CN"/>
                    </w:rPr>
                    <w:t>登车平台</w:t>
                  </w:r>
                </w:p>
              </w:tc>
              <w:tc>
                <w:tcPr>
                  <w:tcW w:w="781" w:type="pct"/>
                  <w:tcBorders>
                    <w:tl2br w:val="nil"/>
                    <w:tr2bl w:val="nil"/>
                  </w:tcBorders>
                  <w:shd w:val="clear" w:color="auto" w:fill="auto"/>
                  <w:vAlign w:val="center"/>
                </w:tcPr>
                <w:p w14:paraId="2BE75960">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4"/>
                      <w:lang w:val="en-US" w:eastAsia="zh-CN" w:bidi="ar-SA"/>
                    </w:rPr>
                  </w:pPr>
                  <w:r>
                    <w:rPr>
                      <w:rFonts w:hint="eastAsia" w:eastAsiaTheme="minorEastAsia"/>
                      <w:color w:val="auto"/>
                    </w:rPr>
                    <w:t>/</w:t>
                  </w:r>
                </w:p>
              </w:tc>
              <w:tc>
                <w:tcPr>
                  <w:tcW w:w="598" w:type="pct"/>
                  <w:tcBorders>
                    <w:tl2br w:val="nil"/>
                    <w:tr2bl w:val="nil"/>
                  </w:tcBorders>
                  <w:shd w:val="clear" w:color="auto" w:fill="auto"/>
                  <w:vAlign w:val="center"/>
                </w:tcPr>
                <w:p w14:paraId="30BF548C">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4"/>
                      <w:lang w:val="en-US" w:eastAsia="zh-CN" w:bidi="ar-SA"/>
                    </w:rPr>
                  </w:pPr>
                  <w:r>
                    <w:rPr>
                      <w:rFonts w:hint="eastAsia" w:eastAsiaTheme="minorEastAsia"/>
                      <w:color w:val="auto"/>
                      <w:lang w:val="en-US" w:eastAsia="zh-CN"/>
                    </w:rPr>
                    <w:t>3</w:t>
                  </w:r>
                  <w:r>
                    <w:rPr>
                      <w:rFonts w:hint="eastAsia" w:eastAsiaTheme="minorEastAsia"/>
                      <w:color w:val="auto"/>
                    </w:rPr>
                    <w:t>台</w:t>
                  </w:r>
                </w:p>
              </w:tc>
              <w:tc>
                <w:tcPr>
                  <w:tcW w:w="2506" w:type="pct"/>
                  <w:tcBorders>
                    <w:tl2br w:val="nil"/>
                    <w:tr2bl w:val="nil"/>
                  </w:tcBorders>
                  <w:vAlign w:val="center"/>
                </w:tcPr>
                <w:p w14:paraId="5B1F4BA6">
                  <w:pPr>
                    <w:kinsoku w:val="0"/>
                    <w:overflowPunct w:val="0"/>
                    <w:autoSpaceDE w:val="0"/>
                    <w:autoSpaceDN w:val="0"/>
                    <w:adjustRightInd w:val="0"/>
                    <w:spacing w:line="320" w:lineRule="exact"/>
                    <w:jc w:val="center"/>
                    <w:rPr>
                      <w:rFonts w:hint="eastAsia" w:eastAsiaTheme="minorEastAsia"/>
                      <w:color w:val="auto"/>
                      <w:lang w:val="en-US" w:eastAsia="zh-CN"/>
                    </w:rPr>
                  </w:pPr>
                  <w:r>
                    <w:rPr>
                      <w:rFonts w:hint="eastAsia" w:eastAsiaTheme="minorEastAsia"/>
                      <w:color w:val="auto"/>
                      <w:lang w:val="en-US" w:eastAsia="zh-CN"/>
                    </w:rPr>
                    <w:t>/</w:t>
                  </w:r>
                </w:p>
              </w:tc>
            </w:tr>
            <w:tr w14:paraId="0A883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6" w:type="pct"/>
                  <w:tcBorders>
                    <w:tl2br w:val="nil"/>
                    <w:tr2bl w:val="nil"/>
                  </w:tcBorders>
                  <w:shd w:val="clear" w:color="auto" w:fill="auto"/>
                  <w:vAlign w:val="center"/>
                </w:tcPr>
                <w:p w14:paraId="7E241CBC">
                  <w:pPr>
                    <w:kinsoku w:val="0"/>
                    <w:overflowPunct w:val="0"/>
                    <w:autoSpaceDE w:val="0"/>
                    <w:autoSpaceDN w:val="0"/>
                    <w:adjustRightInd w:val="0"/>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6</w:t>
                  </w:r>
                </w:p>
              </w:tc>
              <w:tc>
                <w:tcPr>
                  <w:tcW w:w="737" w:type="pct"/>
                  <w:tcBorders>
                    <w:tl2br w:val="nil"/>
                    <w:tr2bl w:val="nil"/>
                  </w:tcBorders>
                  <w:vAlign w:val="center"/>
                </w:tcPr>
                <w:p w14:paraId="2043DCEA">
                  <w:pPr>
                    <w:kinsoku w:val="0"/>
                    <w:overflowPunct w:val="0"/>
                    <w:autoSpaceDE w:val="0"/>
                    <w:autoSpaceDN w:val="0"/>
                    <w:adjustRightInd w:val="0"/>
                    <w:spacing w:line="320" w:lineRule="exact"/>
                    <w:jc w:val="center"/>
                    <w:rPr>
                      <w:rFonts w:hint="eastAsia" w:eastAsiaTheme="minorEastAsia"/>
                      <w:color w:val="auto"/>
                      <w:lang w:eastAsia="zh-CN"/>
                    </w:rPr>
                  </w:pPr>
                  <w:r>
                    <w:rPr>
                      <w:rFonts w:hint="eastAsia" w:eastAsiaTheme="minorEastAsia"/>
                      <w:color w:val="auto"/>
                      <w:lang w:eastAsia="zh-CN"/>
                    </w:rPr>
                    <w:t>天门吊</w:t>
                  </w:r>
                </w:p>
              </w:tc>
              <w:tc>
                <w:tcPr>
                  <w:tcW w:w="781" w:type="pct"/>
                  <w:tcBorders>
                    <w:tl2br w:val="nil"/>
                    <w:tr2bl w:val="nil"/>
                  </w:tcBorders>
                  <w:vAlign w:val="center"/>
                </w:tcPr>
                <w:p w14:paraId="2856B5C6">
                  <w:pPr>
                    <w:kinsoku w:val="0"/>
                    <w:overflowPunct w:val="0"/>
                    <w:autoSpaceDE w:val="0"/>
                    <w:autoSpaceDN w:val="0"/>
                    <w:adjustRightInd w:val="0"/>
                    <w:spacing w:line="320" w:lineRule="exact"/>
                    <w:jc w:val="center"/>
                    <w:rPr>
                      <w:rFonts w:hint="eastAsia" w:eastAsiaTheme="minorEastAsia"/>
                      <w:color w:val="auto"/>
                      <w:lang w:val="en-US" w:eastAsia="zh-CN"/>
                    </w:rPr>
                  </w:pPr>
                  <w:r>
                    <w:rPr>
                      <w:rFonts w:hint="eastAsia" w:eastAsiaTheme="minorEastAsia"/>
                      <w:color w:val="auto"/>
                      <w:lang w:val="en-US" w:eastAsia="zh-CN"/>
                    </w:rPr>
                    <w:t>/</w:t>
                  </w:r>
                </w:p>
              </w:tc>
              <w:tc>
                <w:tcPr>
                  <w:tcW w:w="598" w:type="pct"/>
                  <w:tcBorders>
                    <w:tl2br w:val="nil"/>
                    <w:tr2bl w:val="nil"/>
                  </w:tcBorders>
                  <w:vAlign w:val="center"/>
                </w:tcPr>
                <w:p w14:paraId="7590AC9A">
                  <w:pPr>
                    <w:kinsoku w:val="0"/>
                    <w:overflowPunct w:val="0"/>
                    <w:autoSpaceDE w:val="0"/>
                    <w:autoSpaceDN w:val="0"/>
                    <w:adjustRightInd w:val="0"/>
                    <w:spacing w:line="320" w:lineRule="exact"/>
                    <w:jc w:val="center"/>
                    <w:rPr>
                      <w:rFonts w:hint="eastAsia" w:eastAsia="宋体"/>
                      <w:color w:val="auto"/>
                      <w:lang w:val="en-US" w:eastAsia="zh-CN"/>
                    </w:rPr>
                  </w:pPr>
                  <w:r>
                    <w:rPr>
                      <w:rFonts w:hint="eastAsia"/>
                      <w:color w:val="auto"/>
                      <w:lang w:val="en-US" w:eastAsia="zh-CN"/>
                    </w:rPr>
                    <w:t>2台</w:t>
                  </w:r>
                </w:p>
              </w:tc>
              <w:tc>
                <w:tcPr>
                  <w:tcW w:w="2506" w:type="pct"/>
                  <w:tcBorders>
                    <w:tl2br w:val="nil"/>
                    <w:tr2bl w:val="nil"/>
                  </w:tcBorders>
                  <w:vAlign w:val="center"/>
                </w:tcPr>
                <w:p w14:paraId="6C02EFD8">
                  <w:pPr>
                    <w:kinsoku w:val="0"/>
                    <w:overflowPunct w:val="0"/>
                    <w:autoSpaceDE w:val="0"/>
                    <w:autoSpaceDN w:val="0"/>
                    <w:adjustRightInd w:val="0"/>
                    <w:spacing w:line="320" w:lineRule="exact"/>
                    <w:jc w:val="center"/>
                    <w:rPr>
                      <w:rFonts w:eastAsiaTheme="minorEastAsia"/>
                      <w:color w:val="auto"/>
                    </w:rPr>
                  </w:pPr>
                  <w:r>
                    <w:rPr>
                      <w:rFonts w:hint="eastAsia"/>
                      <w:color w:val="auto"/>
                      <w:kern w:val="0"/>
                      <w:szCs w:val="21"/>
                      <w:lang w:val="en-US" w:eastAsia="zh-CN" w:bidi="ar"/>
                    </w:rPr>
                    <w:t>用于钢材、废钢卸车、装车、转运</w:t>
                  </w:r>
                </w:p>
              </w:tc>
            </w:tr>
            <w:tr w14:paraId="20C9B3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76" w:type="pct"/>
                  <w:tcBorders>
                    <w:tl2br w:val="nil"/>
                    <w:tr2bl w:val="nil"/>
                  </w:tcBorders>
                  <w:shd w:val="clear" w:color="auto" w:fill="auto"/>
                  <w:vAlign w:val="center"/>
                </w:tcPr>
                <w:p w14:paraId="67B9C9DA">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7</w:t>
                  </w:r>
                </w:p>
              </w:tc>
              <w:tc>
                <w:tcPr>
                  <w:tcW w:w="737" w:type="pct"/>
                  <w:tcBorders>
                    <w:tl2br w:val="nil"/>
                    <w:tr2bl w:val="nil"/>
                  </w:tcBorders>
                  <w:vAlign w:val="center"/>
                </w:tcPr>
                <w:p w14:paraId="3C3FB9A2">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水泵</w:t>
                  </w:r>
                </w:p>
              </w:tc>
              <w:tc>
                <w:tcPr>
                  <w:tcW w:w="781" w:type="pct"/>
                  <w:tcBorders>
                    <w:tl2br w:val="nil"/>
                    <w:tr2bl w:val="nil"/>
                  </w:tcBorders>
                  <w:vAlign w:val="center"/>
                </w:tcPr>
                <w:p w14:paraId="56283421">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536B7AA2">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4台</w:t>
                  </w:r>
                </w:p>
              </w:tc>
              <w:tc>
                <w:tcPr>
                  <w:tcW w:w="2506" w:type="pct"/>
                  <w:tcBorders>
                    <w:tl2br w:val="nil"/>
                    <w:tr2bl w:val="nil"/>
                  </w:tcBorders>
                  <w:vAlign w:val="center"/>
                </w:tcPr>
                <w:p w14:paraId="7E44F7F7">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r>
            <w:tr w14:paraId="2E9DB0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shd w:val="clear" w:color="auto" w:fill="auto"/>
                  <w:vAlign w:val="center"/>
                </w:tcPr>
                <w:p w14:paraId="7019EF44">
                  <w:pPr>
                    <w:kinsoku w:val="0"/>
                    <w:overflowPunct w:val="0"/>
                    <w:autoSpaceDE w:val="0"/>
                    <w:autoSpaceDN w:val="0"/>
                    <w:adjustRightIn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8</w:t>
                  </w:r>
                </w:p>
              </w:tc>
              <w:tc>
                <w:tcPr>
                  <w:tcW w:w="737" w:type="pct"/>
                  <w:tcBorders>
                    <w:tl2br w:val="nil"/>
                    <w:tr2bl w:val="nil"/>
                  </w:tcBorders>
                  <w:vAlign w:val="center"/>
                </w:tcPr>
                <w:p w14:paraId="4EB38C9E">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洒水车</w:t>
                  </w:r>
                </w:p>
              </w:tc>
              <w:tc>
                <w:tcPr>
                  <w:tcW w:w="781" w:type="pct"/>
                  <w:tcBorders>
                    <w:tl2br w:val="nil"/>
                    <w:tr2bl w:val="nil"/>
                  </w:tcBorders>
                  <w:vAlign w:val="center"/>
                </w:tcPr>
                <w:p w14:paraId="72D7EF85">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496C4C79">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1辆</w:t>
                  </w:r>
                </w:p>
              </w:tc>
              <w:tc>
                <w:tcPr>
                  <w:tcW w:w="2506" w:type="pct"/>
                  <w:vMerge w:val="restart"/>
                  <w:tcBorders>
                    <w:tl2br w:val="nil"/>
                    <w:tr2bl w:val="nil"/>
                  </w:tcBorders>
                  <w:vAlign w:val="center"/>
                </w:tcPr>
                <w:p w14:paraId="170EB8B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新能源汽车</w:t>
                  </w:r>
                </w:p>
              </w:tc>
            </w:tr>
            <w:tr w14:paraId="47CA26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1C59CE29">
                  <w:pPr>
                    <w:kinsoku w:val="0"/>
                    <w:overflowPunct w:val="0"/>
                    <w:autoSpaceDE w:val="0"/>
                    <w:autoSpaceDN w:val="0"/>
                    <w:adjustRightInd w:val="0"/>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9</w:t>
                  </w:r>
                </w:p>
              </w:tc>
              <w:tc>
                <w:tcPr>
                  <w:tcW w:w="737" w:type="pct"/>
                  <w:tcBorders>
                    <w:tl2br w:val="nil"/>
                    <w:tr2bl w:val="nil"/>
                  </w:tcBorders>
                  <w:vAlign w:val="center"/>
                </w:tcPr>
                <w:p w14:paraId="2E60C71C">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湿扫车</w:t>
                  </w:r>
                </w:p>
              </w:tc>
              <w:tc>
                <w:tcPr>
                  <w:tcW w:w="781" w:type="pct"/>
                  <w:tcBorders>
                    <w:tl2br w:val="nil"/>
                    <w:tr2bl w:val="nil"/>
                  </w:tcBorders>
                  <w:vAlign w:val="center"/>
                </w:tcPr>
                <w:p w14:paraId="569FB8AF">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w:t>
                  </w:r>
                </w:p>
              </w:tc>
              <w:tc>
                <w:tcPr>
                  <w:tcW w:w="598" w:type="pct"/>
                  <w:tcBorders>
                    <w:tl2br w:val="nil"/>
                    <w:tr2bl w:val="nil"/>
                  </w:tcBorders>
                  <w:vAlign w:val="center"/>
                </w:tcPr>
                <w:p w14:paraId="66E5D04A">
                  <w:pPr>
                    <w:kinsoku w:val="0"/>
                    <w:overflowPunct w:val="0"/>
                    <w:autoSpaceDE w:val="0"/>
                    <w:autoSpaceDN w:val="0"/>
                    <w:adjustRightInd w:val="0"/>
                    <w:spacing w:line="320" w:lineRule="exact"/>
                    <w:jc w:val="center"/>
                    <w:rPr>
                      <w:rFonts w:eastAsiaTheme="minorEastAsia"/>
                      <w:color w:val="auto"/>
                    </w:rPr>
                  </w:pPr>
                  <w:r>
                    <w:rPr>
                      <w:rFonts w:hint="eastAsia" w:eastAsiaTheme="minorEastAsia"/>
                      <w:color w:val="auto"/>
                    </w:rPr>
                    <w:t>1辆</w:t>
                  </w:r>
                </w:p>
              </w:tc>
              <w:tc>
                <w:tcPr>
                  <w:tcW w:w="2506" w:type="pct"/>
                  <w:vMerge w:val="continue"/>
                  <w:tcBorders>
                    <w:tl2br w:val="nil"/>
                    <w:tr2bl w:val="nil"/>
                  </w:tcBorders>
                  <w:vAlign w:val="center"/>
                </w:tcPr>
                <w:p w14:paraId="5933222E">
                  <w:pPr>
                    <w:kinsoku w:val="0"/>
                    <w:overflowPunct w:val="0"/>
                    <w:autoSpaceDE w:val="0"/>
                    <w:autoSpaceDN w:val="0"/>
                    <w:adjustRightInd w:val="0"/>
                    <w:spacing w:line="320" w:lineRule="exact"/>
                    <w:jc w:val="center"/>
                    <w:rPr>
                      <w:rFonts w:eastAsiaTheme="minorEastAsia"/>
                      <w:color w:val="auto"/>
                    </w:rPr>
                  </w:pPr>
                </w:p>
              </w:tc>
            </w:tr>
            <w:tr w14:paraId="43A3AB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376" w:type="pct"/>
                  <w:tcBorders>
                    <w:tl2br w:val="nil"/>
                    <w:tr2bl w:val="nil"/>
                  </w:tcBorders>
                  <w:vAlign w:val="center"/>
                </w:tcPr>
                <w:p w14:paraId="628D999D">
                  <w:pPr>
                    <w:kinsoku w:val="0"/>
                    <w:overflowPunct w:val="0"/>
                    <w:autoSpaceDE w:val="0"/>
                    <w:autoSpaceDN w:val="0"/>
                    <w:adjustRightInd w:val="0"/>
                    <w:spacing w:line="320" w:lineRule="exact"/>
                    <w:jc w:val="center"/>
                    <w:rPr>
                      <w:rFonts w:hint="default" w:eastAsiaTheme="minorEastAsia"/>
                      <w:color w:val="FF0000"/>
                      <w:szCs w:val="21"/>
                      <w:lang w:val="en-US" w:eastAsia="zh-CN"/>
                    </w:rPr>
                  </w:pPr>
                  <w:r>
                    <w:rPr>
                      <w:rFonts w:hint="eastAsia" w:eastAsiaTheme="minorEastAsia"/>
                      <w:color w:val="FF0000"/>
                      <w:szCs w:val="21"/>
                      <w:lang w:val="en-US" w:eastAsia="zh-CN"/>
                    </w:rPr>
                    <w:t>10</w:t>
                  </w:r>
                </w:p>
              </w:tc>
              <w:tc>
                <w:tcPr>
                  <w:tcW w:w="737" w:type="pct"/>
                  <w:tcBorders>
                    <w:tl2br w:val="nil"/>
                    <w:tr2bl w:val="nil"/>
                  </w:tcBorders>
                  <w:vAlign w:val="center"/>
                </w:tcPr>
                <w:p w14:paraId="7AFC87D0">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运输车辆</w:t>
                  </w:r>
                </w:p>
              </w:tc>
              <w:tc>
                <w:tcPr>
                  <w:tcW w:w="781" w:type="pct"/>
                  <w:tcBorders>
                    <w:tl2br w:val="nil"/>
                    <w:tr2bl w:val="nil"/>
                  </w:tcBorders>
                  <w:vAlign w:val="center"/>
                </w:tcPr>
                <w:p w14:paraId="10830AD9">
                  <w:pPr>
                    <w:kinsoku w:val="0"/>
                    <w:overflowPunct w:val="0"/>
                    <w:autoSpaceDE w:val="0"/>
                    <w:autoSpaceDN w:val="0"/>
                    <w:adjustRightInd w:val="0"/>
                    <w:spacing w:line="320" w:lineRule="exact"/>
                    <w:jc w:val="center"/>
                    <w:rPr>
                      <w:rFonts w:hint="default" w:eastAsiaTheme="minorEastAsia"/>
                      <w:color w:val="FF0000"/>
                      <w:lang w:val="en-US" w:eastAsia="zh-CN"/>
                    </w:rPr>
                  </w:pPr>
                  <w:r>
                    <w:rPr>
                      <w:rFonts w:hint="eastAsia" w:eastAsiaTheme="minorEastAsia"/>
                      <w:color w:val="FF0000"/>
                      <w:lang w:val="en-US" w:eastAsia="zh-CN"/>
                    </w:rPr>
                    <w:t>/</w:t>
                  </w:r>
                </w:p>
              </w:tc>
              <w:tc>
                <w:tcPr>
                  <w:tcW w:w="598" w:type="pct"/>
                  <w:tcBorders>
                    <w:tl2br w:val="nil"/>
                    <w:tr2bl w:val="nil"/>
                  </w:tcBorders>
                  <w:vAlign w:val="center"/>
                </w:tcPr>
                <w:p w14:paraId="582B1074">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若干</w:t>
                  </w:r>
                </w:p>
              </w:tc>
              <w:tc>
                <w:tcPr>
                  <w:tcW w:w="2506" w:type="pct"/>
                  <w:tcBorders>
                    <w:tl2br w:val="nil"/>
                    <w:tr2bl w:val="nil"/>
                  </w:tcBorders>
                  <w:vAlign w:val="center"/>
                </w:tcPr>
                <w:p w14:paraId="49120C52">
                  <w:pPr>
                    <w:kinsoku w:val="0"/>
                    <w:overflowPunct w:val="0"/>
                    <w:autoSpaceDE w:val="0"/>
                    <w:autoSpaceDN w:val="0"/>
                    <w:adjustRightInd w:val="0"/>
                    <w:spacing w:line="320" w:lineRule="exact"/>
                    <w:jc w:val="center"/>
                    <w:rPr>
                      <w:rFonts w:hint="eastAsia" w:eastAsiaTheme="minorEastAsia"/>
                      <w:color w:val="FF0000"/>
                      <w:lang w:eastAsia="zh-CN"/>
                    </w:rPr>
                  </w:pPr>
                  <w:r>
                    <w:rPr>
                      <w:rFonts w:hint="eastAsia" w:eastAsiaTheme="minorEastAsia"/>
                      <w:color w:val="FF0000"/>
                      <w:lang w:eastAsia="zh-CN"/>
                    </w:rPr>
                    <w:t>新能源车辆，不在厂区停放</w:t>
                  </w:r>
                </w:p>
              </w:tc>
            </w:tr>
          </w:tbl>
          <w:p w14:paraId="10BB318D">
            <w:pPr>
              <w:pStyle w:val="5"/>
              <w:spacing w:before="0" w:after="0" w:line="500" w:lineRule="exact"/>
              <w:ind w:firstLine="482" w:firstLineChars="200"/>
              <w:rPr>
                <w:rFonts w:hint="default" w:ascii="Times New Roman" w:hAnsi="Times New Roman" w:cs="Times New Roman" w:eastAsiaTheme="minorEastAsia"/>
                <w:bCs w:val="0"/>
                <w:color w:val="auto"/>
                <w:sz w:val="24"/>
                <w:szCs w:val="24"/>
              </w:rPr>
            </w:pPr>
            <w:r>
              <w:rPr>
                <w:rFonts w:hint="default" w:ascii="Times New Roman" w:hAnsi="Times New Roman" w:cs="Times New Roman" w:eastAsiaTheme="minorEastAsia"/>
                <w:bCs w:val="0"/>
                <w:color w:val="auto"/>
                <w:sz w:val="24"/>
                <w:szCs w:val="24"/>
              </w:rPr>
              <w:t>4.原辅材料及能源消耗</w:t>
            </w:r>
          </w:p>
          <w:p w14:paraId="76529A5E">
            <w:pPr>
              <w:pStyle w:val="5"/>
              <w:spacing w:before="0" w:after="0" w:line="500" w:lineRule="exact"/>
              <w:ind w:firstLine="480" w:firstLineChars="200"/>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本项目煤炭均为</w:t>
            </w:r>
            <w:r>
              <w:rPr>
                <w:rFonts w:hint="eastAsia" w:asciiTheme="minorEastAsia" w:hAnsiTheme="minorEastAsia" w:eastAsiaTheme="minorEastAsia"/>
                <w:b w:val="0"/>
                <w:color w:val="auto"/>
                <w:sz w:val="24"/>
                <w:szCs w:val="24"/>
                <w:lang w:val="en-US" w:eastAsia="zh-CN"/>
              </w:rPr>
              <w:t>成品煤</w:t>
            </w:r>
            <w:r>
              <w:rPr>
                <w:rFonts w:hint="eastAsia" w:asciiTheme="minorEastAsia" w:hAnsiTheme="minorEastAsia" w:eastAsiaTheme="minorEastAsia"/>
                <w:b w:val="0"/>
                <w:color w:val="auto"/>
                <w:sz w:val="24"/>
                <w:szCs w:val="24"/>
                <w:lang w:eastAsia="zh-CN"/>
              </w:rPr>
              <w:t>、不涉及加工工序</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eastAsia="zh-CN"/>
              </w:rPr>
              <w:t>根据项目实际情况，原料不涉及矿粉。</w:t>
            </w:r>
            <w:r>
              <w:rPr>
                <w:rFonts w:hint="eastAsia" w:asciiTheme="minorEastAsia" w:hAnsiTheme="minorEastAsia" w:eastAsiaTheme="minorEastAsia"/>
                <w:b w:val="0"/>
                <w:color w:val="auto"/>
                <w:sz w:val="24"/>
                <w:szCs w:val="24"/>
              </w:rPr>
              <w:t>具体原辅材料及能源消耗情况见下表。</w:t>
            </w:r>
          </w:p>
          <w:p w14:paraId="5DF95C43">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11</w:t>
            </w:r>
            <w:r>
              <w:rPr>
                <w:rFonts w:hint="eastAsia"/>
                <w:b/>
                <w:bCs/>
                <w:color w:val="auto"/>
                <w:sz w:val="24"/>
                <w:lang w:val="en-US" w:eastAsia="zh-CN"/>
              </w:rPr>
              <w:t xml:space="preserve"> </w:t>
            </w:r>
            <w:r>
              <w:rPr>
                <w:rFonts w:hint="eastAsia"/>
                <w:b/>
                <w:bCs/>
                <w:color w:val="auto"/>
                <w:sz w:val="24"/>
              </w:rPr>
              <w:t xml:space="preserve"> </w:t>
            </w:r>
            <w:r>
              <w:rPr>
                <w:b/>
                <w:bCs/>
                <w:color w:val="auto"/>
                <w:sz w:val="24"/>
              </w:rPr>
              <w:t xml:space="preserve"> 主要原辅材料及能源消耗一览表</w:t>
            </w:r>
          </w:p>
          <w:tbl>
            <w:tblPr>
              <w:tblStyle w:val="23"/>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09"/>
              <w:gridCol w:w="1130"/>
              <w:gridCol w:w="1048"/>
              <w:gridCol w:w="4002"/>
            </w:tblGrid>
            <w:tr w14:paraId="192C0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32" w:type="pct"/>
                  <w:vAlign w:val="center"/>
                </w:tcPr>
                <w:p w14:paraId="509C778B">
                  <w:pPr>
                    <w:spacing w:line="320" w:lineRule="exact"/>
                    <w:jc w:val="center"/>
                    <w:rPr>
                      <w:rFonts w:ascii="Times New Roman" w:hAnsi="Times New Roman" w:eastAsia="宋体"/>
                      <w:color w:val="auto"/>
                    </w:rPr>
                  </w:pPr>
                  <w:r>
                    <w:rPr>
                      <w:rFonts w:ascii="Times New Roman" w:hAnsi="Times New Roman" w:eastAsia="宋体"/>
                      <w:color w:val="auto"/>
                    </w:rPr>
                    <w:t>序号</w:t>
                  </w:r>
                </w:p>
              </w:tc>
              <w:tc>
                <w:tcPr>
                  <w:tcW w:w="798" w:type="pct"/>
                  <w:vAlign w:val="center"/>
                </w:tcPr>
                <w:p w14:paraId="48F8BBE9">
                  <w:pPr>
                    <w:spacing w:line="320" w:lineRule="exact"/>
                    <w:jc w:val="center"/>
                    <w:rPr>
                      <w:rFonts w:ascii="Times New Roman" w:hAnsi="Times New Roman" w:eastAsia="宋体"/>
                      <w:color w:val="auto"/>
                    </w:rPr>
                  </w:pPr>
                  <w:r>
                    <w:rPr>
                      <w:rFonts w:ascii="Times New Roman" w:hAnsi="Times New Roman" w:eastAsia="宋体"/>
                      <w:color w:val="auto"/>
                    </w:rPr>
                    <w:t>物料名称</w:t>
                  </w:r>
                </w:p>
              </w:tc>
              <w:tc>
                <w:tcPr>
                  <w:tcW w:w="689" w:type="pct"/>
                  <w:vAlign w:val="center"/>
                </w:tcPr>
                <w:p w14:paraId="3DE8C79A">
                  <w:pPr>
                    <w:spacing w:line="320" w:lineRule="exact"/>
                    <w:jc w:val="center"/>
                    <w:rPr>
                      <w:rFonts w:ascii="Times New Roman" w:hAnsi="Times New Roman" w:eastAsia="宋体"/>
                      <w:color w:val="auto"/>
                    </w:rPr>
                  </w:pPr>
                  <w:r>
                    <w:rPr>
                      <w:rFonts w:ascii="Times New Roman" w:hAnsi="Times New Roman" w:eastAsia="宋体"/>
                      <w:color w:val="auto"/>
                    </w:rPr>
                    <w:t>单位</w:t>
                  </w:r>
                </w:p>
              </w:tc>
              <w:tc>
                <w:tcPr>
                  <w:tcW w:w="639" w:type="pct"/>
                  <w:vAlign w:val="center"/>
                </w:tcPr>
                <w:p w14:paraId="60442394">
                  <w:pPr>
                    <w:spacing w:line="320" w:lineRule="exact"/>
                    <w:jc w:val="center"/>
                    <w:rPr>
                      <w:rFonts w:hint="eastAsia" w:ascii="Times New Roman" w:hAnsi="Times New Roman" w:eastAsia="宋体"/>
                      <w:color w:val="auto"/>
                      <w:lang w:eastAsia="zh-CN"/>
                    </w:rPr>
                  </w:pPr>
                  <w:r>
                    <w:rPr>
                      <w:rFonts w:hint="eastAsia"/>
                      <w:color w:val="auto"/>
                      <w:lang w:eastAsia="zh-CN"/>
                    </w:rPr>
                    <w:t>转运量</w:t>
                  </w:r>
                </w:p>
              </w:tc>
              <w:tc>
                <w:tcPr>
                  <w:tcW w:w="2440" w:type="pct"/>
                  <w:vAlign w:val="center"/>
                </w:tcPr>
                <w:p w14:paraId="6559AAE3">
                  <w:pPr>
                    <w:spacing w:line="320" w:lineRule="exact"/>
                    <w:jc w:val="center"/>
                    <w:rPr>
                      <w:rFonts w:ascii="Times New Roman" w:hAnsi="Times New Roman" w:eastAsia="宋体"/>
                      <w:color w:val="auto"/>
                    </w:rPr>
                  </w:pPr>
                  <w:r>
                    <w:rPr>
                      <w:rFonts w:hint="eastAsia" w:ascii="Times New Roman" w:hAnsi="Times New Roman" w:eastAsia="宋体"/>
                      <w:color w:val="auto"/>
                    </w:rPr>
                    <w:t>备注</w:t>
                  </w:r>
                </w:p>
              </w:tc>
            </w:tr>
            <w:tr w14:paraId="7DA22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Align w:val="center"/>
                </w:tcPr>
                <w:p w14:paraId="2163B7EB">
                  <w:pPr>
                    <w:spacing w:line="320" w:lineRule="exact"/>
                    <w:jc w:val="center"/>
                    <w:rPr>
                      <w:rFonts w:ascii="Times New Roman" w:hAnsi="Times New Roman" w:eastAsia="宋体"/>
                      <w:color w:val="FF0000"/>
                    </w:rPr>
                  </w:pPr>
                  <w:r>
                    <w:rPr>
                      <w:rFonts w:ascii="Times New Roman" w:hAnsi="Times New Roman" w:eastAsia="宋体"/>
                      <w:color w:val="FF0000"/>
                    </w:rPr>
                    <w:t>1</w:t>
                  </w:r>
                </w:p>
              </w:tc>
              <w:tc>
                <w:tcPr>
                  <w:tcW w:w="798" w:type="pct"/>
                  <w:vAlign w:val="center"/>
                </w:tcPr>
                <w:p w14:paraId="7684F92C">
                  <w:pPr>
                    <w:pStyle w:val="32"/>
                    <w:kinsoku w:val="0"/>
                    <w:overflowPunct w:val="0"/>
                    <w:spacing w:line="320" w:lineRule="exact"/>
                    <w:jc w:val="center"/>
                    <w:rPr>
                      <w:rFonts w:hint="eastAsia" w:ascii="Times New Roman" w:hAnsi="Times New Roman" w:cs="宋体" w:eastAsiaTheme="minorEastAsia"/>
                      <w:b w:val="0"/>
                      <w:bCs/>
                      <w:color w:val="FF0000"/>
                      <w:kern w:val="2"/>
                      <w:sz w:val="21"/>
                      <w:szCs w:val="21"/>
                      <w:lang w:val="zh-CN" w:eastAsia="zh-CN" w:bidi="zh-CN"/>
                    </w:rPr>
                  </w:pPr>
                  <w:r>
                    <w:rPr>
                      <w:rFonts w:hint="eastAsia" w:ascii="Times New Roman" w:hAnsi="Times New Roman" w:eastAsiaTheme="minorEastAsia"/>
                      <w:b w:val="0"/>
                      <w:bCs/>
                      <w:color w:val="FF0000"/>
                      <w:szCs w:val="21"/>
                      <w:lang w:eastAsia="zh-CN"/>
                    </w:rPr>
                    <w:t>煤炭（主要为精煤和无烟煤）</w:t>
                  </w:r>
                </w:p>
              </w:tc>
              <w:tc>
                <w:tcPr>
                  <w:tcW w:w="689" w:type="pct"/>
                  <w:vAlign w:val="center"/>
                </w:tcPr>
                <w:p w14:paraId="6B00EE04">
                  <w:pPr>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cs="宋体" w:eastAsiaTheme="minorEastAsia"/>
                      <w:b w:val="0"/>
                      <w:bCs/>
                      <w:color w:val="FF0000"/>
                      <w:kern w:val="2"/>
                      <w:sz w:val="21"/>
                      <w:szCs w:val="21"/>
                      <w:lang w:val="en-US" w:eastAsia="zh-CN" w:bidi="zh-CN"/>
                    </w:rPr>
                    <w:t>万</w:t>
                  </w:r>
                  <w:r>
                    <w:rPr>
                      <w:rFonts w:hint="eastAsia" w:ascii="Times New Roman" w:hAnsi="Times New Roman" w:cs="宋体" w:eastAsiaTheme="minorEastAsia"/>
                      <w:b w:val="0"/>
                      <w:bCs/>
                      <w:color w:val="FF0000"/>
                      <w:kern w:val="2"/>
                      <w:sz w:val="21"/>
                      <w:szCs w:val="21"/>
                      <w:lang w:val="en-US" w:eastAsia="zh-CN" w:bidi="zh-CN"/>
                    </w:rPr>
                    <w:t>t/a</w:t>
                  </w:r>
                </w:p>
              </w:tc>
              <w:tc>
                <w:tcPr>
                  <w:tcW w:w="639" w:type="pct"/>
                  <w:vAlign w:val="center"/>
                </w:tcPr>
                <w:p w14:paraId="3D5824DE">
                  <w:pPr>
                    <w:pStyle w:val="32"/>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val="en-US" w:eastAsia="zh-CN"/>
                    </w:rPr>
                    <w:t>200</w:t>
                  </w:r>
                </w:p>
              </w:tc>
              <w:tc>
                <w:tcPr>
                  <w:tcW w:w="2440" w:type="pct"/>
                  <w:vAlign w:val="center"/>
                </w:tcPr>
                <w:p w14:paraId="4FFB13B5">
                  <w:pPr>
                    <w:spacing w:line="320" w:lineRule="exact"/>
                    <w:jc w:val="center"/>
                    <w:rPr>
                      <w:rFonts w:hint="default" w:ascii="Times New Roman" w:hAnsi="Times New Roman" w:eastAsia="宋体"/>
                      <w:color w:val="FF0000"/>
                      <w:lang w:val="en-US" w:eastAsia="zh-CN"/>
                    </w:rPr>
                  </w:pPr>
                  <w:r>
                    <w:rPr>
                      <w:rFonts w:hint="eastAsia"/>
                      <w:color w:val="FF0000"/>
                      <w:lang w:eastAsia="zh-CN"/>
                    </w:rPr>
                    <w:t>经汽车</w:t>
                  </w:r>
                  <w:r>
                    <w:rPr>
                      <w:rFonts w:hint="eastAsia" w:ascii="Times New Roman" w:hAnsi="Times New Roman" w:eastAsia="宋体"/>
                      <w:color w:val="FF0000"/>
                    </w:rPr>
                    <w:t>运输</w:t>
                  </w:r>
                  <w:r>
                    <w:rPr>
                      <w:rFonts w:hint="eastAsia"/>
                      <w:color w:val="FF0000"/>
                      <w:lang w:eastAsia="zh-CN"/>
                    </w:rPr>
                    <w:t>至厂区</w:t>
                  </w:r>
                  <w:r>
                    <w:rPr>
                      <w:rFonts w:hint="eastAsia" w:ascii="Times New Roman" w:hAnsi="Times New Roman" w:eastAsia="宋体"/>
                      <w:color w:val="FF0000"/>
                    </w:rPr>
                    <w:t>，存于1#</w:t>
                  </w:r>
                  <w:r>
                    <w:rPr>
                      <w:rFonts w:hint="eastAsia"/>
                      <w:color w:val="FF0000"/>
                      <w:lang w:val="en-US" w:eastAsia="zh-CN"/>
                    </w:rPr>
                    <w:t>3#</w:t>
                  </w:r>
                  <w:r>
                    <w:rPr>
                      <w:rFonts w:hint="eastAsia"/>
                      <w:color w:val="FF0000"/>
                      <w:lang w:eastAsia="zh-CN"/>
                    </w:rPr>
                    <w:t>厂房</w:t>
                  </w:r>
                  <w:r>
                    <w:rPr>
                      <w:rFonts w:hint="eastAsia" w:ascii="Times New Roman" w:hAnsi="Times New Roman" w:eastAsia="宋体"/>
                      <w:color w:val="FF0000"/>
                      <w:lang w:eastAsia="zh-CN"/>
                    </w:rPr>
                    <w:t>，</w:t>
                  </w:r>
                  <w:r>
                    <w:rPr>
                      <w:rFonts w:hint="eastAsia" w:ascii="Times New Roman" w:hAnsi="Times New Roman" w:eastAsia="宋体"/>
                      <w:color w:val="FF0000"/>
                      <w:lang w:val="en-US" w:eastAsia="zh-CN"/>
                    </w:rPr>
                    <w:t>含水率8%左右</w:t>
                  </w:r>
                  <w:r>
                    <w:rPr>
                      <w:rFonts w:hint="eastAsia"/>
                      <w:color w:val="FF0000"/>
                      <w:lang w:val="en-US" w:eastAsia="zh-CN"/>
                    </w:rPr>
                    <w:t>，其中集装箱运输量占70%，翻斗车运输量占30%</w:t>
                  </w:r>
                </w:p>
              </w:tc>
            </w:tr>
            <w:tr w14:paraId="45123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2B5B919F">
                  <w:pPr>
                    <w:spacing w:line="320" w:lineRule="exact"/>
                    <w:jc w:val="center"/>
                    <w:rPr>
                      <w:rFonts w:ascii="Times New Roman" w:hAnsi="Times New Roman" w:eastAsia="宋体"/>
                      <w:color w:val="FF0000"/>
                    </w:rPr>
                  </w:pPr>
                  <w:r>
                    <w:rPr>
                      <w:rFonts w:ascii="Times New Roman" w:hAnsi="Times New Roman" w:eastAsia="宋体"/>
                      <w:color w:val="FF0000"/>
                    </w:rPr>
                    <w:t>2</w:t>
                  </w:r>
                </w:p>
              </w:tc>
              <w:tc>
                <w:tcPr>
                  <w:tcW w:w="798" w:type="pct"/>
                  <w:vAlign w:val="center"/>
                </w:tcPr>
                <w:p w14:paraId="4E85E173">
                  <w:pPr>
                    <w:pStyle w:val="32"/>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eastAsia="zh-CN"/>
                    </w:rPr>
                    <w:t>矿石（主要为铁矿石）</w:t>
                  </w:r>
                </w:p>
              </w:tc>
              <w:tc>
                <w:tcPr>
                  <w:tcW w:w="689" w:type="pct"/>
                  <w:vAlign w:val="center"/>
                </w:tcPr>
                <w:p w14:paraId="39E1C070">
                  <w:pPr>
                    <w:kinsoku w:val="0"/>
                    <w:overflowPunct w:val="0"/>
                    <w:spacing w:line="320" w:lineRule="exact"/>
                    <w:jc w:val="center"/>
                    <w:rPr>
                      <w:rFonts w:hint="default" w:ascii="Times New Roman" w:hAnsi="Times New Roman" w:cs="宋体" w:eastAsiaTheme="minorEastAsia"/>
                      <w:b w:val="0"/>
                      <w:bCs/>
                      <w:color w:val="FF0000"/>
                      <w:kern w:val="2"/>
                      <w:sz w:val="21"/>
                      <w:szCs w:val="21"/>
                      <w:lang w:val="en-US" w:eastAsia="zh-CN" w:bidi="zh-CN"/>
                    </w:rPr>
                  </w:pPr>
                  <w:r>
                    <w:rPr>
                      <w:rFonts w:hint="eastAsia" w:cs="宋体" w:eastAsiaTheme="minorEastAsia"/>
                      <w:b w:val="0"/>
                      <w:bCs/>
                      <w:color w:val="FF0000"/>
                      <w:kern w:val="2"/>
                      <w:sz w:val="21"/>
                      <w:szCs w:val="21"/>
                      <w:lang w:val="en-US" w:eastAsia="zh-CN" w:bidi="zh-CN"/>
                    </w:rPr>
                    <w:t>万</w:t>
                  </w:r>
                  <w:r>
                    <w:rPr>
                      <w:rFonts w:hint="eastAsia" w:ascii="Times New Roman" w:hAnsi="Times New Roman" w:cs="宋体" w:eastAsiaTheme="minorEastAsia"/>
                      <w:b w:val="0"/>
                      <w:bCs/>
                      <w:color w:val="FF0000"/>
                      <w:kern w:val="2"/>
                      <w:sz w:val="21"/>
                      <w:szCs w:val="21"/>
                      <w:lang w:val="en-US" w:eastAsia="zh-CN" w:bidi="zh-CN"/>
                    </w:rPr>
                    <w:t>t/a</w:t>
                  </w:r>
                </w:p>
              </w:tc>
              <w:tc>
                <w:tcPr>
                  <w:tcW w:w="639" w:type="pct"/>
                  <w:vAlign w:val="center"/>
                </w:tcPr>
                <w:p w14:paraId="716C8D7F">
                  <w:pPr>
                    <w:pStyle w:val="32"/>
                    <w:kinsoku w:val="0"/>
                    <w:overflowPunct w:val="0"/>
                    <w:spacing w:line="320" w:lineRule="exact"/>
                    <w:jc w:val="center"/>
                    <w:rPr>
                      <w:rFonts w:hint="eastAsia" w:ascii="Times New Roman" w:hAnsi="Times New Roman" w:cs="宋体" w:eastAsiaTheme="minorEastAsia"/>
                      <w:b w:val="0"/>
                      <w:bCs/>
                      <w:color w:val="FF0000"/>
                      <w:kern w:val="2"/>
                      <w:sz w:val="21"/>
                      <w:szCs w:val="21"/>
                      <w:lang w:val="en-US" w:eastAsia="zh-CN" w:bidi="zh-CN"/>
                    </w:rPr>
                  </w:pPr>
                  <w:r>
                    <w:rPr>
                      <w:rFonts w:hint="eastAsia" w:ascii="Times New Roman" w:hAnsi="Times New Roman" w:eastAsiaTheme="minorEastAsia"/>
                      <w:b w:val="0"/>
                      <w:bCs/>
                      <w:color w:val="FF0000"/>
                      <w:szCs w:val="21"/>
                      <w:lang w:val="en-US" w:eastAsia="zh-CN"/>
                    </w:rPr>
                    <w:t>20</w:t>
                  </w:r>
                </w:p>
              </w:tc>
              <w:tc>
                <w:tcPr>
                  <w:tcW w:w="2440" w:type="pct"/>
                  <w:vAlign w:val="center"/>
                </w:tcPr>
                <w:p w14:paraId="4EE7403F">
                  <w:pPr>
                    <w:spacing w:line="320" w:lineRule="exact"/>
                    <w:jc w:val="center"/>
                    <w:rPr>
                      <w:rFonts w:hint="default" w:ascii="Times New Roman" w:hAnsi="Times New Roman" w:eastAsia="宋体"/>
                      <w:color w:val="FF0000"/>
                      <w:lang w:val="en-US" w:eastAsia="zh-CN"/>
                    </w:rPr>
                  </w:pPr>
                  <w:r>
                    <w:rPr>
                      <w:rFonts w:ascii="Times New Roman" w:hAnsi="Times New Roman" w:eastAsia="宋体"/>
                      <w:color w:val="FF0000"/>
                    </w:rPr>
                    <w:t>外购</w:t>
                  </w:r>
                  <w:r>
                    <w:rPr>
                      <w:rFonts w:hint="eastAsia"/>
                      <w:color w:val="FF0000"/>
                      <w:lang w:eastAsia="zh-CN"/>
                    </w:rPr>
                    <w:t>，经汽车</w:t>
                  </w:r>
                  <w:r>
                    <w:rPr>
                      <w:rFonts w:hint="eastAsia" w:ascii="Times New Roman" w:hAnsi="Times New Roman" w:eastAsia="宋体"/>
                      <w:color w:val="FF0000"/>
                    </w:rPr>
                    <w:t>运输</w:t>
                  </w:r>
                  <w:r>
                    <w:rPr>
                      <w:rFonts w:hint="eastAsia"/>
                      <w:color w:val="FF0000"/>
                      <w:lang w:eastAsia="zh-CN"/>
                    </w:rPr>
                    <w:t>至厂区</w:t>
                  </w:r>
                  <w:r>
                    <w:rPr>
                      <w:rFonts w:hint="eastAsia" w:ascii="Times New Roman" w:hAnsi="Times New Roman" w:eastAsia="宋体"/>
                      <w:color w:val="FF0000"/>
                    </w:rPr>
                    <w:t>，存于2#</w:t>
                  </w:r>
                  <w:r>
                    <w:rPr>
                      <w:rFonts w:hint="eastAsia"/>
                      <w:color w:val="FF0000"/>
                      <w:lang w:eastAsia="zh-CN"/>
                    </w:rPr>
                    <w:t>厂房</w:t>
                  </w:r>
                  <w:r>
                    <w:rPr>
                      <w:rFonts w:hint="eastAsia" w:ascii="Times New Roman" w:hAnsi="Times New Roman" w:eastAsia="宋体"/>
                      <w:color w:val="FF0000"/>
                      <w:lang w:eastAsia="zh-CN"/>
                    </w:rPr>
                    <w:t>，含水率</w:t>
                  </w:r>
                  <w:r>
                    <w:rPr>
                      <w:rFonts w:hint="eastAsia" w:ascii="Times New Roman" w:hAnsi="Times New Roman" w:eastAsia="宋体"/>
                      <w:color w:val="FF0000"/>
                      <w:lang w:val="en-US" w:eastAsia="zh-CN"/>
                    </w:rPr>
                    <w:t>10</w:t>
                  </w:r>
                  <w:r>
                    <w:rPr>
                      <w:rFonts w:hint="eastAsia" w:ascii="Times New Roman" w:hAnsi="Times New Roman" w:eastAsia="宋体"/>
                      <w:color w:val="FF0000"/>
                      <w:lang w:eastAsia="zh-CN"/>
                    </w:rPr>
                    <w:t>%左右</w:t>
                  </w:r>
                  <w:r>
                    <w:rPr>
                      <w:rFonts w:hint="eastAsia"/>
                      <w:color w:val="FF0000"/>
                      <w:lang w:eastAsia="zh-CN"/>
                    </w:rPr>
                    <w:t>，粒径约</w:t>
                  </w:r>
                  <w:r>
                    <w:rPr>
                      <w:rFonts w:hint="eastAsia"/>
                      <w:color w:val="FF0000"/>
                      <w:lang w:val="en-US" w:eastAsia="zh-CN"/>
                    </w:rPr>
                    <w:t>10-400mm，其中集装箱运输量占50%，翻斗车运输量占50%</w:t>
                  </w:r>
                </w:p>
              </w:tc>
            </w:tr>
            <w:tr w14:paraId="7684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319FEC1B">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3</w:t>
                  </w:r>
                </w:p>
              </w:tc>
              <w:tc>
                <w:tcPr>
                  <w:tcW w:w="798" w:type="pct"/>
                  <w:vAlign w:val="center"/>
                </w:tcPr>
                <w:p w14:paraId="459149FC">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zh-CN" w:eastAsia="zh-CN" w:bidi="zh-CN"/>
                    </w:rPr>
                  </w:pPr>
                  <w:r>
                    <w:rPr>
                      <w:rFonts w:hint="eastAsia" w:ascii="Times New Roman" w:hAnsi="Times New Roman" w:eastAsiaTheme="minorEastAsia"/>
                      <w:b w:val="0"/>
                      <w:bCs/>
                      <w:color w:val="auto"/>
                      <w:szCs w:val="21"/>
                      <w:lang w:eastAsia="zh-CN"/>
                    </w:rPr>
                    <w:t>废钢</w:t>
                  </w:r>
                </w:p>
              </w:tc>
              <w:tc>
                <w:tcPr>
                  <w:tcW w:w="689" w:type="pct"/>
                  <w:vAlign w:val="center"/>
                </w:tcPr>
                <w:p w14:paraId="7DEF89CF">
                  <w:pPr>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cs="宋体" w:eastAsiaTheme="minorEastAsia"/>
                      <w:b w:val="0"/>
                      <w:bCs/>
                      <w:color w:val="auto"/>
                      <w:kern w:val="2"/>
                      <w:sz w:val="21"/>
                      <w:szCs w:val="21"/>
                      <w:lang w:val="en-US" w:eastAsia="zh-CN" w:bidi="zh-CN"/>
                    </w:rPr>
                    <w:t>万</w:t>
                  </w:r>
                  <w:r>
                    <w:rPr>
                      <w:rFonts w:hint="eastAsia" w:ascii="Times New Roman" w:hAnsi="Times New Roman" w:cs="宋体" w:eastAsiaTheme="minorEastAsia"/>
                      <w:b w:val="0"/>
                      <w:bCs/>
                      <w:color w:val="auto"/>
                      <w:kern w:val="2"/>
                      <w:sz w:val="21"/>
                      <w:szCs w:val="21"/>
                      <w:lang w:val="en-US" w:eastAsia="zh-CN" w:bidi="zh-CN"/>
                    </w:rPr>
                    <w:t>t/a</w:t>
                  </w:r>
                </w:p>
              </w:tc>
              <w:tc>
                <w:tcPr>
                  <w:tcW w:w="639" w:type="pct"/>
                  <w:vAlign w:val="center"/>
                </w:tcPr>
                <w:p w14:paraId="7ACD8877">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ascii="Times New Roman" w:hAnsi="Times New Roman" w:eastAsiaTheme="minorEastAsia"/>
                      <w:b w:val="0"/>
                      <w:bCs/>
                      <w:color w:val="auto"/>
                      <w:szCs w:val="21"/>
                      <w:lang w:val="en-US" w:eastAsia="zh-CN"/>
                    </w:rPr>
                    <w:t>30</w:t>
                  </w:r>
                </w:p>
              </w:tc>
              <w:tc>
                <w:tcPr>
                  <w:tcW w:w="2440" w:type="pct"/>
                  <w:vAlign w:val="center"/>
                </w:tcPr>
                <w:p w14:paraId="7785C3FD">
                  <w:pPr>
                    <w:spacing w:line="320" w:lineRule="exact"/>
                    <w:jc w:val="center"/>
                    <w:rPr>
                      <w:rFonts w:ascii="Times New Roman" w:hAnsi="Times New Roman" w:eastAsia="宋体"/>
                      <w:color w:val="auto"/>
                    </w:rPr>
                  </w:pPr>
                  <w:r>
                    <w:rPr>
                      <w:rFonts w:ascii="Times New Roman" w:hAnsi="Times New Roman" w:eastAsia="宋体"/>
                      <w:color w:val="auto"/>
                    </w:rPr>
                    <w:t>外购</w:t>
                  </w:r>
                  <w:r>
                    <w:rPr>
                      <w:rFonts w:hint="eastAsia" w:ascii="Times New Roman" w:hAnsi="Times New Roman" w:eastAsia="宋体"/>
                      <w:color w:val="auto"/>
                    </w:rPr>
                    <w:t>，汽车运输，存于2#</w:t>
                  </w:r>
                  <w:r>
                    <w:rPr>
                      <w:rFonts w:hint="eastAsia"/>
                      <w:color w:val="auto"/>
                      <w:lang w:eastAsia="zh-CN"/>
                    </w:rPr>
                    <w:t>厂房，</w:t>
                  </w:r>
                  <w:r>
                    <w:rPr>
                      <w:rFonts w:hint="eastAsia"/>
                      <w:color w:val="FF0000"/>
                      <w:lang w:val="en-US" w:eastAsia="zh-CN"/>
                    </w:rPr>
                    <w:t>其中集装箱运输量占80%，翻斗车运输量占20%</w:t>
                  </w:r>
                </w:p>
              </w:tc>
            </w:tr>
            <w:tr w14:paraId="21FCB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052C6945">
                  <w:pPr>
                    <w:spacing w:line="320" w:lineRule="exact"/>
                    <w:jc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rPr>
                    <w:t>4</w:t>
                  </w:r>
                </w:p>
              </w:tc>
              <w:tc>
                <w:tcPr>
                  <w:tcW w:w="798" w:type="pct"/>
                  <w:vAlign w:val="center"/>
                </w:tcPr>
                <w:p w14:paraId="7F9EF1AF">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zh-CN" w:eastAsia="zh-CN" w:bidi="zh-CN"/>
                    </w:rPr>
                  </w:pPr>
                  <w:r>
                    <w:rPr>
                      <w:rFonts w:hint="eastAsia" w:ascii="Times New Roman" w:hAnsi="Times New Roman" w:eastAsiaTheme="minorEastAsia"/>
                      <w:b w:val="0"/>
                      <w:bCs/>
                      <w:color w:val="auto"/>
                      <w:szCs w:val="21"/>
                      <w:lang w:eastAsia="zh-CN"/>
                    </w:rPr>
                    <w:t>钢材</w:t>
                  </w:r>
                </w:p>
              </w:tc>
              <w:tc>
                <w:tcPr>
                  <w:tcW w:w="689" w:type="pct"/>
                  <w:vAlign w:val="center"/>
                </w:tcPr>
                <w:p w14:paraId="189EE786">
                  <w:pPr>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cs="宋体" w:eastAsiaTheme="minorEastAsia"/>
                      <w:b w:val="0"/>
                      <w:bCs/>
                      <w:color w:val="auto"/>
                      <w:kern w:val="2"/>
                      <w:sz w:val="21"/>
                      <w:szCs w:val="21"/>
                      <w:lang w:val="en-US" w:eastAsia="zh-CN" w:bidi="zh-CN"/>
                    </w:rPr>
                    <w:t>万</w:t>
                  </w:r>
                  <w:r>
                    <w:rPr>
                      <w:rFonts w:hint="eastAsia" w:ascii="Times New Roman" w:hAnsi="Times New Roman" w:cs="宋体" w:eastAsiaTheme="minorEastAsia"/>
                      <w:b w:val="0"/>
                      <w:bCs/>
                      <w:color w:val="auto"/>
                      <w:kern w:val="2"/>
                      <w:sz w:val="21"/>
                      <w:szCs w:val="21"/>
                      <w:lang w:val="en-US" w:eastAsia="zh-CN" w:bidi="zh-CN"/>
                    </w:rPr>
                    <w:t>t/a</w:t>
                  </w:r>
                </w:p>
              </w:tc>
              <w:tc>
                <w:tcPr>
                  <w:tcW w:w="639" w:type="pct"/>
                  <w:vAlign w:val="center"/>
                </w:tcPr>
                <w:p w14:paraId="2FBDBAFD">
                  <w:pPr>
                    <w:pStyle w:val="32"/>
                    <w:kinsoku w:val="0"/>
                    <w:overflowPunct w:val="0"/>
                    <w:spacing w:line="320" w:lineRule="exact"/>
                    <w:jc w:val="center"/>
                    <w:rPr>
                      <w:rFonts w:hint="eastAsia" w:ascii="Times New Roman" w:hAnsi="Times New Roman" w:cs="宋体" w:eastAsiaTheme="minorEastAsia"/>
                      <w:b w:val="0"/>
                      <w:bCs/>
                      <w:color w:val="auto"/>
                      <w:kern w:val="2"/>
                      <w:sz w:val="21"/>
                      <w:szCs w:val="21"/>
                      <w:lang w:val="en-US" w:eastAsia="zh-CN" w:bidi="zh-CN"/>
                    </w:rPr>
                  </w:pPr>
                  <w:r>
                    <w:rPr>
                      <w:rFonts w:hint="eastAsia" w:ascii="Times New Roman" w:hAnsi="Times New Roman" w:eastAsiaTheme="minorEastAsia"/>
                      <w:b w:val="0"/>
                      <w:bCs/>
                      <w:color w:val="auto"/>
                      <w:szCs w:val="21"/>
                      <w:lang w:val="en-US" w:eastAsia="zh-CN"/>
                    </w:rPr>
                    <w:t>50</w:t>
                  </w:r>
                </w:p>
              </w:tc>
              <w:tc>
                <w:tcPr>
                  <w:tcW w:w="2440" w:type="pct"/>
                  <w:vAlign w:val="center"/>
                </w:tcPr>
                <w:p w14:paraId="55DAE2CB">
                  <w:pPr>
                    <w:spacing w:line="320" w:lineRule="exact"/>
                    <w:jc w:val="center"/>
                    <w:rPr>
                      <w:rFonts w:hint="eastAsia" w:ascii="Times New Roman" w:hAnsi="Times New Roman" w:eastAsia="宋体"/>
                      <w:color w:val="auto"/>
                      <w:lang w:eastAsia="zh-CN"/>
                    </w:rPr>
                  </w:pPr>
                  <w:r>
                    <w:rPr>
                      <w:rFonts w:hint="eastAsia"/>
                      <w:color w:val="auto"/>
                      <w:lang w:eastAsia="zh-CN"/>
                    </w:rPr>
                    <w:t>外购，汽车运输，存于露天堆场，全部为集装箱运输</w:t>
                  </w:r>
                </w:p>
              </w:tc>
            </w:tr>
            <w:tr w14:paraId="539C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2" w:type="pct"/>
                  <w:vAlign w:val="center"/>
                </w:tcPr>
                <w:p w14:paraId="310FFF29">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lang w:val="en-US" w:eastAsia="zh-CN"/>
                    </w:rPr>
                    <w:t>5</w:t>
                  </w:r>
                </w:p>
              </w:tc>
              <w:tc>
                <w:tcPr>
                  <w:tcW w:w="798" w:type="pct"/>
                  <w:vAlign w:val="center"/>
                </w:tcPr>
                <w:p w14:paraId="2146E3E4">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润滑油</w:t>
                  </w:r>
                </w:p>
              </w:tc>
              <w:tc>
                <w:tcPr>
                  <w:tcW w:w="689" w:type="pct"/>
                  <w:vAlign w:val="center"/>
                </w:tcPr>
                <w:p w14:paraId="00C43D4D">
                  <w:pPr>
                    <w:spacing w:line="320" w:lineRule="exact"/>
                    <w:jc w:val="center"/>
                    <w:rPr>
                      <w:rFonts w:ascii="Times New Roman" w:hAnsi="Times New Roman" w:eastAsia="宋体" w:cs="Times New Roman"/>
                      <w:color w:val="auto"/>
                      <w:kern w:val="2"/>
                      <w:sz w:val="21"/>
                      <w:szCs w:val="24"/>
                      <w:lang w:val="en-US" w:eastAsia="zh-CN" w:bidi="ar-SA"/>
                    </w:rPr>
                  </w:pPr>
                  <w:r>
                    <w:rPr>
                      <w:rFonts w:hint="eastAsia"/>
                      <w:color w:val="auto"/>
                      <w:lang w:val="en-US" w:eastAsia="zh-CN"/>
                    </w:rPr>
                    <w:t>t</w:t>
                  </w:r>
                  <w:r>
                    <w:rPr>
                      <w:rFonts w:ascii="Times New Roman" w:hAnsi="Times New Roman" w:eastAsia="宋体"/>
                      <w:color w:val="auto"/>
                    </w:rPr>
                    <w:t>/a</w:t>
                  </w:r>
                </w:p>
              </w:tc>
              <w:tc>
                <w:tcPr>
                  <w:tcW w:w="639" w:type="pct"/>
                  <w:vAlign w:val="center"/>
                </w:tcPr>
                <w:p w14:paraId="6D43E6E4">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0.1</w:t>
                  </w:r>
                </w:p>
              </w:tc>
              <w:tc>
                <w:tcPr>
                  <w:tcW w:w="2440" w:type="pct"/>
                  <w:vAlign w:val="center"/>
                </w:tcPr>
                <w:p w14:paraId="2FF5336A">
                  <w:pPr>
                    <w:spacing w:line="320" w:lineRule="exact"/>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olor w:val="auto"/>
                    </w:rPr>
                    <w:t>外购，桶装，设备保养润滑使用</w:t>
                  </w:r>
                </w:p>
              </w:tc>
            </w:tr>
            <w:tr w14:paraId="2D68D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2" w:type="pct"/>
                  <w:vAlign w:val="center"/>
                </w:tcPr>
                <w:p w14:paraId="08AE01B8">
                  <w:pPr>
                    <w:spacing w:line="320" w:lineRule="exact"/>
                    <w:jc w:val="center"/>
                    <w:rPr>
                      <w:rFonts w:hint="eastAsia" w:ascii="Times New Roman" w:hAnsi="Times New Roman" w:eastAsia="宋体"/>
                      <w:color w:val="auto"/>
                      <w:lang w:val="en-US" w:eastAsia="zh-CN"/>
                    </w:rPr>
                  </w:pPr>
                  <w:r>
                    <w:rPr>
                      <w:rFonts w:hint="eastAsia"/>
                      <w:color w:val="auto"/>
                      <w:lang w:val="en-US" w:eastAsia="zh-CN"/>
                    </w:rPr>
                    <w:t>6</w:t>
                  </w:r>
                </w:p>
              </w:tc>
              <w:tc>
                <w:tcPr>
                  <w:tcW w:w="798" w:type="pct"/>
                  <w:vAlign w:val="center"/>
                </w:tcPr>
                <w:p w14:paraId="1AC37219">
                  <w:pPr>
                    <w:spacing w:line="320" w:lineRule="exac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水</w:t>
                  </w:r>
                </w:p>
              </w:tc>
              <w:tc>
                <w:tcPr>
                  <w:tcW w:w="689" w:type="pct"/>
                  <w:vAlign w:val="center"/>
                </w:tcPr>
                <w:p w14:paraId="6C281927">
                  <w:pPr>
                    <w:snapToGrid w:val="0"/>
                    <w:spacing w:line="320" w:lineRule="exact"/>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olor w:val="auto"/>
                      <w:szCs w:val="21"/>
                      <w:highlight w:val="none"/>
                    </w:rPr>
                    <w:t>m</w:t>
                  </w:r>
                  <w:r>
                    <w:rPr>
                      <w:rFonts w:ascii="Times New Roman" w:hAnsi="Times New Roman" w:eastAsia="宋体"/>
                      <w:color w:val="auto"/>
                      <w:szCs w:val="21"/>
                      <w:highlight w:val="none"/>
                      <w:vertAlign w:val="superscript"/>
                    </w:rPr>
                    <w:t>3</w:t>
                  </w:r>
                  <w:r>
                    <w:rPr>
                      <w:rFonts w:ascii="Times New Roman" w:hAnsi="Times New Roman" w:eastAsia="宋体"/>
                      <w:color w:val="auto"/>
                      <w:szCs w:val="21"/>
                      <w:highlight w:val="none"/>
                    </w:rPr>
                    <w:t>/a</w:t>
                  </w:r>
                </w:p>
              </w:tc>
              <w:tc>
                <w:tcPr>
                  <w:tcW w:w="639" w:type="pct"/>
                  <w:vAlign w:val="center"/>
                </w:tcPr>
                <w:p w14:paraId="22FBF8D4">
                  <w:pPr>
                    <w:spacing w:line="32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olor w:val="auto"/>
                      <w:highlight w:val="none"/>
                    </w:rPr>
                    <w:t>2744.8</w:t>
                  </w:r>
                </w:p>
              </w:tc>
              <w:tc>
                <w:tcPr>
                  <w:tcW w:w="2440" w:type="pct"/>
                  <w:vAlign w:val="center"/>
                </w:tcPr>
                <w:p w14:paraId="2879B431">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园区管网供水</w:t>
                  </w:r>
                </w:p>
              </w:tc>
            </w:tr>
            <w:tr w14:paraId="05D41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32" w:type="pct"/>
                  <w:vAlign w:val="center"/>
                </w:tcPr>
                <w:p w14:paraId="44F0CED3">
                  <w:pPr>
                    <w:spacing w:line="320" w:lineRule="exact"/>
                    <w:jc w:val="center"/>
                    <w:rPr>
                      <w:rFonts w:hint="default" w:ascii="Times New Roman" w:hAnsi="Times New Roman" w:eastAsia="宋体"/>
                      <w:color w:val="auto"/>
                      <w:lang w:val="en-US" w:eastAsia="zh-CN"/>
                    </w:rPr>
                  </w:pPr>
                  <w:r>
                    <w:rPr>
                      <w:rFonts w:hint="eastAsia"/>
                      <w:color w:val="auto"/>
                      <w:lang w:val="en-US" w:eastAsia="zh-CN"/>
                    </w:rPr>
                    <w:t>7</w:t>
                  </w:r>
                </w:p>
              </w:tc>
              <w:tc>
                <w:tcPr>
                  <w:tcW w:w="798" w:type="pct"/>
                  <w:vAlign w:val="center"/>
                </w:tcPr>
                <w:p w14:paraId="37375F2F">
                  <w:pPr>
                    <w:snapToGrid w:val="0"/>
                    <w:spacing w:line="320" w:lineRule="exact"/>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电</w:t>
                  </w:r>
                </w:p>
              </w:tc>
              <w:tc>
                <w:tcPr>
                  <w:tcW w:w="689" w:type="pct"/>
                  <w:vAlign w:val="center"/>
                </w:tcPr>
                <w:p w14:paraId="63D6C84D">
                  <w:pPr>
                    <w:snapToGrid w:val="0"/>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szCs w:val="21"/>
                    </w:rPr>
                    <w:t>万kWh/a</w:t>
                  </w:r>
                </w:p>
              </w:tc>
              <w:tc>
                <w:tcPr>
                  <w:tcW w:w="639" w:type="pct"/>
                  <w:vAlign w:val="center"/>
                </w:tcPr>
                <w:p w14:paraId="5A541CE6">
                  <w:pPr>
                    <w:spacing w:line="320" w:lineRule="exact"/>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olor w:val="auto"/>
                      <w:lang w:val="en-US" w:eastAsia="zh-CN"/>
                    </w:rPr>
                    <w:t>5</w:t>
                  </w:r>
                </w:p>
              </w:tc>
              <w:tc>
                <w:tcPr>
                  <w:tcW w:w="2440" w:type="pct"/>
                  <w:vAlign w:val="center"/>
                </w:tcPr>
                <w:p w14:paraId="03CA201C">
                  <w:pPr>
                    <w:spacing w:line="320" w:lineRule="exact"/>
                    <w:jc w:val="center"/>
                    <w:rPr>
                      <w:rFonts w:ascii="Times New Roman" w:hAnsi="Times New Roman" w:eastAsia="宋体" w:cs="Times New Roman"/>
                      <w:color w:val="auto"/>
                      <w:kern w:val="2"/>
                      <w:sz w:val="21"/>
                      <w:szCs w:val="24"/>
                      <w:lang w:val="en-US" w:eastAsia="zh-CN" w:bidi="ar-SA"/>
                    </w:rPr>
                  </w:pPr>
                  <w:r>
                    <w:rPr>
                      <w:rFonts w:ascii="Times New Roman" w:hAnsi="Times New Roman" w:eastAsia="宋体"/>
                      <w:color w:val="auto"/>
                    </w:rPr>
                    <w:t>当地电网</w:t>
                  </w:r>
                  <w:r>
                    <w:rPr>
                      <w:rFonts w:hint="eastAsia" w:ascii="Times New Roman" w:hAnsi="Times New Roman" w:eastAsia="宋体"/>
                      <w:color w:val="auto"/>
                    </w:rPr>
                    <w:t>提供</w:t>
                  </w:r>
                </w:p>
              </w:tc>
            </w:tr>
          </w:tbl>
          <w:p w14:paraId="0279A602">
            <w:pPr>
              <w:pStyle w:val="2"/>
              <w:spacing w:line="500" w:lineRule="exact"/>
              <w:ind w:firstLine="482" w:firstLineChars="200"/>
              <w:rPr>
                <w:b/>
                <w:bCs/>
                <w:color w:val="auto"/>
              </w:rPr>
            </w:pPr>
            <w:r>
              <w:rPr>
                <w:rFonts w:hint="eastAsia" w:ascii="Times New Roman"/>
                <w:b/>
                <w:bCs/>
                <w:color w:val="auto"/>
              </w:rPr>
              <w:t>5.库容计算</w:t>
            </w:r>
          </w:p>
          <w:p w14:paraId="14CAC93C">
            <w:pPr>
              <w:spacing w:line="500" w:lineRule="exact"/>
              <w:ind w:firstLine="480" w:firstLineChars="200"/>
              <w:rPr>
                <w:color w:val="auto"/>
                <w:sz w:val="24"/>
              </w:rPr>
            </w:pPr>
            <w:r>
              <w:rPr>
                <w:rFonts w:hint="eastAsia"/>
                <w:color w:val="auto"/>
                <w:sz w:val="24"/>
                <w:lang w:eastAsia="zh-CN"/>
              </w:rPr>
              <w:t>煤炭</w:t>
            </w:r>
            <w:r>
              <w:rPr>
                <w:rFonts w:hint="eastAsia"/>
                <w:color w:val="auto"/>
                <w:sz w:val="24"/>
              </w:rPr>
              <w:t>储运量为</w:t>
            </w:r>
            <w:r>
              <w:rPr>
                <w:rFonts w:hint="eastAsia"/>
                <w:color w:val="auto"/>
                <w:sz w:val="24"/>
                <w:lang w:val="en-US" w:eastAsia="zh-CN"/>
              </w:rPr>
              <w:t>200</w:t>
            </w:r>
            <w:r>
              <w:rPr>
                <w:rFonts w:hint="eastAsia"/>
                <w:color w:val="auto"/>
                <w:sz w:val="24"/>
              </w:rPr>
              <w:t>万t/a，储存在1#</w:t>
            </w:r>
            <w:r>
              <w:rPr>
                <w:rFonts w:hint="eastAsia"/>
                <w:color w:val="auto"/>
                <w:sz w:val="24"/>
                <w:lang w:eastAsia="zh-CN"/>
              </w:rPr>
              <w:t>厂房、</w:t>
            </w:r>
            <w:r>
              <w:rPr>
                <w:rFonts w:hint="eastAsia"/>
                <w:color w:val="auto"/>
                <w:sz w:val="24"/>
                <w:lang w:val="en-US" w:eastAsia="zh-CN"/>
              </w:rPr>
              <w:t>3#厂房</w:t>
            </w:r>
            <w:r>
              <w:rPr>
                <w:rFonts w:hint="eastAsia"/>
                <w:color w:val="auto"/>
                <w:sz w:val="24"/>
              </w:rPr>
              <w:t>内，</w:t>
            </w:r>
            <w:r>
              <w:rPr>
                <w:rFonts w:hint="eastAsia"/>
                <w:color w:val="auto"/>
                <w:sz w:val="24"/>
                <w:lang w:val="en-US" w:eastAsia="zh-CN"/>
              </w:rPr>
              <w:t>1#厂房</w:t>
            </w:r>
            <w:r>
              <w:rPr>
                <w:rFonts w:hint="eastAsia"/>
                <w:color w:val="auto"/>
                <w:sz w:val="24"/>
              </w:rPr>
              <w:t>堆存区域1</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lang w:val="en-US" w:eastAsia="zh-CN"/>
              </w:rPr>
              <w:t>40</w:t>
            </w:r>
            <w:r>
              <w:rPr>
                <w:rFonts w:hint="eastAsia"/>
                <w:color w:val="auto"/>
                <w:sz w:val="24"/>
              </w:rPr>
              <w:t>m，</w:t>
            </w:r>
            <w:r>
              <w:rPr>
                <w:rFonts w:hint="eastAsia"/>
                <w:color w:val="auto"/>
                <w:sz w:val="24"/>
                <w:lang w:val="en-US" w:eastAsia="zh-CN"/>
              </w:rPr>
              <w:t>3#厂房</w:t>
            </w:r>
            <w:r>
              <w:rPr>
                <w:rFonts w:hint="eastAsia"/>
                <w:color w:val="auto"/>
                <w:sz w:val="24"/>
              </w:rPr>
              <w:t>堆存区域1</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lang w:val="en-US" w:eastAsia="zh-CN"/>
              </w:rPr>
              <w:t>90</w:t>
            </w:r>
            <w:r>
              <w:rPr>
                <w:rFonts w:hint="eastAsia"/>
                <w:color w:val="auto"/>
                <w:sz w:val="24"/>
              </w:rPr>
              <w:t>m</w:t>
            </w:r>
            <w:r>
              <w:rPr>
                <w:rFonts w:hint="eastAsia"/>
                <w:color w:val="auto"/>
                <w:sz w:val="24"/>
                <w:lang w:eastAsia="zh-CN"/>
              </w:rPr>
              <w:t>，</w:t>
            </w:r>
            <w:r>
              <w:rPr>
                <w:rFonts w:hint="eastAsia"/>
                <w:color w:val="auto"/>
                <w:sz w:val="24"/>
              </w:rPr>
              <w:t>堆存基础高为2.5米，总堆存高度为3.5米，</w:t>
            </w:r>
            <w:r>
              <w:rPr>
                <w:rFonts w:hint="eastAsia"/>
                <w:color w:val="auto"/>
                <w:sz w:val="24"/>
                <w:lang w:val="en-US" w:eastAsia="zh-CN"/>
              </w:rPr>
              <w:t>1#厂房</w:t>
            </w:r>
            <w:r>
              <w:rPr>
                <w:rFonts w:hint="eastAsia"/>
                <w:color w:val="auto"/>
                <w:sz w:val="24"/>
                <w:lang w:eastAsia="zh-CN"/>
              </w:rPr>
              <w:t>煤炭</w:t>
            </w:r>
            <w:r>
              <w:rPr>
                <w:rFonts w:hint="eastAsia"/>
                <w:color w:val="auto"/>
                <w:sz w:val="24"/>
              </w:rPr>
              <w:t>堆存容积为1</w:t>
            </w:r>
            <w:r>
              <w:rPr>
                <w:rFonts w:hint="eastAsia"/>
                <w:color w:val="auto"/>
                <w:sz w:val="24"/>
                <w:lang w:val="en-US" w:eastAsia="zh-CN"/>
              </w:rPr>
              <w:t>1200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val="en-US" w:eastAsia="zh-CN"/>
              </w:rPr>
              <w:t>3#厂房</w:t>
            </w:r>
            <w:r>
              <w:rPr>
                <w:rFonts w:hint="eastAsia"/>
                <w:color w:val="auto"/>
                <w:sz w:val="24"/>
                <w:lang w:eastAsia="zh-CN"/>
              </w:rPr>
              <w:t>煤炭</w:t>
            </w:r>
            <w:r>
              <w:rPr>
                <w:rFonts w:hint="eastAsia"/>
                <w:color w:val="auto"/>
                <w:sz w:val="24"/>
              </w:rPr>
              <w:t>堆存容积为</w:t>
            </w:r>
            <w:r>
              <w:rPr>
                <w:rFonts w:hint="eastAsia"/>
                <w:color w:val="auto"/>
                <w:sz w:val="24"/>
                <w:lang w:val="en-US" w:eastAsia="zh-CN"/>
              </w:rPr>
              <w:t>25200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煤炭</w:t>
            </w:r>
            <w:r>
              <w:rPr>
                <w:rFonts w:hint="eastAsia"/>
                <w:color w:val="auto"/>
                <w:sz w:val="24"/>
              </w:rPr>
              <w:t>堆积密度按1.3</w:t>
            </w:r>
            <w:r>
              <w:rPr>
                <w:rFonts w:hint="eastAsia"/>
                <w:color w:val="auto"/>
                <w:sz w:val="24"/>
                <w:lang w:val="en-US" w:eastAsia="zh-CN"/>
              </w:rPr>
              <w:t>6</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49504</w:t>
            </w:r>
            <w:r>
              <w:rPr>
                <w:rFonts w:hint="eastAsia"/>
                <w:color w:val="auto"/>
                <w:sz w:val="24"/>
              </w:rPr>
              <w:t>t</w:t>
            </w:r>
            <w:r>
              <w:rPr>
                <w:rFonts w:hint="eastAsia"/>
                <w:color w:val="auto"/>
                <w:sz w:val="24"/>
                <w:lang w:eastAsia="zh-CN"/>
              </w:rPr>
              <w:t>煤炭</w:t>
            </w:r>
            <w:r>
              <w:rPr>
                <w:rFonts w:hint="eastAsia"/>
                <w:color w:val="auto"/>
                <w:sz w:val="24"/>
              </w:rPr>
              <w:t>，储存周期为</w:t>
            </w:r>
            <w:r>
              <w:rPr>
                <w:rFonts w:hint="eastAsia"/>
                <w:color w:val="auto"/>
                <w:sz w:val="24"/>
                <w:lang w:val="en-US" w:eastAsia="zh-CN"/>
              </w:rPr>
              <w:t>9</w:t>
            </w:r>
            <w:r>
              <w:rPr>
                <w:rFonts w:hint="eastAsia"/>
                <w:color w:val="auto"/>
                <w:sz w:val="24"/>
              </w:rPr>
              <w:t>d，可满足项目</w:t>
            </w:r>
            <w:r>
              <w:rPr>
                <w:rFonts w:hint="eastAsia"/>
                <w:color w:val="auto"/>
                <w:sz w:val="24"/>
                <w:lang w:eastAsia="zh-CN"/>
              </w:rPr>
              <w:t>需求</w:t>
            </w:r>
            <w:r>
              <w:rPr>
                <w:rFonts w:hint="eastAsia"/>
                <w:color w:val="auto"/>
                <w:sz w:val="24"/>
              </w:rPr>
              <w:t>。</w:t>
            </w:r>
          </w:p>
          <w:p w14:paraId="14BDABA7">
            <w:pPr>
              <w:spacing w:line="500" w:lineRule="exact"/>
              <w:ind w:firstLine="480" w:firstLineChars="200"/>
              <w:rPr>
                <w:rFonts w:hint="eastAsia"/>
                <w:color w:val="auto"/>
                <w:sz w:val="24"/>
              </w:rPr>
            </w:pPr>
            <w:r>
              <w:rPr>
                <w:rFonts w:hint="eastAsia"/>
                <w:color w:val="auto"/>
                <w:sz w:val="24"/>
                <w:lang w:eastAsia="zh-CN"/>
              </w:rPr>
              <w:t>矿石、废钢</w:t>
            </w:r>
            <w:r>
              <w:rPr>
                <w:rFonts w:hint="eastAsia"/>
                <w:color w:val="auto"/>
                <w:sz w:val="24"/>
              </w:rPr>
              <w:t>储运量</w:t>
            </w:r>
            <w:r>
              <w:rPr>
                <w:rFonts w:hint="eastAsia"/>
                <w:color w:val="auto"/>
                <w:sz w:val="24"/>
                <w:lang w:eastAsia="zh-CN"/>
              </w:rPr>
              <w:t>共</w:t>
            </w:r>
            <w:r>
              <w:rPr>
                <w:rFonts w:hint="eastAsia"/>
                <w:color w:val="auto"/>
                <w:sz w:val="24"/>
                <w:lang w:val="en-US" w:eastAsia="zh-CN"/>
              </w:rPr>
              <w:t>50</w:t>
            </w:r>
            <w:r>
              <w:rPr>
                <w:rFonts w:hint="eastAsia"/>
                <w:color w:val="auto"/>
                <w:sz w:val="24"/>
              </w:rPr>
              <w:t>万t/a，储存在2#</w:t>
            </w:r>
            <w:r>
              <w:rPr>
                <w:rFonts w:hint="eastAsia"/>
                <w:color w:val="auto"/>
                <w:sz w:val="24"/>
                <w:lang w:eastAsia="zh-CN"/>
              </w:rPr>
              <w:t>厂房</w:t>
            </w:r>
            <w:r>
              <w:rPr>
                <w:rFonts w:hint="eastAsia"/>
                <w:color w:val="auto"/>
                <w:sz w:val="24"/>
              </w:rPr>
              <w:t>内，</w:t>
            </w:r>
            <w:r>
              <w:rPr>
                <w:rFonts w:hint="eastAsia"/>
                <w:color w:val="auto"/>
                <w:sz w:val="24"/>
                <w:lang w:eastAsia="zh-CN"/>
              </w:rPr>
              <w:t>矿石</w:t>
            </w:r>
            <w:r>
              <w:rPr>
                <w:rFonts w:hint="eastAsia"/>
                <w:color w:val="auto"/>
                <w:sz w:val="24"/>
              </w:rPr>
              <w:t>堆存区域</w:t>
            </w:r>
            <w:r>
              <w:rPr>
                <w:rFonts w:hint="eastAsia"/>
                <w:color w:val="auto"/>
                <w:sz w:val="24"/>
                <w:lang w:val="en-US" w:eastAsia="zh-CN"/>
              </w:rPr>
              <w:t>40</w:t>
            </w:r>
            <w:r>
              <w:rPr>
                <w:rFonts w:hint="eastAsia"/>
                <w:color w:val="auto"/>
                <w:sz w:val="24"/>
              </w:rPr>
              <w:t>m</w:t>
            </w:r>
            <w:r>
              <w:rPr>
                <w:color w:val="auto"/>
                <w:sz w:val="24"/>
              </w:rPr>
              <w:t>×</w:t>
            </w:r>
            <w:r>
              <w:rPr>
                <w:rFonts w:hint="eastAsia"/>
                <w:color w:val="auto"/>
                <w:sz w:val="24"/>
              </w:rPr>
              <w:t>5</w:t>
            </w:r>
            <w:r>
              <w:rPr>
                <w:rFonts w:hint="eastAsia"/>
                <w:color w:val="auto"/>
                <w:sz w:val="24"/>
                <w:lang w:val="en-US" w:eastAsia="zh-CN"/>
              </w:rPr>
              <w:t>0</w:t>
            </w:r>
            <w:r>
              <w:rPr>
                <w:rFonts w:hint="eastAsia"/>
                <w:color w:val="auto"/>
                <w:sz w:val="24"/>
              </w:rPr>
              <w:t>m，</w:t>
            </w:r>
            <w:r>
              <w:rPr>
                <w:rFonts w:hint="eastAsia"/>
                <w:color w:val="auto"/>
                <w:sz w:val="24"/>
                <w:lang w:eastAsia="zh-CN"/>
              </w:rPr>
              <w:t>钢材</w:t>
            </w:r>
            <w:r>
              <w:rPr>
                <w:rFonts w:hint="eastAsia"/>
                <w:color w:val="auto"/>
                <w:sz w:val="24"/>
              </w:rPr>
              <w:t>堆存区域</w:t>
            </w:r>
            <w:r>
              <w:rPr>
                <w:rFonts w:hint="eastAsia"/>
                <w:color w:val="auto"/>
                <w:sz w:val="24"/>
                <w:lang w:val="en-US" w:eastAsia="zh-CN"/>
              </w:rPr>
              <w:t>4</w:t>
            </w:r>
            <w:r>
              <w:rPr>
                <w:rFonts w:hint="eastAsia"/>
                <w:color w:val="auto"/>
                <w:sz w:val="24"/>
              </w:rPr>
              <w:t>0m</w:t>
            </w:r>
            <w:r>
              <w:rPr>
                <w:color w:val="auto"/>
                <w:sz w:val="24"/>
              </w:rPr>
              <w:t>×</w:t>
            </w:r>
            <w:r>
              <w:rPr>
                <w:rFonts w:hint="eastAsia"/>
                <w:color w:val="auto"/>
                <w:sz w:val="24"/>
              </w:rPr>
              <w:t>5</w:t>
            </w:r>
            <w:r>
              <w:rPr>
                <w:rFonts w:hint="eastAsia"/>
                <w:color w:val="auto"/>
                <w:sz w:val="24"/>
                <w:lang w:val="en-US" w:eastAsia="zh-CN"/>
              </w:rPr>
              <w:t>0</w:t>
            </w:r>
            <w:r>
              <w:rPr>
                <w:rFonts w:hint="eastAsia"/>
                <w:color w:val="auto"/>
                <w:sz w:val="24"/>
              </w:rPr>
              <w:t>m，堆存基础高均为2.5米，总堆存高度为</w:t>
            </w:r>
            <w:r>
              <w:rPr>
                <w:rFonts w:hint="eastAsia"/>
                <w:color w:val="auto"/>
                <w:sz w:val="24"/>
                <w:lang w:val="en-US" w:eastAsia="zh-CN"/>
              </w:rPr>
              <w:t>5</w:t>
            </w:r>
            <w:r>
              <w:rPr>
                <w:rFonts w:hint="eastAsia"/>
                <w:color w:val="auto"/>
                <w:sz w:val="24"/>
              </w:rPr>
              <w:t>米，</w:t>
            </w:r>
            <w:r>
              <w:rPr>
                <w:rFonts w:hint="eastAsia"/>
                <w:color w:val="auto"/>
                <w:sz w:val="24"/>
                <w:lang w:eastAsia="zh-CN"/>
              </w:rPr>
              <w:t>矿石</w:t>
            </w:r>
            <w:r>
              <w:rPr>
                <w:rFonts w:hint="eastAsia"/>
                <w:color w:val="auto"/>
                <w:sz w:val="24"/>
              </w:rPr>
              <w:t>堆存容积为</w:t>
            </w:r>
            <w:r>
              <w:rPr>
                <w:rFonts w:hint="eastAsia"/>
                <w:color w:val="auto"/>
                <w:sz w:val="24"/>
                <w:lang w:val="en-US" w:eastAsia="zh-CN"/>
              </w:rPr>
              <w:t>5000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矿石</w:t>
            </w:r>
            <w:r>
              <w:rPr>
                <w:rFonts w:hint="eastAsia"/>
                <w:color w:val="auto"/>
                <w:sz w:val="24"/>
              </w:rPr>
              <w:t>堆积密度按1.6t/m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8000</w:t>
            </w:r>
            <w:r>
              <w:rPr>
                <w:rFonts w:hint="eastAsia"/>
                <w:color w:val="auto"/>
                <w:sz w:val="24"/>
              </w:rPr>
              <w:t>t</w:t>
            </w:r>
            <w:r>
              <w:rPr>
                <w:rFonts w:hint="eastAsia"/>
                <w:color w:val="auto"/>
                <w:sz w:val="24"/>
                <w:lang w:eastAsia="zh-CN"/>
              </w:rPr>
              <w:t>矿石</w:t>
            </w:r>
            <w:r>
              <w:rPr>
                <w:rFonts w:hint="eastAsia"/>
                <w:color w:val="auto"/>
                <w:sz w:val="24"/>
              </w:rPr>
              <w:t>，储存周期为</w:t>
            </w:r>
            <w:r>
              <w:rPr>
                <w:rFonts w:hint="eastAsia"/>
                <w:color w:val="auto"/>
                <w:sz w:val="24"/>
                <w:lang w:val="en-US" w:eastAsia="zh-CN"/>
              </w:rPr>
              <w:t>14.6</w:t>
            </w:r>
            <w:r>
              <w:rPr>
                <w:rFonts w:hint="eastAsia"/>
                <w:color w:val="auto"/>
                <w:sz w:val="24"/>
              </w:rPr>
              <w:t>d，</w:t>
            </w:r>
            <w:r>
              <w:rPr>
                <w:rFonts w:hint="eastAsia"/>
                <w:color w:val="auto"/>
                <w:sz w:val="24"/>
                <w:lang w:eastAsia="zh-CN"/>
              </w:rPr>
              <w:t>废钢</w:t>
            </w:r>
            <w:r>
              <w:rPr>
                <w:rFonts w:hint="eastAsia"/>
                <w:color w:val="auto"/>
                <w:sz w:val="24"/>
              </w:rPr>
              <w:t>堆存容积为</w:t>
            </w:r>
            <w:r>
              <w:rPr>
                <w:rFonts w:hint="eastAsia"/>
                <w:color w:val="auto"/>
                <w:sz w:val="24"/>
                <w:lang w:val="en-US" w:eastAsia="zh-CN"/>
              </w:rPr>
              <w:t>5000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废钢</w:t>
            </w:r>
            <w:r>
              <w:rPr>
                <w:rFonts w:hint="eastAsia"/>
                <w:color w:val="auto"/>
                <w:sz w:val="24"/>
              </w:rPr>
              <w:t>堆积密度按</w:t>
            </w:r>
            <w:r>
              <w:rPr>
                <w:rFonts w:hint="eastAsia"/>
                <w:color w:val="auto"/>
                <w:sz w:val="24"/>
                <w:lang w:val="en-US" w:eastAsia="zh-CN"/>
              </w:rPr>
              <w:t>5</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25000</w:t>
            </w:r>
            <w:r>
              <w:rPr>
                <w:rFonts w:hint="eastAsia"/>
                <w:color w:val="auto"/>
                <w:sz w:val="24"/>
              </w:rPr>
              <w:t>t</w:t>
            </w:r>
            <w:r>
              <w:rPr>
                <w:rFonts w:hint="eastAsia"/>
                <w:color w:val="auto"/>
                <w:sz w:val="24"/>
                <w:lang w:eastAsia="zh-CN"/>
              </w:rPr>
              <w:t>废钢</w:t>
            </w:r>
            <w:r>
              <w:rPr>
                <w:rFonts w:hint="eastAsia"/>
                <w:color w:val="auto"/>
                <w:sz w:val="24"/>
              </w:rPr>
              <w:t>，储存周期为</w:t>
            </w:r>
            <w:r>
              <w:rPr>
                <w:rFonts w:hint="eastAsia"/>
                <w:color w:val="auto"/>
                <w:sz w:val="24"/>
                <w:lang w:val="en-US" w:eastAsia="zh-CN"/>
              </w:rPr>
              <w:t>30.4</w:t>
            </w:r>
            <w:r>
              <w:rPr>
                <w:rFonts w:hint="eastAsia"/>
                <w:color w:val="auto"/>
                <w:sz w:val="24"/>
              </w:rPr>
              <w:t>d，可满足项目</w:t>
            </w:r>
            <w:r>
              <w:rPr>
                <w:rFonts w:hint="eastAsia"/>
                <w:color w:val="auto"/>
                <w:sz w:val="24"/>
                <w:lang w:eastAsia="zh-CN"/>
              </w:rPr>
              <w:t>需求</w:t>
            </w:r>
            <w:r>
              <w:rPr>
                <w:rFonts w:hint="eastAsia"/>
                <w:color w:val="auto"/>
                <w:sz w:val="24"/>
              </w:rPr>
              <w:t>。</w:t>
            </w:r>
          </w:p>
          <w:p w14:paraId="1B978F85">
            <w:pPr>
              <w:spacing w:line="500" w:lineRule="exact"/>
              <w:ind w:firstLine="480" w:firstLineChars="200"/>
              <w:rPr>
                <w:rFonts w:hint="eastAsia"/>
                <w:color w:val="auto"/>
                <w:sz w:val="24"/>
              </w:rPr>
            </w:pPr>
            <w:r>
              <w:rPr>
                <w:rFonts w:hint="eastAsia"/>
                <w:color w:val="auto"/>
                <w:sz w:val="24"/>
                <w:lang w:eastAsia="zh-CN"/>
              </w:rPr>
              <w:t>钢材</w:t>
            </w:r>
            <w:r>
              <w:rPr>
                <w:rFonts w:hint="eastAsia"/>
                <w:color w:val="auto"/>
                <w:sz w:val="24"/>
              </w:rPr>
              <w:t>储运量为</w:t>
            </w:r>
            <w:r>
              <w:rPr>
                <w:rFonts w:hint="eastAsia"/>
                <w:color w:val="auto"/>
                <w:sz w:val="24"/>
                <w:lang w:val="en-US" w:eastAsia="zh-CN"/>
              </w:rPr>
              <w:t>50</w:t>
            </w:r>
            <w:r>
              <w:rPr>
                <w:rFonts w:hint="eastAsia"/>
                <w:color w:val="auto"/>
                <w:sz w:val="24"/>
              </w:rPr>
              <w:t>万t/a，储存在</w:t>
            </w:r>
            <w:r>
              <w:rPr>
                <w:rFonts w:hint="eastAsia"/>
                <w:color w:val="auto"/>
                <w:sz w:val="24"/>
                <w:lang w:eastAsia="zh-CN"/>
              </w:rPr>
              <w:t>露天堆场</w:t>
            </w:r>
            <w:r>
              <w:rPr>
                <w:rFonts w:hint="eastAsia"/>
                <w:color w:val="auto"/>
                <w:sz w:val="24"/>
              </w:rPr>
              <w:t>内，堆存区域1</w:t>
            </w:r>
            <w:r>
              <w:rPr>
                <w:rFonts w:hint="eastAsia"/>
                <w:color w:val="auto"/>
                <w:sz w:val="24"/>
                <w:lang w:val="en-US" w:eastAsia="zh-CN"/>
              </w:rPr>
              <w:t>00</w:t>
            </w:r>
            <w:r>
              <w:rPr>
                <w:rFonts w:hint="eastAsia"/>
                <w:color w:val="auto"/>
                <w:sz w:val="24"/>
              </w:rPr>
              <w:t>m</w:t>
            </w:r>
            <w:r>
              <w:rPr>
                <w:color w:val="auto"/>
                <w:sz w:val="24"/>
              </w:rPr>
              <w:t>×</w:t>
            </w:r>
            <w:r>
              <w:rPr>
                <w:rFonts w:hint="eastAsia"/>
                <w:color w:val="auto"/>
                <w:sz w:val="24"/>
                <w:lang w:val="en-US" w:eastAsia="zh-CN"/>
              </w:rPr>
              <w:t>93</w:t>
            </w:r>
            <w:r>
              <w:rPr>
                <w:rFonts w:hint="eastAsia"/>
                <w:color w:val="auto"/>
                <w:sz w:val="24"/>
              </w:rPr>
              <w:t>m，堆存基础高为2.5米，总堆存高度为</w:t>
            </w:r>
            <w:r>
              <w:rPr>
                <w:rFonts w:hint="eastAsia"/>
                <w:color w:val="auto"/>
                <w:sz w:val="24"/>
                <w:lang w:val="en-US" w:eastAsia="zh-CN"/>
              </w:rPr>
              <w:t>5</w:t>
            </w:r>
            <w:r>
              <w:rPr>
                <w:rFonts w:hint="eastAsia"/>
                <w:color w:val="auto"/>
                <w:sz w:val="24"/>
              </w:rPr>
              <w:t>米，</w:t>
            </w:r>
            <w:r>
              <w:rPr>
                <w:rFonts w:hint="eastAsia"/>
                <w:color w:val="auto"/>
                <w:sz w:val="24"/>
                <w:lang w:val="en-US" w:eastAsia="zh-CN"/>
              </w:rPr>
              <w:t>钢材</w:t>
            </w:r>
            <w:r>
              <w:rPr>
                <w:rFonts w:hint="eastAsia"/>
                <w:color w:val="auto"/>
                <w:sz w:val="24"/>
              </w:rPr>
              <w:t>堆存容积为</w:t>
            </w:r>
            <w:r>
              <w:rPr>
                <w:rFonts w:hint="eastAsia"/>
                <w:color w:val="auto"/>
                <w:sz w:val="24"/>
                <w:lang w:val="en-US" w:eastAsia="zh-CN"/>
              </w:rPr>
              <w:t>23250</w:t>
            </w:r>
            <w:r>
              <w:rPr>
                <w:rFonts w:hint="eastAsia"/>
                <w:color w:val="auto"/>
                <w:sz w:val="24"/>
              </w:rPr>
              <w:t>m</w:t>
            </w:r>
            <w:r>
              <w:rPr>
                <w:rFonts w:hint="eastAsia"/>
                <w:color w:val="auto"/>
                <w:sz w:val="24"/>
                <w:vertAlign w:val="superscript"/>
              </w:rPr>
              <w:t>3</w:t>
            </w:r>
            <w:r>
              <w:rPr>
                <w:rFonts w:hint="eastAsia"/>
                <w:color w:val="auto"/>
                <w:sz w:val="24"/>
              </w:rPr>
              <w:t>，</w:t>
            </w:r>
            <w:r>
              <w:rPr>
                <w:rFonts w:hint="eastAsia"/>
                <w:color w:val="auto"/>
                <w:sz w:val="24"/>
                <w:lang w:eastAsia="zh-CN"/>
              </w:rPr>
              <w:t>钢材</w:t>
            </w:r>
            <w:r>
              <w:rPr>
                <w:rFonts w:hint="eastAsia"/>
                <w:color w:val="auto"/>
                <w:sz w:val="24"/>
              </w:rPr>
              <w:t>堆积密度按</w:t>
            </w:r>
            <w:r>
              <w:rPr>
                <w:rFonts w:hint="eastAsia"/>
                <w:color w:val="auto"/>
                <w:sz w:val="24"/>
                <w:lang w:val="en-US" w:eastAsia="zh-CN"/>
              </w:rPr>
              <w:t>7.8</w:t>
            </w:r>
            <w:r>
              <w:rPr>
                <w:rFonts w:hint="eastAsia"/>
                <w:color w:val="auto"/>
                <w:sz w:val="24"/>
              </w:rPr>
              <w:t>t/m</w:t>
            </w:r>
            <w:r>
              <w:rPr>
                <w:rFonts w:hint="eastAsia"/>
                <w:color w:val="auto"/>
                <w:sz w:val="24"/>
                <w:vertAlign w:val="superscript"/>
              </w:rPr>
              <w:t>3</w:t>
            </w:r>
            <w:r>
              <w:rPr>
                <w:rFonts w:hint="eastAsia"/>
                <w:color w:val="auto"/>
                <w:sz w:val="24"/>
              </w:rPr>
              <w:t>计算，则可堆积</w:t>
            </w:r>
            <w:r>
              <w:rPr>
                <w:rFonts w:hint="eastAsia"/>
                <w:color w:val="auto"/>
                <w:sz w:val="24"/>
                <w:lang w:val="en-US" w:eastAsia="zh-CN"/>
              </w:rPr>
              <w:t>181350t</w:t>
            </w:r>
            <w:r>
              <w:rPr>
                <w:rFonts w:hint="eastAsia"/>
                <w:color w:val="auto"/>
                <w:sz w:val="24"/>
                <w:lang w:eastAsia="zh-CN"/>
              </w:rPr>
              <w:t>钢材</w:t>
            </w:r>
            <w:r>
              <w:rPr>
                <w:rFonts w:hint="eastAsia"/>
                <w:color w:val="auto"/>
                <w:sz w:val="24"/>
              </w:rPr>
              <w:t>，储存周期为</w:t>
            </w:r>
            <w:r>
              <w:rPr>
                <w:rFonts w:hint="eastAsia"/>
                <w:color w:val="auto"/>
                <w:sz w:val="24"/>
                <w:lang w:val="en-US" w:eastAsia="zh-CN"/>
              </w:rPr>
              <w:t>132.4</w:t>
            </w:r>
            <w:r>
              <w:rPr>
                <w:rFonts w:hint="eastAsia"/>
                <w:color w:val="auto"/>
                <w:sz w:val="24"/>
              </w:rPr>
              <w:t>d，可满足项目</w:t>
            </w:r>
            <w:r>
              <w:rPr>
                <w:rFonts w:hint="eastAsia"/>
                <w:color w:val="auto"/>
                <w:sz w:val="24"/>
                <w:lang w:eastAsia="zh-CN"/>
              </w:rPr>
              <w:t>需求</w:t>
            </w:r>
            <w:r>
              <w:rPr>
                <w:rFonts w:hint="eastAsia"/>
                <w:color w:val="auto"/>
                <w:sz w:val="24"/>
              </w:rPr>
              <w:t>。</w:t>
            </w:r>
          </w:p>
          <w:p w14:paraId="58C8EE4D">
            <w:pPr>
              <w:pStyle w:val="22"/>
              <w:rPr>
                <w:rFonts w:hint="eastAsia"/>
                <w:color w:val="auto"/>
                <w:sz w:val="24"/>
              </w:rPr>
            </w:pPr>
          </w:p>
          <w:p w14:paraId="3DE18B29">
            <w:pPr>
              <w:rPr>
                <w:rFonts w:hint="eastAsia"/>
                <w:color w:val="auto"/>
                <w:sz w:val="24"/>
              </w:rPr>
            </w:pPr>
          </w:p>
          <w:p w14:paraId="2AB6A330">
            <w:pPr>
              <w:pStyle w:val="22"/>
              <w:rPr>
                <w:rFonts w:hint="eastAsia"/>
                <w:color w:val="auto"/>
                <w:sz w:val="24"/>
              </w:rPr>
            </w:pPr>
          </w:p>
          <w:p w14:paraId="1219E277">
            <w:pPr>
              <w:rPr>
                <w:rFonts w:hint="eastAsia"/>
                <w:color w:val="auto"/>
                <w:sz w:val="24"/>
              </w:rPr>
            </w:pPr>
          </w:p>
          <w:p w14:paraId="3A21EEC8">
            <w:pPr>
              <w:pStyle w:val="22"/>
              <w:rPr>
                <w:rFonts w:hint="eastAsia"/>
                <w:color w:val="auto"/>
                <w:sz w:val="24"/>
              </w:rPr>
            </w:pPr>
          </w:p>
          <w:p w14:paraId="138FC6DD">
            <w:pPr>
              <w:rPr>
                <w:rFonts w:hint="eastAsia"/>
                <w:color w:val="auto"/>
                <w:sz w:val="24"/>
              </w:rPr>
            </w:pPr>
          </w:p>
          <w:p w14:paraId="0A2474B3">
            <w:pPr>
              <w:pStyle w:val="22"/>
              <w:rPr>
                <w:rFonts w:hint="eastAsia"/>
                <w:color w:val="auto"/>
                <w:sz w:val="24"/>
              </w:rPr>
            </w:pPr>
          </w:p>
          <w:p w14:paraId="0AA0CB80"/>
          <w:p w14:paraId="70652AF0">
            <w:pPr>
              <w:spacing w:line="500" w:lineRule="exact"/>
              <w:ind w:firstLine="480" w:firstLineChars="200"/>
              <w:jc w:val="center"/>
              <w:rPr>
                <w:rFonts w:hint="eastAsia"/>
                <w:b/>
                <w:bCs/>
                <w:color w:val="auto"/>
                <w:sz w:val="24"/>
              </w:rPr>
            </w:pPr>
            <w:r>
              <w:rPr>
                <w:color w:val="auto"/>
                <w:sz w:val="24"/>
              </w:rPr>
              <w:pict>
                <v:shape id="_x0000_s2061" o:spid="_x0000_s2061" o:spt="75" type="#_x0000_t75" style="position:absolute;left:0pt;margin-left:-3.75pt;margin-top:16.8pt;height:182.55pt;width:419.8pt;mso-wrap-distance-bottom:0pt;mso-wrap-distance-left:9pt;mso-wrap-distance-right:9pt;mso-wrap-distance-top:0pt;z-index:251660288;mso-width-relative:page;mso-height-relative:page;" o:ole="t" filled="f" o:preferrelative="t" stroked="f" coordsize="21600,21600">
                  <v:path/>
                  <v:fill on="f" focussize="0,0"/>
                  <v:stroke on="f"/>
                  <v:imagedata r:id="rId11" o:title=""/>
                  <o:lock v:ext="edit" aspectratio="f"/>
                  <w10:wrap type="square"/>
                </v:shape>
                <o:OLEObject Type="Embed" ProgID="Visio.Drawing.11" ShapeID="_x0000_s2061" DrawAspect="Content" ObjectID="_1468075725" r:id="rId10">
                  <o:LockedField>false</o:LockedField>
                </o:OLEObject>
              </w:pict>
            </w:r>
            <w:r>
              <w:rPr>
                <w:rFonts w:hint="eastAsia"/>
                <w:b/>
                <w:bCs/>
                <w:color w:val="auto"/>
                <w:sz w:val="24"/>
              </w:rPr>
              <w:t xml:space="preserve">图1     </w:t>
            </w:r>
            <w:r>
              <w:rPr>
                <w:rFonts w:hint="eastAsia"/>
                <w:b/>
                <w:bCs/>
                <w:color w:val="auto"/>
                <w:sz w:val="24"/>
                <w:lang w:val="en-US" w:eastAsia="zh-CN"/>
              </w:rPr>
              <w:t>1#厂房</w:t>
            </w:r>
            <w:r>
              <w:rPr>
                <w:rFonts w:hint="eastAsia"/>
                <w:b/>
                <w:bCs/>
                <w:color w:val="auto"/>
                <w:sz w:val="24"/>
              </w:rPr>
              <w:t>原料堆存区原料分布图</w:t>
            </w:r>
          </w:p>
          <w:p w14:paraId="23D87088">
            <w:pPr>
              <w:spacing w:line="500" w:lineRule="exact"/>
              <w:ind w:firstLine="480" w:firstLineChars="200"/>
              <w:jc w:val="center"/>
              <w:rPr>
                <w:rFonts w:hint="eastAsia"/>
                <w:b/>
                <w:bCs/>
                <w:color w:val="auto"/>
                <w:sz w:val="24"/>
              </w:rPr>
            </w:pPr>
            <w:r>
              <w:rPr>
                <w:color w:val="auto"/>
                <w:sz w:val="24"/>
              </w:rPr>
              <w:pict>
                <v:shape id="_x0000_s2062" o:spid="_x0000_s2062" o:spt="75" type="#_x0000_t75" style="position:absolute;left:0pt;margin-left:-7.1pt;margin-top:15.7pt;height:180.8pt;width:443.5pt;mso-wrap-distance-bottom:0pt;mso-wrap-distance-left:9pt;mso-wrap-distance-right:9pt;mso-wrap-distance-top:0pt;z-index:251661312;mso-width-relative:page;mso-height-relative:page;" o:ole="t" filled="f" o:preferrelative="t" stroked="f" coordsize="21600,21600">
                  <v:path/>
                  <v:fill on="f" focussize="0,0"/>
                  <v:stroke on="f"/>
                  <v:imagedata r:id="rId13" o:title=""/>
                  <o:lock v:ext="edit" aspectratio="f"/>
                  <w10:wrap type="square"/>
                </v:shape>
                <o:OLEObject Type="Embed" ProgID="Visio.Drawing.11" ShapeID="_x0000_s2062" DrawAspect="Content" ObjectID="_1468075726" r:id="rId12">
                  <o:LockedField>false</o:LockedField>
                </o:OLEObject>
              </w:pict>
            </w:r>
          </w:p>
          <w:p w14:paraId="1F3E2DCC">
            <w:pPr>
              <w:spacing w:line="500" w:lineRule="exact"/>
              <w:jc w:val="center"/>
              <w:rPr>
                <w:color w:val="auto"/>
                <w:sz w:val="24"/>
              </w:rPr>
            </w:pPr>
            <w:r>
              <w:rPr>
                <w:rFonts w:hint="eastAsia"/>
                <w:b/>
                <w:bCs/>
                <w:color w:val="auto"/>
                <w:sz w:val="24"/>
              </w:rPr>
              <w:t>图</w:t>
            </w:r>
            <w:r>
              <w:rPr>
                <w:rFonts w:hint="eastAsia"/>
                <w:b/>
                <w:bCs/>
                <w:color w:val="auto"/>
                <w:sz w:val="24"/>
                <w:lang w:val="en-US" w:eastAsia="zh-CN"/>
              </w:rPr>
              <w:t>2</w:t>
            </w:r>
            <w:r>
              <w:rPr>
                <w:rFonts w:hint="eastAsia"/>
                <w:b/>
                <w:bCs/>
                <w:color w:val="auto"/>
                <w:sz w:val="24"/>
              </w:rPr>
              <w:t xml:space="preserve">     </w:t>
            </w:r>
            <w:r>
              <w:rPr>
                <w:rFonts w:hint="eastAsia"/>
                <w:b/>
                <w:bCs/>
                <w:color w:val="auto"/>
                <w:sz w:val="24"/>
                <w:lang w:val="en-US" w:eastAsia="zh-CN"/>
              </w:rPr>
              <w:t>3#厂房</w:t>
            </w:r>
            <w:r>
              <w:rPr>
                <w:rFonts w:hint="eastAsia"/>
                <w:b/>
                <w:bCs/>
                <w:color w:val="auto"/>
                <w:sz w:val="24"/>
              </w:rPr>
              <w:t>原料堆存区原料分布图</w:t>
            </w:r>
          </w:p>
          <w:p w14:paraId="0696D9A3">
            <w:pPr>
              <w:numPr>
                <w:ilvl w:val="0"/>
                <w:numId w:val="0"/>
              </w:numPr>
              <w:spacing w:line="500" w:lineRule="exact"/>
              <w:ind w:firstLine="480" w:firstLineChars="200"/>
              <w:jc w:val="center"/>
              <w:rPr>
                <w:rFonts w:hint="eastAsia"/>
                <w:b/>
                <w:bCs/>
                <w:color w:val="auto"/>
                <w:sz w:val="24"/>
              </w:rPr>
            </w:pPr>
            <w:r>
              <w:rPr>
                <w:color w:val="auto"/>
                <w:sz w:val="24"/>
              </w:rPr>
              <w:pict>
                <v:shape id="_x0000_s2063" o:spid="_x0000_s2063" o:spt="75" type="#_x0000_t75" style="position:absolute;left:0pt;margin-left:-5.95pt;margin-top:8.5pt;height:173.1pt;width:432.2pt;mso-wrap-distance-bottom:0pt;mso-wrap-distance-left:9pt;mso-wrap-distance-right:9pt;mso-wrap-distance-top:0pt;z-index:251662336;mso-width-relative:page;mso-height-relative:page;" o:ole="t" filled="f" o:preferrelative="t" stroked="f" coordsize="21600,21600">
                  <v:path/>
                  <v:fill on="f" focussize="0,0"/>
                  <v:stroke on="f"/>
                  <v:imagedata r:id="rId15" o:title=""/>
                  <o:lock v:ext="edit" aspectratio="f"/>
                  <w10:wrap type="square"/>
                </v:shape>
                <o:OLEObject Type="Embed" ProgID="Visio.Drawing.11" ShapeID="_x0000_s2063" DrawAspect="Content" ObjectID="_1468075727" r:id="rId14">
                  <o:LockedField>false</o:LockedField>
                </o:OLEObject>
              </w:pict>
            </w:r>
            <w:r>
              <w:rPr>
                <w:rFonts w:hint="eastAsia"/>
                <w:b/>
                <w:bCs/>
                <w:color w:val="auto"/>
                <w:sz w:val="24"/>
              </w:rPr>
              <w:t>图</w:t>
            </w:r>
            <w:r>
              <w:rPr>
                <w:rFonts w:hint="eastAsia"/>
                <w:b/>
                <w:bCs/>
                <w:color w:val="auto"/>
                <w:sz w:val="24"/>
                <w:lang w:val="en-US" w:eastAsia="zh-CN"/>
              </w:rPr>
              <w:t>3</w:t>
            </w:r>
            <w:r>
              <w:rPr>
                <w:rFonts w:hint="eastAsia"/>
                <w:b/>
                <w:bCs/>
                <w:color w:val="auto"/>
                <w:sz w:val="24"/>
              </w:rPr>
              <w:t xml:space="preserve"> </w:t>
            </w:r>
            <w:r>
              <w:rPr>
                <w:rFonts w:hint="eastAsia"/>
                <w:b/>
                <w:bCs/>
                <w:color w:val="auto"/>
                <w:sz w:val="24"/>
                <w:lang w:val="en-US" w:eastAsia="zh-CN"/>
              </w:rPr>
              <w:t xml:space="preserve"> </w:t>
            </w:r>
            <w:r>
              <w:rPr>
                <w:rFonts w:hint="eastAsia"/>
                <w:b/>
                <w:bCs/>
                <w:color w:val="auto"/>
                <w:sz w:val="24"/>
              </w:rPr>
              <w:t xml:space="preserve">   </w:t>
            </w:r>
            <w:r>
              <w:rPr>
                <w:rFonts w:hint="eastAsia"/>
                <w:b/>
                <w:bCs/>
                <w:color w:val="auto"/>
                <w:sz w:val="24"/>
                <w:lang w:val="en-US" w:eastAsia="zh-CN"/>
              </w:rPr>
              <w:t>2#厂房</w:t>
            </w:r>
            <w:r>
              <w:rPr>
                <w:rFonts w:hint="eastAsia"/>
                <w:b/>
                <w:bCs/>
                <w:color w:val="auto"/>
                <w:sz w:val="24"/>
              </w:rPr>
              <w:t>原料堆存区原料分布图</w:t>
            </w:r>
          </w:p>
          <w:p w14:paraId="7CEA121F">
            <w:pPr>
              <w:numPr>
                <w:ilvl w:val="0"/>
                <w:numId w:val="0"/>
              </w:numPr>
              <w:spacing w:line="500" w:lineRule="exact"/>
              <w:ind w:firstLine="480" w:firstLineChars="200"/>
              <w:jc w:val="center"/>
              <w:rPr>
                <w:rFonts w:ascii="Times New Roman" w:hAnsi="Times New Roman" w:eastAsia="宋体" w:cs="Times New Roman"/>
                <w:b/>
                <w:bCs/>
                <w:color w:val="auto"/>
                <w:kern w:val="2"/>
                <w:sz w:val="24"/>
                <w:szCs w:val="24"/>
                <w:lang w:val="en-US" w:eastAsia="zh-CN" w:bidi="ar-SA"/>
              </w:rPr>
            </w:pPr>
            <w:r>
              <w:rPr>
                <w:color w:val="auto"/>
                <w:sz w:val="24"/>
              </w:rPr>
              <w:pict>
                <v:shape id="_x0000_s2068" o:spid="_x0000_s2068" o:spt="75" type="#_x0000_t75" style="position:absolute;left:0pt;margin-left:-16.1pt;margin-top:16.25pt;height:165pt;width:422.05pt;mso-wrap-distance-bottom:0pt;mso-wrap-distance-left:9pt;mso-wrap-distance-right:9pt;mso-wrap-distance-top:0pt;z-index:251663360;mso-width-relative:page;mso-height-relative:page;" o:ole="t" filled="f" o:preferrelative="t" stroked="f" coordsize="21600,21600">
                  <v:path/>
                  <v:fill on="f" focussize="0,0"/>
                  <v:stroke on="f"/>
                  <v:imagedata r:id="rId17" o:title=""/>
                  <o:lock v:ext="edit" aspectratio="f"/>
                  <w10:wrap type="square"/>
                </v:shape>
                <o:OLEObject Type="Embed" ProgID="Visio.Drawing.11" ShapeID="_x0000_s2068" DrawAspect="Content" ObjectID="_1468075728" r:id="rId16">
                  <o:LockedField>false</o:LockedField>
                </o:OLEObject>
              </w:pict>
            </w:r>
            <w:r>
              <w:rPr>
                <w:rFonts w:hint="eastAsia"/>
                <w:b/>
                <w:bCs/>
                <w:color w:val="auto"/>
                <w:sz w:val="24"/>
              </w:rPr>
              <w:t>图</w:t>
            </w:r>
            <w:r>
              <w:rPr>
                <w:rFonts w:hint="eastAsia"/>
                <w:b/>
                <w:bCs/>
                <w:color w:val="auto"/>
                <w:sz w:val="24"/>
                <w:lang w:val="en-US" w:eastAsia="zh-CN"/>
              </w:rPr>
              <w:t>4</w:t>
            </w:r>
            <w:r>
              <w:rPr>
                <w:rFonts w:hint="eastAsia"/>
                <w:b/>
                <w:bCs/>
                <w:color w:val="auto"/>
                <w:sz w:val="24"/>
              </w:rPr>
              <w:t xml:space="preserve"> </w:t>
            </w:r>
            <w:r>
              <w:rPr>
                <w:rFonts w:hint="eastAsia"/>
                <w:b/>
                <w:bCs/>
                <w:color w:val="auto"/>
                <w:sz w:val="24"/>
                <w:lang w:val="en-US" w:eastAsia="zh-CN"/>
              </w:rPr>
              <w:t xml:space="preserve"> </w:t>
            </w:r>
            <w:r>
              <w:rPr>
                <w:rFonts w:hint="eastAsia"/>
                <w:b/>
                <w:bCs/>
                <w:color w:val="auto"/>
                <w:sz w:val="24"/>
              </w:rPr>
              <w:t xml:space="preserve">   </w:t>
            </w:r>
            <w:r>
              <w:rPr>
                <w:rFonts w:hint="eastAsia"/>
                <w:b/>
                <w:bCs/>
                <w:color w:val="auto"/>
                <w:sz w:val="24"/>
                <w:lang w:val="en-US" w:eastAsia="zh-CN"/>
              </w:rPr>
              <w:t>露天堆场</w:t>
            </w:r>
            <w:r>
              <w:rPr>
                <w:rFonts w:hint="eastAsia"/>
                <w:b/>
                <w:bCs/>
                <w:color w:val="auto"/>
                <w:sz w:val="24"/>
              </w:rPr>
              <w:t>原料堆存区原料分布图</w:t>
            </w:r>
          </w:p>
          <w:p w14:paraId="3F9BCF5F">
            <w:pPr>
              <w:numPr>
                <w:ilvl w:val="0"/>
                <w:numId w:val="0"/>
              </w:numPr>
              <w:spacing w:line="500" w:lineRule="exact"/>
              <w:ind w:firstLine="482" w:firstLineChars="200"/>
              <w:rPr>
                <w:color w:val="auto"/>
                <w:sz w:val="24"/>
              </w:rPr>
            </w:pPr>
            <w:r>
              <w:rPr>
                <w:rFonts w:ascii="Times New Roman" w:hAnsi="Times New Roman" w:eastAsia="宋体" w:cs="Times New Roman"/>
                <w:b/>
                <w:bCs/>
                <w:color w:val="auto"/>
                <w:kern w:val="2"/>
                <w:sz w:val="24"/>
                <w:szCs w:val="24"/>
                <w:lang w:val="en-US" w:eastAsia="zh-CN" w:bidi="ar-SA"/>
              </w:rPr>
              <w:t>6.</w:t>
            </w:r>
            <w:r>
              <w:rPr>
                <w:rFonts w:hint="eastAsia"/>
                <w:b/>
                <w:bCs/>
                <w:color w:val="auto"/>
                <w:sz w:val="24"/>
              </w:rPr>
              <w:t>平面布置及周边关系</w:t>
            </w:r>
            <w:r>
              <w:rPr>
                <w:rFonts w:hint="eastAsia"/>
                <w:color w:val="auto"/>
                <w:sz w:val="24"/>
              </w:rPr>
              <w:t>：本项目位于</w:t>
            </w:r>
            <w:r>
              <w:rPr>
                <w:rFonts w:hint="eastAsia" w:eastAsiaTheme="minorEastAsia"/>
                <w:color w:val="auto"/>
                <w:sz w:val="24"/>
              </w:rPr>
              <w:t>河北省唐山市海港开发区港前南街以北，海富路以西(唐山城矿物联网科技有限公司院内)</w:t>
            </w:r>
            <w:r>
              <w:rPr>
                <w:color w:val="auto"/>
                <w:sz w:val="24"/>
              </w:rPr>
              <w:t>。</w:t>
            </w:r>
            <w:r>
              <w:rPr>
                <w:rFonts w:hint="eastAsia"/>
                <w:color w:val="auto"/>
                <w:sz w:val="24"/>
              </w:rPr>
              <w:t>项目西侧</w:t>
            </w:r>
            <w:r>
              <w:rPr>
                <w:rFonts w:hint="eastAsia"/>
                <w:color w:val="auto"/>
                <w:sz w:val="24"/>
                <w:lang w:eastAsia="zh-CN"/>
              </w:rPr>
              <w:t>和东南侧</w:t>
            </w:r>
            <w:r>
              <w:rPr>
                <w:rFonts w:hint="eastAsia"/>
                <w:color w:val="auto"/>
                <w:sz w:val="24"/>
              </w:rPr>
              <w:t>为河北唐山海港经济开发区住房和城乡建设管理局</w:t>
            </w:r>
            <w:r>
              <w:rPr>
                <w:rFonts w:hint="eastAsia"/>
                <w:sz w:val="24"/>
                <w:szCs w:val="32"/>
                <w:lang w:eastAsia="zh-CN"/>
              </w:rPr>
              <w:t>待用空地</w:t>
            </w:r>
            <w:r>
              <w:rPr>
                <w:rFonts w:hint="eastAsia"/>
                <w:color w:val="auto"/>
                <w:sz w:val="24"/>
              </w:rPr>
              <w:t>，西南侧隔港前南街为空地，东侧和</w:t>
            </w:r>
            <w:r>
              <w:rPr>
                <w:rFonts w:hint="eastAsia"/>
                <w:color w:val="auto"/>
                <w:sz w:val="24"/>
                <w:lang w:eastAsia="zh-CN"/>
              </w:rPr>
              <w:t>北</w:t>
            </w:r>
            <w:r>
              <w:rPr>
                <w:rFonts w:hint="eastAsia"/>
                <w:color w:val="auto"/>
                <w:sz w:val="24"/>
              </w:rPr>
              <w:t>侧为</w:t>
            </w:r>
            <w:r>
              <w:rPr>
                <w:rFonts w:hint="eastAsia"/>
                <w:color w:val="auto"/>
                <w:sz w:val="24"/>
                <w:lang w:eastAsia="zh-CN"/>
              </w:rPr>
              <w:t>其他企业</w:t>
            </w:r>
            <w:r>
              <w:rPr>
                <w:rFonts w:hint="eastAsia"/>
                <w:color w:val="auto"/>
                <w:sz w:val="24"/>
              </w:rPr>
              <w:t>。</w:t>
            </w:r>
            <w:r>
              <w:rPr>
                <w:color w:val="auto"/>
                <w:sz w:val="24"/>
              </w:rPr>
              <w:t>项目地理位置见附图1</w:t>
            </w:r>
            <w:r>
              <w:rPr>
                <w:rFonts w:hint="eastAsia"/>
                <w:color w:val="auto"/>
                <w:sz w:val="24"/>
              </w:rPr>
              <w:t>，厂区</w:t>
            </w:r>
            <w:r>
              <w:rPr>
                <w:color w:val="auto"/>
                <w:sz w:val="24"/>
              </w:rPr>
              <w:t>平面布置及周边关系图见附图2。</w:t>
            </w:r>
          </w:p>
          <w:p w14:paraId="0F543FD6">
            <w:pPr>
              <w:spacing w:line="500" w:lineRule="exact"/>
              <w:ind w:firstLine="482" w:firstLineChars="200"/>
              <w:rPr>
                <w:color w:val="auto"/>
                <w:sz w:val="24"/>
              </w:rPr>
            </w:pPr>
            <w:r>
              <w:rPr>
                <w:rFonts w:hint="eastAsia"/>
                <w:b/>
                <w:bCs/>
                <w:color w:val="auto"/>
                <w:sz w:val="24"/>
              </w:rPr>
              <w:t>7.劳动定员及工作制度</w:t>
            </w:r>
            <w:r>
              <w:rPr>
                <w:rFonts w:hint="eastAsia"/>
                <w:color w:val="auto"/>
                <w:sz w:val="24"/>
              </w:rPr>
              <w:t>：本项目劳动定员16人，年工作365天，每天1班，每班8小时。</w:t>
            </w:r>
          </w:p>
          <w:p w14:paraId="47C0C366">
            <w:pPr>
              <w:spacing w:line="500" w:lineRule="exact"/>
              <w:ind w:firstLine="482" w:firstLineChars="200"/>
              <w:rPr>
                <w:b/>
                <w:bCs/>
                <w:color w:val="auto"/>
                <w:sz w:val="24"/>
              </w:rPr>
            </w:pPr>
            <w:r>
              <w:rPr>
                <w:rFonts w:hint="eastAsia"/>
                <w:b/>
                <w:bCs/>
                <w:color w:val="auto"/>
                <w:sz w:val="24"/>
              </w:rPr>
              <w:t>8.</w:t>
            </w:r>
            <w:r>
              <w:rPr>
                <w:b/>
                <w:bCs/>
                <w:color w:val="auto"/>
                <w:sz w:val="24"/>
              </w:rPr>
              <w:t>本项目公用工程</w:t>
            </w:r>
          </w:p>
          <w:p w14:paraId="185D91EF">
            <w:pPr>
              <w:spacing w:line="500" w:lineRule="exact"/>
              <w:ind w:firstLine="480" w:firstLineChars="200"/>
              <w:rPr>
                <w:color w:val="auto"/>
                <w:sz w:val="24"/>
              </w:rPr>
            </w:pPr>
            <w:r>
              <w:rPr>
                <w:rFonts w:hint="eastAsia"/>
                <w:color w:val="auto"/>
                <w:sz w:val="24"/>
              </w:rPr>
              <w:t>①给排水</w:t>
            </w:r>
          </w:p>
          <w:p w14:paraId="16C1AD76">
            <w:pPr>
              <w:spacing w:line="500" w:lineRule="exact"/>
              <w:ind w:firstLine="480" w:firstLineChars="200"/>
              <w:rPr>
                <w:color w:val="auto"/>
                <w:sz w:val="24"/>
              </w:rPr>
            </w:pPr>
            <w:r>
              <w:rPr>
                <w:rFonts w:hint="eastAsia"/>
                <w:color w:val="auto"/>
                <w:sz w:val="24"/>
                <w:szCs w:val="32"/>
              </w:rPr>
              <w:t>给水：</w:t>
            </w:r>
            <w:r>
              <w:rPr>
                <w:rFonts w:hint="eastAsia"/>
                <w:color w:val="auto"/>
                <w:sz w:val="24"/>
              </w:rPr>
              <w:t>本项目用水</w:t>
            </w:r>
            <w:r>
              <w:rPr>
                <w:rFonts w:hint="eastAsia"/>
                <w:color w:val="auto"/>
                <w:sz w:val="24"/>
                <w:lang w:eastAsia="zh-CN"/>
              </w:rPr>
              <w:t>取自园区供水管网</w:t>
            </w:r>
            <w:r>
              <w:rPr>
                <w:rFonts w:hint="eastAsia"/>
                <w:color w:val="auto"/>
                <w:sz w:val="24"/>
              </w:rPr>
              <w:t>，厂区内不设食堂、宿舍，厕所为水厕，本项目用水主要为车辆冲洗水、喷淋抑尘用水、职工盥洗及冲厕用水。</w:t>
            </w:r>
          </w:p>
          <w:p w14:paraId="29AE22E7">
            <w:pPr>
              <w:spacing w:line="500" w:lineRule="exact"/>
              <w:ind w:firstLine="480" w:firstLineChars="200"/>
              <w:rPr>
                <w:color w:val="auto"/>
                <w:sz w:val="24"/>
              </w:rPr>
            </w:pPr>
            <w:r>
              <w:rPr>
                <w:rFonts w:hint="eastAsia"/>
                <w:color w:val="auto"/>
                <w:sz w:val="24"/>
              </w:rPr>
              <w:t>洗车用水：厂区出</w:t>
            </w:r>
            <w:r>
              <w:rPr>
                <w:rFonts w:hint="eastAsia"/>
                <w:lang w:eastAsia="zh-CN"/>
              </w:rPr>
              <w:t>入</w:t>
            </w:r>
            <w:r>
              <w:rPr>
                <w:rFonts w:hint="eastAsia"/>
                <w:color w:val="auto"/>
                <w:sz w:val="24"/>
              </w:rPr>
              <w:t>口设1套洗车平台系统，用于运输车辆的外观冲洗，确保轮胎及车身对外部路面无污染</w:t>
            </w:r>
            <w:r>
              <w:rPr>
                <w:rFonts w:hint="eastAsia"/>
                <w:color w:val="auto"/>
                <w:sz w:val="24"/>
                <w:highlight w:val="none"/>
              </w:rPr>
              <w:t>。本项目洗车废水循环使用，不外排</w:t>
            </w:r>
            <w:r>
              <w:rPr>
                <w:rFonts w:hint="eastAsia"/>
                <w:color w:val="auto"/>
                <w:sz w:val="24"/>
                <w:highlight w:val="none"/>
                <w:lang w:eastAsia="zh-CN"/>
              </w:rPr>
              <w:t>，日损耗水量约</w:t>
            </w:r>
            <w:r>
              <w:rPr>
                <w:rFonts w:hint="eastAsia"/>
                <w:color w:val="auto"/>
                <w:sz w:val="24"/>
                <w:highlight w:val="none"/>
                <w:lang w:val="en-US" w:eastAsia="zh-CN"/>
              </w:rPr>
              <w:t>1.2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4380</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，补水量为</w:t>
            </w:r>
            <w:r>
              <w:rPr>
                <w:rFonts w:hint="eastAsia"/>
                <w:color w:val="auto"/>
                <w:sz w:val="24"/>
                <w:highlight w:val="none"/>
                <w:lang w:val="en-US" w:eastAsia="zh-CN"/>
              </w:rPr>
              <w:t>1.2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4380</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，循环水量为</w:t>
            </w:r>
            <w:r>
              <w:rPr>
                <w:rFonts w:hint="eastAsia"/>
                <w:color w:val="auto"/>
                <w:sz w:val="24"/>
                <w:highlight w:val="none"/>
                <w:lang w:val="en-US" w:eastAsia="zh-CN"/>
              </w:rPr>
              <w:t>10.8m</w:t>
            </w:r>
            <w:r>
              <w:rPr>
                <w:rFonts w:hint="eastAsia"/>
                <w:color w:val="auto"/>
                <w:sz w:val="24"/>
                <w:highlight w:val="none"/>
                <w:vertAlign w:val="superscript"/>
                <w:lang w:val="en-US" w:eastAsia="zh-CN"/>
              </w:rPr>
              <w:t>3</w:t>
            </w:r>
            <w:r>
              <w:rPr>
                <w:rFonts w:hint="eastAsia"/>
                <w:color w:val="auto"/>
                <w:sz w:val="24"/>
                <w:highlight w:val="none"/>
              </w:rPr>
              <w:t>。</w:t>
            </w:r>
          </w:p>
          <w:p w14:paraId="1A83BD3B">
            <w:pPr>
              <w:spacing w:line="500" w:lineRule="exact"/>
              <w:ind w:firstLine="480" w:firstLineChars="200"/>
              <w:rPr>
                <w:color w:val="auto"/>
                <w:sz w:val="24"/>
              </w:rPr>
            </w:pPr>
            <w:r>
              <w:rPr>
                <w:rFonts w:hint="eastAsia"/>
                <w:color w:val="auto"/>
                <w:sz w:val="24"/>
              </w:rPr>
              <w:t>喷淋抑尘用水：</w:t>
            </w:r>
            <w:r>
              <w:rPr>
                <w:rFonts w:hint="eastAsia"/>
                <w:color w:val="auto"/>
                <w:sz w:val="24"/>
                <w:lang w:eastAsia="zh-CN"/>
              </w:rPr>
              <w:t>原料</w:t>
            </w:r>
            <w:r>
              <w:rPr>
                <w:rFonts w:hint="eastAsia"/>
                <w:color w:val="auto"/>
                <w:sz w:val="24"/>
              </w:rPr>
              <w:t>装卸及堆存过程有颗粒物产生，企业采取喷淋方式抑尘，喷淋抑尘用水量约为6m</w:t>
            </w:r>
            <w:r>
              <w:rPr>
                <w:rFonts w:hint="eastAsia"/>
                <w:color w:val="auto"/>
                <w:sz w:val="24"/>
                <w:vertAlign w:val="superscript"/>
              </w:rPr>
              <w:t>3</w:t>
            </w:r>
            <w:r>
              <w:rPr>
                <w:rFonts w:hint="eastAsia"/>
                <w:color w:val="auto"/>
                <w:sz w:val="24"/>
              </w:rPr>
              <w:t>/d</w:t>
            </w:r>
            <w:r>
              <w:rPr>
                <w:color w:val="auto"/>
                <w:sz w:val="24"/>
              </w:rPr>
              <w:t>（</w:t>
            </w:r>
            <w:r>
              <w:rPr>
                <w:rFonts w:hint="eastAsia"/>
                <w:color w:val="auto"/>
                <w:sz w:val="24"/>
              </w:rPr>
              <w:t>2190</w:t>
            </w:r>
            <w:r>
              <w:rPr>
                <w:color w:val="auto"/>
                <w:sz w:val="24"/>
              </w:rPr>
              <w:t>m</w:t>
            </w:r>
            <w:r>
              <w:rPr>
                <w:color w:val="auto"/>
                <w:sz w:val="24"/>
                <w:vertAlign w:val="superscript"/>
              </w:rPr>
              <w:t>3</w:t>
            </w:r>
            <w:r>
              <w:rPr>
                <w:color w:val="auto"/>
                <w:sz w:val="24"/>
              </w:rPr>
              <w:t>/a）</w:t>
            </w:r>
            <w:r>
              <w:rPr>
                <w:rFonts w:hint="eastAsia"/>
                <w:color w:val="auto"/>
                <w:sz w:val="24"/>
              </w:rPr>
              <w:t>。</w:t>
            </w:r>
          </w:p>
          <w:p w14:paraId="5BC14332">
            <w:pPr>
              <w:spacing w:line="500" w:lineRule="exact"/>
              <w:ind w:firstLine="480" w:firstLineChars="200"/>
              <w:rPr>
                <w:color w:val="auto"/>
                <w:sz w:val="24"/>
              </w:rPr>
            </w:pPr>
            <w:r>
              <w:rPr>
                <w:rFonts w:hint="eastAsia"/>
                <w:color w:val="auto"/>
                <w:sz w:val="24"/>
              </w:rPr>
              <w:t>职工盥洗用水：</w:t>
            </w:r>
            <w:r>
              <w:rPr>
                <w:rFonts w:hint="eastAsia"/>
                <w:bCs/>
                <w:color w:val="auto"/>
                <w:sz w:val="24"/>
              </w:rPr>
              <w:t>厂区内不设食堂、宿舍，厕所为水厕，</w:t>
            </w:r>
            <w:r>
              <w:rPr>
                <w:rFonts w:hint="eastAsia"/>
                <w:color w:val="auto"/>
                <w:sz w:val="24"/>
                <w:szCs w:val="32"/>
              </w:rPr>
              <w:t>本项目劳动定员16人，</w:t>
            </w:r>
            <w:r>
              <w:rPr>
                <w:color w:val="auto"/>
                <w:sz w:val="24"/>
              </w:rPr>
              <w:t>用水量按</w:t>
            </w:r>
            <w:r>
              <w:rPr>
                <w:rFonts w:hint="eastAsia"/>
                <w:color w:val="auto"/>
                <w:sz w:val="24"/>
              </w:rPr>
              <w:t>20</w:t>
            </w:r>
            <w:r>
              <w:rPr>
                <w:color w:val="auto"/>
                <w:sz w:val="24"/>
              </w:rPr>
              <w:t>L/人·d，则生活用水量为</w:t>
            </w:r>
            <w:r>
              <w:rPr>
                <w:rFonts w:hint="eastAsia"/>
                <w:color w:val="auto"/>
                <w:sz w:val="24"/>
              </w:rPr>
              <w:t>0.32</w:t>
            </w:r>
            <w:r>
              <w:rPr>
                <w:color w:val="auto"/>
                <w:sz w:val="24"/>
              </w:rPr>
              <w:t>m</w:t>
            </w:r>
            <w:r>
              <w:rPr>
                <w:color w:val="auto"/>
                <w:sz w:val="24"/>
                <w:vertAlign w:val="superscript"/>
              </w:rPr>
              <w:t>3</w:t>
            </w:r>
            <w:r>
              <w:rPr>
                <w:color w:val="auto"/>
                <w:sz w:val="24"/>
              </w:rPr>
              <w:t>/d（</w:t>
            </w:r>
            <w:r>
              <w:rPr>
                <w:rFonts w:hint="eastAsia"/>
                <w:color w:val="auto"/>
                <w:sz w:val="24"/>
              </w:rPr>
              <w:t>116.8</w:t>
            </w:r>
            <w:r>
              <w:rPr>
                <w:color w:val="auto"/>
                <w:sz w:val="24"/>
              </w:rPr>
              <w:t>m</w:t>
            </w:r>
            <w:r>
              <w:rPr>
                <w:color w:val="auto"/>
                <w:sz w:val="24"/>
                <w:vertAlign w:val="superscript"/>
              </w:rPr>
              <w:t>3</w:t>
            </w:r>
            <w:r>
              <w:rPr>
                <w:color w:val="auto"/>
                <w:sz w:val="24"/>
              </w:rPr>
              <w:t>/a）</w:t>
            </w:r>
            <w:r>
              <w:rPr>
                <w:rFonts w:hint="eastAsia"/>
                <w:color w:val="auto"/>
                <w:sz w:val="24"/>
              </w:rPr>
              <w:t>。</w:t>
            </w:r>
          </w:p>
          <w:p w14:paraId="510382DD">
            <w:pPr>
              <w:spacing w:line="500" w:lineRule="exact"/>
              <w:ind w:firstLine="480" w:firstLineChars="200"/>
              <w:rPr>
                <w:rFonts w:hint="eastAsia"/>
                <w:color w:val="auto"/>
                <w:sz w:val="24"/>
              </w:rPr>
            </w:pPr>
            <w:r>
              <w:rPr>
                <w:rFonts w:hint="eastAsia"/>
                <w:color w:val="auto"/>
                <w:sz w:val="24"/>
              </w:rPr>
              <w:t>排水：项目洗车废水经沉淀池沉淀后回用于洗车；喷淋用水蒸发损耗，不外排；项目生活废水产生量按照生活用水量的80%计算，</w:t>
            </w:r>
            <w:r>
              <w:rPr>
                <w:color w:val="auto"/>
                <w:sz w:val="24"/>
              </w:rPr>
              <w:t>则盥洗</w:t>
            </w:r>
            <w:r>
              <w:rPr>
                <w:rFonts w:hint="eastAsia"/>
                <w:color w:val="auto"/>
                <w:sz w:val="24"/>
              </w:rPr>
              <w:t>及冲厕</w:t>
            </w:r>
            <w:r>
              <w:rPr>
                <w:color w:val="auto"/>
                <w:sz w:val="24"/>
              </w:rPr>
              <w:t>废水产生量为</w:t>
            </w:r>
            <w:r>
              <w:rPr>
                <w:rFonts w:hint="eastAsia"/>
                <w:color w:val="auto"/>
                <w:sz w:val="24"/>
              </w:rPr>
              <w:t>0.256</w:t>
            </w:r>
            <w:r>
              <w:rPr>
                <w:color w:val="auto"/>
                <w:sz w:val="24"/>
              </w:rPr>
              <w:t>m</w:t>
            </w:r>
            <w:r>
              <w:rPr>
                <w:color w:val="auto"/>
                <w:sz w:val="24"/>
                <w:vertAlign w:val="superscript"/>
              </w:rPr>
              <w:t>3</w:t>
            </w:r>
            <w:r>
              <w:rPr>
                <w:color w:val="auto"/>
                <w:sz w:val="24"/>
              </w:rPr>
              <w:t>/d（</w:t>
            </w:r>
            <w:r>
              <w:rPr>
                <w:rFonts w:hint="eastAsia"/>
                <w:color w:val="auto"/>
                <w:sz w:val="24"/>
              </w:rPr>
              <w:t>93.44</w:t>
            </w:r>
            <w:r>
              <w:rPr>
                <w:color w:val="auto"/>
                <w:sz w:val="24"/>
              </w:rPr>
              <w:t>m</w:t>
            </w:r>
            <w:r>
              <w:rPr>
                <w:color w:val="auto"/>
                <w:sz w:val="24"/>
                <w:vertAlign w:val="superscript"/>
              </w:rPr>
              <w:t>3</w:t>
            </w:r>
            <w:r>
              <w:rPr>
                <w:rFonts w:hint="eastAsia"/>
                <w:color w:val="auto"/>
                <w:sz w:val="24"/>
              </w:rPr>
              <w:t>/a</w:t>
            </w:r>
            <w:r>
              <w:rPr>
                <w:color w:val="auto"/>
                <w:sz w:val="24"/>
              </w:rPr>
              <w:t>）</w:t>
            </w:r>
            <w:r>
              <w:rPr>
                <w:rFonts w:hint="eastAsia"/>
                <w:color w:val="auto"/>
                <w:sz w:val="24"/>
              </w:rPr>
              <w:t>。</w:t>
            </w:r>
          </w:p>
          <w:p w14:paraId="4C9EC4A8">
            <w:pPr>
              <w:spacing w:line="500" w:lineRule="exact"/>
              <w:ind w:firstLine="480" w:firstLineChars="200"/>
              <w:rPr>
                <w:rFonts w:hint="eastAsia" w:eastAsia="宋体"/>
                <w:color w:val="0000FF"/>
                <w:sz w:val="24"/>
                <w:lang w:eastAsia="zh-CN"/>
              </w:rPr>
            </w:pPr>
            <w:r>
              <w:rPr>
                <w:rFonts w:hint="eastAsia"/>
                <w:color w:val="0000FF"/>
                <w:sz w:val="24"/>
                <w:lang w:eastAsia="zh-CN"/>
              </w:rPr>
              <w:t>厂区初期雨水收集池收集的雨水，经沉淀后上清液用于厂区抑尘。</w:t>
            </w:r>
          </w:p>
          <w:p w14:paraId="3A3D3B2D">
            <w:pPr>
              <w:spacing w:before="3120" w:beforeLines="1000" w:line="500" w:lineRule="exact"/>
              <w:jc w:val="center"/>
              <w:rPr>
                <w:color w:val="auto"/>
                <w:sz w:val="24"/>
              </w:rPr>
            </w:pPr>
            <w:r>
              <w:rPr>
                <w:rFonts w:hint="eastAsia"/>
                <w:color w:val="auto"/>
                <w:sz w:val="24"/>
              </w:rPr>
              <w:object>
                <v:shape id="_x0000_i1025" o:spt="75" type="#_x0000_t75" style="height:178.8pt;width:328.6pt;" o:ole="t" filled="f" o:preferrelative="t" stroked="f" coordsize="21600,21600">
                  <v:path/>
                  <v:fill on="f" focussize="0,0"/>
                  <v:stroke on="f"/>
                  <v:imagedata r:id="rId19" o:title=""/>
                  <o:lock v:ext="edit" aspectratio="f"/>
                  <w10:wrap type="none"/>
                  <w10:anchorlock/>
                </v:shape>
                <o:OLEObject Type="Embed" ProgID="Visio.Drawing.11" ShapeID="_x0000_i1025" DrawAspect="Content" ObjectID="_1468075729" r:id="rId18">
                  <o:LockedField>false</o:LockedField>
                </o:OLEObject>
              </w:object>
            </w:r>
          </w:p>
          <w:p w14:paraId="743B63F3">
            <w:pPr>
              <w:adjustRightInd w:val="0"/>
              <w:snapToGrid w:val="0"/>
              <w:jc w:val="center"/>
              <w:rPr>
                <w:b/>
                <w:color w:val="auto"/>
                <w:sz w:val="24"/>
              </w:rPr>
            </w:pPr>
            <w:r>
              <w:rPr>
                <w:rFonts w:hint="eastAsia"/>
                <w:b/>
                <w:color w:val="auto"/>
                <w:sz w:val="24"/>
              </w:rPr>
              <w:t>图</w:t>
            </w:r>
            <w:r>
              <w:rPr>
                <w:rFonts w:hint="eastAsia"/>
                <w:b/>
                <w:color w:val="auto"/>
                <w:sz w:val="24"/>
                <w:lang w:val="en-US" w:eastAsia="zh-CN"/>
              </w:rPr>
              <w:t>5</w:t>
            </w:r>
            <w:r>
              <w:rPr>
                <w:rFonts w:hint="eastAsia"/>
                <w:b/>
                <w:color w:val="auto"/>
                <w:sz w:val="24"/>
              </w:rPr>
              <w:t xml:space="preserve">    项目水平衡图   单位：</w:t>
            </w:r>
            <w:r>
              <w:rPr>
                <w:b/>
                <w:bCs/>
                <w:color w:val="auto"/>
                <w:kern w:val="0"/>
                <w:sz w:val="24"/>
              </w:rPr>
              <w:t>m</w:t>
            </w:r>
            <w:r>
              <w:rPr>
                <w:b/>
                <w:bCs/>
                <w:color w:val="auto"/>
                <w:kern w:val="0"/>
                <w:sz w:val="24"/>
                <w:vertAlign w:val="superscript"/>
              </w:rPr>
              <w:t>3</w:t>
            </w:r>
            <w:r>
              <w:rPr>
                <w:rStyle w:val="44"/>
                <w:b/>
                <w:bCs/>
                <w:color w:val="auto"/>
              </w:rPr>
              <w:t>/</w:t>
            </w:r>
            <w:r>
              <w:rPr>
                <w:rStyle w:val="44"/>
                <w:b/>
                <w:bCs/>
                <w:color w:val="auto"/>
                <w:vertAlign w:val="baseline"/>
              </w:rPr>
              <w:t>d</w:t>
            </w:r>
          </w:p>
          <w:p w14:paraId="1E7FFF24">
            <w:pPr>
              <w:spacing w:line="500" w:lineRule="exact"/>
              <w:ind w:firstLine="480" w:firstLineChars="200"/>
              <w:rPr>
                <w:color w:val="auto"/>
                <w:sz w:val="24"/>
              </w:rPr>
            </w:pPr>
            <w:r>
              <w:rPr>
                <w:rFonts w:hint="eastAsia"/>
                <w:color w:val="auto"/>
                <w:sz w:val="24"/>
              </w:rPr>
              <w:t>②供电：本项目用电由当地电网供应，用电量为</w:t>
            </w:r>
            <w:r>
              <w:rPr>
                <w:rFonts w:hint="eastAsia"/>
                <w:color w:val="auto"/>
                <w:sz w:val="24"/>
                <w:lang w:val="en-US" w:eastAsia="zh-CN"/>
              </w:rPr>
              <w:t>5</w:t>
            </w:r>
            <w:r>
              <w:rPr>
                <w:rFonts w:hint="eastAsia"/>
                <w:color w:val="auto"/>
                <w:sz w:val="24"/>
              </w:rPr>
              <w:t>万KWh。</w:t>
            </w:r>
          </w:p>
          <w:p w14:paraId="6602F26B">
            <w:pPr>
              <w:spacing w:line="500" w:lineRule="exact"/>
              <w:ind w:firstLine="480" w:firstLineChars="200"/>
              <w:rPr>
                <w:color w:val="auto"/>
                <w:sz w:val="24"/>
              </w:rPr>
            </w:pPr>
            <w:r>
              <w:rPr>
                <w:rFonts w:hint="eastAsia"/>
                <w:color w:val="auto"/>
                <w:sz w:val="24"/>
              </w:rPr>
              <w:t>③供暖及制冷：本项目</w:t>
            </w:r>
            <w:r>
              <w:rPr>
                <w:color w:val="auto"/>
                <w:sz w:val="24"/>
                <w:szCs w:val="21"/>
              </w:rPr>
              <w:t>生产区不供暖，</w:t>
            </w:r>
            <w:r>
              <w:rPr>
                <w:rFonts w:hint="eastAsia"/>
                <w:color w:val="auto"/>
                <w:sz w:val="24"/>
                <w:szCs w:val="21"/>
              </w:rPr>
              <w:t>办公室</w:t>
            </w:r>
            <w:r>
              <w:rPr>
                <w:color w:val="auto"/>
                <w:sz w:val="24"/>
                <w:szCs w:val="21"/>
              </w:rPr>
              <w:t>采用</w:t>
            </w:r>
            <w:r>
              <w:rPr>
                <w:rFonts w:hint="eastAsia"/>
                <w:color w:val="auto"/>
                <w:sz w:val="24"/>
                <w:szCs w:val="21"/>
              </w:rPr>
              <w:t>分体电</w:t>
            </w:r>
            <w:r>
              <w:rPr>
                <w:color w:val="auto"/>
                <w:sz w:val="24"/>
                <w:szCs w:val="21"/>
              </w:rPr>
              <w:t>空调</w:t>
            </w:r>
            <w:r>
              <w:rPr>
                <w:rFonts w:hint="eastAsia"/>
                <w:color w:val="auto"/>
                <w:sz w:val="24"/>
                <w:szCs w:val="21"/>
              </w:rPr>
              <w:t>采暖及制冷</w:t>
            </w:r>
            <w:r>
              <w:rPr>
                <w:rFonts w:hint="eastAsia"/>
                <w:color w:val="auto"/>
                <w:sz w:val="24"/>
              </w:rPr>
              <w:t>。</w:t>
            </w:r>
          </w:p>
        </w:tc>
      </w:tr>
      <w:tr w14:paraId="60A0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Align w:val="center"/>
          </w:tcPr>
          <w:p w14:paraId="53FBDCD9">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工艺流程和产排污环节</w:t>
            </w:r>
          </w:p>
        </w:tc>
        <w:tc>
          <w:tcPr>
            <w:tcW w:w="4549" w:type="pct"/>
          </w:tcPr>
          <w:p w14:paraId="0287B44D">
            <w:pPr>
              <w:pStyle w:val="6"/>
              <w:spacing w:line="500" w:lineRule="exact"/>
              <w:ind w:firstLine="48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本项目</w:t>
            </w:r>
            <w:r>
              <w:rPr>
                <w:rFonts w:hint="eastAsia" w:ascii="Times New Roman" w:hAnsi="Times New Roman"/>
                <w:color w:val="auto"/>
                <w:sz w:val="24"/>
              </w:rPr>
              <w:t>年集装箱拆、装箱300万吨。</w:t>
            </w:r>
            <w:r>
              <w:rPr>
                <w:rFonts w:hint="eastAsia" w:ascii="Times New Roman" w:hAnsi="Times New Roman" w:eastAsiaTheme="minorEastAsia"/>
                <w:color w:val="auto"/>
                <w:sz w:val="24"/>
                <w:szCs w:val="24"/>
              </w:rPr>
              <w:t>原料为</w:t>
            </w:r>
            <w:r>
              <w:rPr>
                <w:rFonts w:hint="eastAsia" w:ascii="Times New Roman" w:hAnsi="Times New Roman"/>
                <w:color w:val="auto"/>
                <w:sz w:val="24"/>
              </w:rPr>
              <w:t>煤炭、矿石、废钢、钢材等</w:t>
            </w:r>
            <w:r>
              <w:rPr>
                <w:rFonts w:hint="eastAsia" w:ascii="Times New Roman" w:hAnsi="Times New Roman" w:eastAsiaTheme="minorEastAsia"/>
                <w:color w:val="auto"/>
                <w:sz w:val="24"/>
                <w:szCs w:val="24"/>
              </w:rPr>
              <w:t>，生产工艺简述及工艺流程图如下：</w:t>
            </w:r>
          </w:p>
          <w:p w14:paraId="22BF4774">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(1)</w:t>
            </w:r>
            <w:r>
              <w:rPr>
                <w:rFonts w:hint="eastAsia" w:ascii="Times New Roman" w:hAnsi="Times New Roman"/>
                <w:color w:val="auto"/>
                <w:sz w:val="24"/>
                <w:szCs w:val="24"/>
                <w:lang w:eastAsia="zh-CN"/>
              </w:rPr>
              <w:t>原料</w:t>
            </w:r>
            <w:r>
              <w:rPr>
                <w:rFonts w:hint="eastAsia" w:ascii="Times New Roman" w:hAnsi="Times New Roman"/>
                <w:color w:val="auto"/>
                <w:sz w:val="24"/>
                <w:szCs w:val="24"/>
              </w:rPr>
              <w:t>进场</w:t>
            </w:r>
          </w:p>
          <w:p w14:paraId="01284446">
            <w:pPr>
              <w:pStyle w:val="6"/>
              <w:spacing w:line="500" w:lineRule="exact"/>
              <w:ind w:firstLine="480"/>
              <w:rPr>
                <w:rFonts w:hint="eastAsia" w:ascii="Times New Roman" w:hAnsi="Times New Roman" w:eastAsia="宋体"/>
                <w:color w:val="auto"/>
                <w:sz w:val="24"/>
                <w:szCs w:val="24"/>
                <w:lang w:eastAsia="zh-CN"/>
              </w:rPr>
            </w:pPr>
            <w:r>
              <w:rPr>
                <w:rFonts w:hint="eastAsia" w:ascii="Times New Roman" w:hAnsi="Times New Roman"/>
                <w:color w:val="FF0000"/>
                <w:sz w:val="24"/>
                <w:szCs w:val="24"/>
                <w:lang w:eastAsia="zh-CN"/>
              </w:rPr>
              <w:t>煤炭、矿石、废钢原料在集装箱内经</w:t>
            </w:r>
            <w:r>
              <w:rPr>
                <w:rFonts w:hint="eastAsia" w:ascii="Times New Roman" w:hAnsi="Times New Roman"/>
                <w:color w:val="FF0000"/>
                <w:sz w:val="24"/>
                <w:szCs w:val="24"/>
              </w:rPr>
              <w:t>汽车运输至厂区</w:t>
            </w:r>
            <w:r>
              <w:rPr>
                <w:rFonts w:hint="eastAsia" w:ascii="Times New Roman" w:hAnsi="Times New Roman"/>
                <w:color w:val="FF0000"/>
                <w:sz w:val="24"/>
                <w:szCs w:val="24"/>
                <w:lang w:eastAsia="zh-CN"/>
              </w:rPr>
              <w:t>，偶尔采用翻斗式运输车运输至厂区，上方加盖苫布</w:t>
            </w:r>
            <w:r>
              <w:rPr>
                <w:rFonts w:hint="eastAsia" w:ascii="Times New Roman" w:hAnsi="Times New Roman"/>
                <w:color w:val="FF0000"/>
                <w:sz w:val="24"/>
                <w:szCs w:val="24"/>
                <w:highlight w:val="none"/>
              </w:rPr>
              <w:t>，</w:t>
            </w:r>
            <w:r>
              <w:rPr>
                <w:rFonts w:hint="eastAsia" w:ascii="Times New Roman" w:hAnsi="Times New Roman"/>
                <w:color w:val="auto"/>
                <w:sz w:val="24"/>
                <w:szCs w:val="24"/>
              </w:rPr>
              <w:t>汽车进厂后进洗车平台对车辆进行冲洗。</w:t>
            </w:r>
            <w:r>
              <w:rPr>
                <w:rFonts w:hint="eastAsia" w:ascii="Times New Roman" w:hAnsi="Times New Roman"/>
                <w:color w:val="auto"/>
                <w:sz w:val="24"/>
                <w:szCs w:val="24"/>
                <w:lang w:eastAsia="zh-CN"/>
              </w:rPr>
              <w:t>钢材全部储存于集装箱内经汽车运输至厂区。</w:t>
            </w:r>
          </w:p>
          <w:p w14:paraId="51EB524D">
            <w:pPr>
              <w:pStyle w:val="6"/>
              <w:spacing w:line="500" w:lineRule="exact"/>
              <w:ind w:firstLine="482"/>
              <w:rPr>
                <w:rFonts w:ascii="Times New Roman" w:hAnsi="Times New Roman"/>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rPr>
              <w:t>运输车辆冲洗产生的废水；运输车辆产生的噪声</w:t>
            </w:r>
            <w:r>
              <w:rPr>
                <w:rFonts w:hint="eastAsia" w:ascii="Times New Roman" w:hAnsi="Times New Roman"/>
                <w:b/>
                <w:bCs/>
                <w:color w:val="auto"/>
                <w:sz w:val="24"/>
                <w:szCs w:val="24"/>
                <w:lang w:eastAsia="zh-CN"/>
              </w:rPr>
              <w:t>，洗车产生的煤泥</w:t>
            </w:r>
            <w:r>
              <w:rPr>
                <w:rFonts w:ascii="Times New Roman" w:hAnsi="Times New Roman"/>
                <w:b/>
                <w:bCs/>
                <w:color w:val="auto"/>
                <w:sz w:val="24"/>
                <w:szCs w:val="24"/>
              </w:rPr>
              <w:t>。</w:t>
            </w:r>
          </w:p>
          <w:p w14:paraId="70A4A748">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(2)卸料、堆存</w:t>
            </w:r>
          </w:p>
          <w:p w14:paraId="501177A9">
            <w:pPr>
              <w:pStyle w:val="6"/>
              <w:spacing w:line="500" w:lineRule="exact"/>
              <w:ind w:firstLine="480"/>
              <w:rPr>
                <w:rFonts w:ascii="Times New Roman" w:hAnsi="Times New Roman"/>
                <w:color w:val="auto"/>
                <w:sz w:val="24"/>
                <w:szCs w:val="24"/>
              </w:rPr>
            </w:pPr>
            <w:r>
              <w:rPr>
                <w:rFonts w:hint="eastAsia" w:ascii="Times New Roman" w:hAnsi="Times New Roman"/>
                <w:color w:val="FF0000"/>
                <w:sz w:val="24"/>
                <w:szCs w:val="24"/>
              </w:rPr>
              <w:t>汽车经地磅计量后进入</w:t>
            </w:r>
            <w:r>
              <w:rPr>
                <w:rFonts w:hint="eastAsia" w:ascii="Times New Roman" w:hAnsi="Times New Roman"/>
                <w:color w:val="FF0000"/>
                <w:sz w:val="24"/>
                <w:szCs w:val="24"/>
                <w:lang w:eastAsia="zh-CN"/>
              </w:rPr>
              <w:t>厂房</w:t>
            </w:r>
            <w:r>
              <w:rPr>
                <w:rFonts w:hint="eastAsia" w:ascii="Times New Roman" w:hAnsi="Times New Roman"/>
                <w:color w:val="FF0000"/>
                <w:sz w:val="24"/>
                <w:szCs w:val="24"/>
              </w:rPr>
              <w:t>内，</w:t>
            </w:r>
            <w:r>
              <w:rPr>
                <w:rFonts w:hint="eastAsia" w:ascii="Times New Roman" w:hAnsi="Times New Roman"/>
                <w:color w:val="FF0000"/>
                <w:sz w:val="24"/>
                <w:szCs w:val="24"/>
                <w:lang w:eastAsia="zh-CN"/>
              </w:rPr>
              <w:t>将集装箱门打开，装载机经登车平台进入集装箱，</w:t>
            </w:r>
            <w:r>
              <w:rPr>
                <w:rFonts w:hint="eastAsia" w:ascii="Times New Roman" w:hAnsi="Times New Roman"/>
                <w:color w:val="FF0000"/>
                <w:sz w:val="24"/>
                <w:szCs w:val="24"/>
              </w:rPr>
              <w:t>将</w:t>
            </w:r>
            <w:r>
              <w:rPr>
                <w:rFonts w:hint="eastAsia" w:ascii="Times New Roman" w:hAnsi="Times New Roman"/>
                <w:color w:val="FF0000"/>
                <w:sz w:val="24"/>
                <w:szCs w:val="24"/>
                <w:lang w:eastAsia="zh-CN"/>
              </w:rPr>
              <w:t>原料转运至厂房</w:t>
            </w:r>
            <w:r>
              <w:rPr>
                <w:rFonts w:hint="eastAsia" w:ascii="Times New Roman" w:hAnsi="Times New Roman"/>
                <w:color w:val="FF0000"/>
                <w:sz w:val="24"/>
                <w:szCs w:val="24"/>
              </w:rPr>
              <w:t>地面上，</w:t>
            </w:r>
            <w:r>
              <w:rPr>
                <w:rFonts w:hint="eastAsia" w:ascii="Times New Roman" w:hAnsi="Times New Roman"/>
                <w:color w:val="FF0000"/>
                <w:sz w:val="24"/>
                <w:szCs w:val="24"/>
                <w:lang w:eastAsia="zh-CN"/>
              </w:rPr>
              <w:t>若物料采用翻斗车运输，则车辆直接进入厂房内后，将物料卸至堆存区；钢材直接经天门吊卸至厂区露天堆场，卸料</w:t>
            </w:r>
            <w:r>
              <w:rPr>
                <w:rFonts w:hint="eastAsia" w:ascii="Times New Roman" w:hAnsi="Times New Roman"/>
                <w:color w:val="FF0000"/>
                <w:sz w:val="24"/>
                <w:szCs w:val="24"/>
              </w:rPr>
              <w:t>结束后，采用装载机将</w:t>
            </w:r>
            <w:r>
              <w:rPr>
                <w:rFonts w:hint="eastAsia" w:ascii="Times New Roman" w:hAnsi="Times New Roman"/>
                <w:color w:val="FF0000"/>
                <w:sz w:val="24"/>
                <w:szCs w:val="24"/>
                <w:lang w:eastAsia="zh-CN"/>
              </w:rPr>
              <w:t>原料</w:t>
            </w:r>
            <w:r>
              <w:rPr>
                <w:rFonts w:hint="eastAsia" w:ascii="Times New Roman" w:hAnsi="Times New Roman"/>
                <w:color w:val="FF0000"/>
                <w:sz w:val="24"/>
                <w:szCs w:val="24"/>
              </w:rPr>
              <w:t>进行</w:t>
            </w:r>
            <w:r>
              <w:rPr>
                <w:rFonts w:hint="eastAsia" w:ascii="Times New Roman" w:hAnsi="Times New Roman"/>
                <w:color w:val="FF0000"/>
                <w:sz w:val="24"/>
                <w:szCs w:val="24"/>
                <w:lang w:eastAsia="zh-CN"/>
              </w:rPr>
              <w:t>分类</w:t>
            </w:r>
            <w:r>
              <w:rPr>
                <w:rFonts w:hint="eastAsia" w:ascii="Times New Roman" w:hAnsi="Times New Roman"/>
                <w:color w:val="FF0000"/>
                <w:sz w:val="24"/>
                <w:szCs w:val="24"/>
              </w:rPr>
              <w:t>堆存。</w:t>
            </w:r>
          </w:p>
          <w:p w14:paraId="778CD8B6">
            <w:pPr>
              <w:spacing w:line="500" w:lineRule="exact"/>
              <w:ind w:firstLine="480" w:firstLineChars="200"/>
              <w:rPr>
                <w:rFonts w:hint="eastAsia"/>
                <w:color w:val="auto"/>
                <w:sz w:val="24"/>
              </w:rPr>
            </w:pPr>
          </w:p>
        </w:tc>
      </w:tr>
      <w:tr w14:paraId="15A1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3" w:hRule="atLeast"/>
        </w:trPr>
        <w:tc>
          <w:tcPr>
            <w:tcW w:w="450" w:type="pct"/>
            <w:vAlign w:val="center"/>
          </w:tcPr>
          <w:p w14:paraId="3DE73B1F">
            <w:pPr>
              <w:pStyle w:val="6"/>
              <w:ind w:firstLine="0" w:firstLineChars="0"/>
              <w:jc w:val="center"/>
              <w:rPr>
                <w:rFonts w:asciiTheme="minorEastAsia" w:hAnsiTheme="minorEastAsia" w:eastAsiaTheme="minorEastAsia"/>
                <w:color w:val="auto"/>
                <w:sz w:val="24"/>
                <w:szCs w:val="24"/>
              </w:rPr>
            </w:pPr>
          </w:p>
        </w:tc>
        <w:tc>
          <w:tcPr>
            <w:tcW w:w="4549" w:type="pct"/>
          </w:tcPr>
          <w:p w14:paraId="370C1752">
            <w:pPr>
              <w:pStyle w:val="6"/>
              <w:spacing w:line="500" w:lineRule="exact"/>
              <w:ind w:firstLine="482"/>
              <w:rPr>
                <w:rFonts w:ascii="Times New Roman" w:hAnsi="Times New Roman"/>
                <w:b/>
                <w:bCs/>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lang w:eastAsia="zh-CN"/>
              </w:rPr>
              <w:t>原料</w:t>
            </w:r>
            <w:r>
              <w:rPr>
                <w:rFonts w:hint="eastAsia" w:ascii="Times New Roman" w:hAnsi="Times New Roman"/>
                <w:b/>
                <w:bCs/>
                <w:color w:val="auto"/>
                <w:sz w:val="24"/>
                <w:szCs w:val="24"/>
              </w:rPr>
              <w:t>卸料、堆存废气；装载机、运输车辆运行时产生的噪声</w:t>
            </w:r>
            <w:r>
              <w:rPr>
                <w:rFonts w:hint="eastAsia" w:ascii="Times New Roman" w:hAnsi="Times New Roman"/>
                <w:b/>
                <w:bCs/>
                <w:color w:val="auto"/>
                <w:sz w:val="24"/>
              </w:rPr>
              <w:t>。</w:t>
            </w:r>
          </w:p>
          <w:p w14:paraId="009BE94C">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(3)</w:t>
            </w:r>
            <w:r>
              <w:rPr>
                <w:rFonts w:hint="eastAsia" w:ascii="Times New Roman" w:hAnsi="Times New Roman"/>
                <w:bCs/>
                <w:color w:val="auto"/>
                <w:sz w:val="24"/>
              </w:rPr>
              <w:t>装车外售</w:t>
            </w:r>
          </w:p>
          <w:p w14:paraId="79BD8AF6">
            <w:pPr>
              <w:pStyle w:val="6"/>
              <w:spacing w:line="500" w:lineRule="exact"/>
              <w:ind w:firstLine="480"/>
              <w:rPr>
                <w:rFonts w:ascii="Times New Roman" w:hAnsi="Times New Roman"/>
                <w:color w:val="auto"/>
                <w:sz w:val="24"/>
                <w:szCs w:val="24"/>
              </w:rPr>
            </w:pPr>
            <w:r>
              <w:rPr>
                <w:rFonts w:hint="eastAsia" w:ascii="Times New Roman" w:hAnsi="Times New Roman"/>
                <w:color w:val="auto"/>
                <w:sz w:val="24"/>
                <w:szCs w:val="24"/>
              </w:rPr>
              <w:t>根据订单数量，由装载机</w:t>
            </w:r>
            <w:r>
              <w:rPr>
                <w:rFonts w:hint="eastAsia" w:ascii="Times New Roman" w:hAnsi="Times New Roman"/>
                <w:color w:val="auto"/>
                <w:sz w:val="24"/>
                <w:szCs w:val="24"/>
                <w:lang w:eastAsia="zh-CN"/>
              </w:rPr>
              <w:t>通过登车平台</w:t>
            </w:r>
            <w:r>
              <w:rPr>
                <w:rFonts w:hint="eastAsia" w:ascii="Times New Roman" w:hAnsi="Times New Roman"/>
                <w:color w:val="auto"/>
                <w:sz w:val="24"/>
                <w:szCs w:val="24"/>
              </w:rPr>
              <w:t>将</w:t>
            </w:r>
            <w:r>
              <w:rPr>
                <w:rFonts w:hint="eastAsia" w:ascii="Times New Roman" w:hAnsi="Times New Roman"/>
                <w:color w:val="auto"/>
                <w:sz w:val="24"/>
                <w:szCs w:val="24"/>
                <w:lang w:eastAsia="zh-CN"/>
              </w:rPr>
              <w:t>各原料</w:t>
            </w:r>
            <w:r>
              <w:rPr>
                <w:rFonts w:hint="eastAsia" w:ascii="Times New Roman" w:hAnsi="Times New Roman"/>
                <w:color w:val="auto"/>
                <w:sz w:val="24"/>
                <w:szCs w:val="24"/>
              </w:rPr>
              <w:t>装入运输车辆</w:t>
            </w:r>
            <w:r>
              <w:rPr>
                <w:rFonts w:hint="eastAsia" w:ascii="Times New Roman" w:hAnsi="Times New Roman"/>
                <w:color w:val="auto"/>
                <w:sz w:val="24"/>
                <w:szCs w:val="24"/>
                <w:lang w:eastAsia="zh-CN"/>
              </w:rPr>
              <w:t>集装箱内</w:t>
            </w:r>
            <w:r>
              <w:rPr>
                <w:rFonts w:hint="eastAsia" w:ascii="Times New Roman" w:hAnsi="Times New Roman"/>
                <w:color w:val="auto"/>
                <w:sz w:val="24"/>
                <w:szCs w:val="24"/>
              </w:rPr>
              <w:t>，</w:t>
            </w:r>
            <w:r>
              <w:rPr>
                <w:rFonts w:hint="eastAsia" w:ascii="Times New Roman" w:hAnsi="Times New Roman"/>
                <w:color w:val="auto"/>
                <w:sz w:val="24"/>
                <w:szCs w:val="24"/>
                <w:lang w:eastAsia="zh-CN"/>
              </w:rPr>
              <w:t>钢材经天门吊装入集装箱内，</w:t>
            </w:r>
            <w:r>
              <w:rPr>
                <w:rFonts w:hint="eastAsia" w:ascii="Times New Roman" w:hAnsi="Times New Roman"/>
                <w:color w:val="auto"/>
                <w:sz w:val="24"/>
                <w:szCs w:val="24"/>
              </w:rPr>
              <w:t>装车完成经地磅计量后进洗车平台对车辆进行冲洗出厂。</w:t>
            </w:r>
          </w:p>
          <w:p w14:paraId="1487D6F5">
            <w:pPr>
              <w:pStyle w:val="6"/>
              <w:spacing w:line="500" w:lineRule="exact"/>
              <w:ind w:firstLine="482"/>
              <w:rPr>
                <w:rFonts w:ascii="Times New Roman" w:hAnsi="Times New Roman"/>
                <w:color w:val="auto"/>
                <w:sz w:val="24"/>
                <w:szCs w:val="24"/>
              </w:rPr>
            </w:pPr>
            <w:r>
              <w:rPr>
                <w:rFonts w:ascii="Times New Roman" w:hAnsi="Times New Roman"/>
                <w:b/>
                <w:bCs/>
                <w:color w:val="auto"/>
                <w:sz w:val="24"/>
                <w:szCs w:val="24"/>
              </w:rPr>
              <w:t>产排污节点：</w:t>
            </w:r>
            <w:r>
              <w:rPr>
                <w:rFonts w:hint="eastAsia" w:ascii="Times New Roman" w:hAnsi="Times New Roman"/>
                <w:b/>
                <w:bCs/>
                <w:color w:val="auto"/>
                <w:sz w:val="24"/>
                <w:szCs w:val="24"/>
              </w:rPr>
              <w:t>装车时产生的废气；装载机、运输车辆运行时产生的噪声；运输车辆冲洗产生的废水</w:t>
            </w:r>
            <w:r>
              <w:rPr>
                <w:rFonts w:ascii="Times New Roman" w:hAnsi="Times New Roman"/>
                <w:b/>
                <w:bCs/>
                <w:color w:val="auto"/>
                <w:sz w:val="24"/>
                <w:szCs w:val="24"/>
              </w:rPr>
              <w:t>。</w:t>
            </w:r>
          </w:p>
          <w:p w14:paraId="5E78559E">
            <w:pPr>
              <w:pStyle w:val="6"/>
              <w:spacing w:line="500" w:lineRule="exact"/>
              <w:ind w:firstLine="480"/>
              <w:rPr>
                <w:rFonts w:hint="eastAsia" w:ascii="Times New Roman" w:hAnsi="Times New Roman"/>
                <w:color w:val="auto"/>
                <w:sz w:val="24"/>
                <w:szCs w:val="24"/>
              </w:rPr>
            </w:pPr>
            <w:r>
              <w:rPr>
                <w:rFonts w:hint="eastAsia" w:ascii="Times New Roman" w:hAnsi="Times New Roman"/>
                <w:color w:val="auto"/>
                <w:sz w:val="24"/>
                <w:szCs w:val="24"/>
              </w:rPr>
              <w:t>本项目工艺流程及产污节点见下图。</w:t>
            </w:r>
          </w:p>
          <w:p w14:paraId="0F29EC3A">
            <w:pPr>
              <w:rPr>
                <w:rFonts w:hint="eastAsia" w:ascii="Times New Roman" w:hAnsi="Times New Roman"/>
                <w:color w:val="auto"/>
                <w:sz w:val="24"/>
                <w:szCs w:val="24"/>
              </w:rPr>
            </w:pPr>
          </w:p>
          <w:p w14:paraId="446930C6">
            <w:pPr>
              <w:pStyle w:val="6"/>
              <w:spacing w:line="240" w:lineRule="auto"/>
              <w:ind w:firstLine="480"/>
              <w:rPr>
                <w:color w:val="auto"/>
                <w:sz w:val="24"/>
              </w:rPr>
            </w:pPr>
            <w:r>
              <w:rPr>
                <w:rFonts w:hint="eastAsia"/>
                <w:color w:val="auto"/>
                <w:sz w:val="24"/>
              </w:rPr>
              <w:pict>
                <v:shape id="_x0000_s2069" o:spid="_x0000_s2069" o:spt="75" type="#_x0000_t75" style="position:absolute;left:0pt;margin-left:86.7pt;margin-top:2.55pt;height:256.65pt;width:215pt;mso-wrap-distance-bottom:0pt;mso-wrap-distance-left:9pt;mso-wrap-distance-right:9pt;mso-wrap-distance-top:0pt;z-index:251664384;mso-width-relative:page;mso-height-relative:page;" o:ole="t" filled="f" o:preferrelative="t" stroked="f" coordsize="21600,21600">
                  <v:path/>
                  <v:fill on="f" focussize="0,0"/>
                  <v:stroke on="f"/>
                  <v:imagedata r:id="rId21" o:title=""/>
                  <o:lock v:ext="edit" aspectratio="f"/>
                  <w10:wrap type="square"/>
                </v:shape>
                <o:OLEObject Type="Embed" ProgID="Visio.Drawing.11" ShapeID="_x0000_s2069" DrawAspect="Content" ObjectID="_1468075730" r:id="rId20">
                  <o:LockedField>false</o:LockedField>
                </o:OLEObject>
              </w:pict>
            </w:r>
          </w:p>
          <w:p w14:paraId="2CA35864">
            <w:pPr>
              <w:keepNext/>
              <w:keepLines/>
              <w:spacing w:line="500" w:lineRule="exact"/>
              <w:jc w:val="center"/>
              <w:rPr>
                <w:b/>
                <w:color w:val="auto"/>
                <w:sz w:val="24"/>
              </w:rPr>
            </w:pPr>
          </w:p>
          <w:p w14:paraId="4C104021">
            <w:pPr>
              <w:keepNext/>
              <w:keepLines/>
              <w:spacing w:line="500" w:lineRule="exact"/>
              <w:jc w:val="center"/>
              <w:rPr>
                <w:b/>
                <w:color w:val="auto"/>
                <w:sz w:val="24"/>
              </w:rPr>
            </w:pPr>
          </w:p>
          <w:p w14:paraId="544C6E1F">
            <w:pPr>
              <w:keepNext/>
              <w:keepLines/>
              <w:spacing w:line="500" w:lineRule="exact"/>
              <w:jc w:val="center"/>
              <w:rPr>
                <w:b/>
                <w:color w:val="auto"/>
                <w:sz w:val="24"/>
              </w:rPr>
            </w:pPr>
          </w:p>
          <w:p w14:paraId="44CD3D46">
            <w:pPr>
              <w:keepNext/>
              <w:keepLines/>
              <w:spacing w:line="500" w:lineRule="exact"/>
              <w:jc w:val="center"/>
              <w:rPr>
                <w:b/>
                <w:color w:val="auto"/>
                <w:sz w:val="24"/>
              </w:rPr>
            </w:pPr>
          </w:p>
          <w:p w14:paraId="21A2121F">
            <w:pPr>
              <w:keepNext/>
              <w:keepLines/>
              <w:spacing w:line="500" w:lineRule="exact"/>
              <w:jc w:val="center"/>
              <w:rPr>
                <w:b/>
                <w:color w:val="auto"/>
                <w:sz w:val="24"/>
              </w:rPr>
            </w:pPr>
          </w:p>
          <w:p w14:paraId="242F81EF">
            <w:pPr>
              <w:keepNext/>
              <w:keepLines/>
              <w:spacing w:line="500" w:lineRule="exact"/>
              <w:jc w:val="center"/>
              <w:rPr>
                <w:b/>
                <w:color w:val="auto"/>
                <w:sz w:val="24"/>
              </w:rPr>
            </w:pPr>
          </w:p>
          <w:p w14:paraId="252AA0DF">
            <w:pPr>
              <w:keepNext/>
              <w:keepLines/>
              <w:spacing w:line="500" w:lineRule="exact"/>
              <w:jc w:val="center"/>
              <w:rPr>
                <w:b/>
                <w:color w:val="auto"/>
                <w:sz w:val="24"/>
              </w:rPr>
            </w:pPr>
          </w:p>
          <w:p w14:paraId="7B9A23FD">
            <w:pPr>
              <w:keepNext/>
              <w:keepLines/>
              <w:spacing w:line="500" w:lineRule="exact"/>
              <w:jc w:val="center"/>
              <w:rPr>
                <w:b/>
                <w:color w:val="auto"/>
                <w:sz w:val="24"/>
              </w:rPr>
            </w:pPr>
          </w:p>
          <w:p w14:paraId="376DFFF6">
            <w:pPr>
              <w:keepNext/>
              <w:keepLines/>
              <w:spacing w:line="500" w:lineRule="exact"/>
              <w:jc w:val="center"/>
              <w:rPr>
                <w:b/>
                <w:color w:val="auto"/>
                <w:sz w:val="24"/>
              </w:rPr>
            </w:pPr>
          </w:p>
          <w:p w14:paraId="19ADF8C5">
            <w:pPr>
              <w:keepNext/>
              <w:keepLines/>
              <w:spacing w:line="500" w:lineRule="exact"/>
              <w:jc w:val="center"/>
              <w:rPr>
                <w:b/>
                <w:color w:val="auto"/>
                <w:sz w:val="24"/>
              </w:rPr>
            </w:pPr>
          </w:p>
          <w:p w14:paraId="26D78BD4">
            <w:pPr>
              <w:pStyle w:val="5"/>
              <w:spacing w:before="0" w:after="0" w:line="500" w:lineRule="exact"/>
              <w:jc w:val="center"/>
              <w:rPr>
                <w:rFonts w:hint="default" w:ascii="Times New Roman" w:hAnsi="Times New Roman" w:cs="Times New Roman" w:eastAsiaTheme="minorEastAsia"/>
                <w:b w:val="0"/>
                <w:color w:val="auto"/>
                <w:sz w:val="24"/>
              </w:rPr>
            </w:pPr>
            <w:r>
              <w:rPr>
                <w:rFonts w:hint="default" w:ascii="Times New Roman" w:hAnsi="Times New Roman" w:cs="Times New Roman"/>
                <w:b/>
                <w:bCs/>
                <w:color w:val="auto"/>
                <w:sz w:val="24"/>
              </w:rPr>
              <w:t>图</w:t>
            </w:r>
            <w:r>
              <w:rPr>
                <w:rFonts w:hint="default" w:ascii="Times New Roman" w:hAnsi="Times New Roman" w:cs="Times New Roman"/>
                <w:b/>
                <w:bCs/>
                <w:color w:val="auto"/>
                <w:sz w:val="24"/>
                <w:lang w:val="en-US" w:eastAsia="zh-CN"/>
              </w:rPr>
              <w:t>6</w:t>
            </w:r>
            <w:r>
              <w:rPr>
                <w:rFonts w:hint="default" w:ascii="Times New Roman" w:hAnsi="Times New Roman" w:cs="Times New Roman"/>
                <w:b/>
                <w:bCs/>
                <w:color w:val="auto"/>
                <w:sz w:val="24"/>
              </w:rPr>
              <w:t xml:space="preserve">    煤炭、矿石、</w:t>
            </w:r>
            <w:r>
              <w:rPr>
                <w:rFonts w:hint="default" w:ascii="Times New Roman" w:hAnsi="Times New Roman" w:cs="Times New Roman"/>
                <w:b/>
                <w:bCs/>
                <w:color w:val="auto"/>
                <w:sz w:val="24"/>
                <w:lang w:val="en-US" w:eastAsia="zh-CN"/>
              </w:rPr>
              <w:t>废钢</w:t>
            </w:r>
            <w:r>
              <w:rPr>
                <w:rFonts w:hint="default" w:ascii="Times New Roman" w:hAnsi="Times New Roman" w:cs="Times New Roman"/>
                <w:b/>
                <w:bCs/>
                <w:color w:val="auto"/>
                <w:sz w:val="24"/>
              </w:rPr>
              <w:t>仓储工艺流程及排污节点图</w:t>
            </w:r>
          </w:p>
          <w:p w14:paraId="7D7ED02D">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7C80043F">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452D8C91">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91E3920">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06B2882">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1EA3231E">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0054EF28">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64D783B0">
            <w:pPr>
              <w:rPr>
                <w:rFonts w:hint="default" w:ascii="Times New Roman" w:hAnsi="Times New Roman" w:cs="Times New Roman" w:eastAsiaTheme="minorEastAsia"/>
                <w:b w:val="0"/>
                <w:color w:val="auto"/>
                <w:sz w:val="24"/>
              </w:rPr>
            </w:pPr>
          </w:p>
          <w:p w14:paraId="24BF3B8F">
            <w:pPr>
              <w:rPr>
                <w:rFonts w:hint="default" w:ascii="Times New Roman" w:hAnsi="Times New Roman" w:cs="Times New Roman" w:eastAsiaTheme="minorEastAsia"/>
                <w:b w:val="0"/>
                <w:color w:val="auto"/>
                <w:sz w:val="24"/>
              </w:rPr>
            </w:pPr>
          </w:p>
          <w:p w14:paraId="0D65A71B">
            <w:pPr>
              <w:rPr>
                <w:rFonts w:hint="default" w:ascii="Times New Roman" w:hAnsi="Times New Roman" w:cs="Times New Roman" w:eastAsiaTheme="minorEastAsia"/>
                <w:b w:val="0"/>
                <w:color w:val="auto"/>
                <w:sz w:val="24"/>
              </w:rPr>
            </w:pPr>
          </w:p>
          <w:p w14:paraId="77B3BC76">
            <w:pPr>
              <w:rPr>
                <w:rFonts w:hint="default" w:ascii="Times New Roman" w:hAnsi="Times New Roman" w:cs="Times New Roman" w:eastAsiaTheme="minorEastAsia"/>
                <w:b w:val="0"/>
                <w:color w:val="auto"/>
                <w:sz w:val="24"/>
              </w:rPr>
            </w:pPr>
          </w:p>
          <w:p w14:paraId="4C3F8615">
            <w:pPr>
              <w:rPr>
                <w:rFonts w:hint="default" w:ascii="Times New Roman" w:hAnsi="Times New Roman" w:cs="Times New Roman" w:eastAsiaTheme="minorEastAsia"/>
                <w:b w:val="0"/>
                <w:color w:val="auto"/>
                <w:sz w:val="24"/>
              </w:rPr>
            </w:pPr>
            <w:r>
              <w:rPr>
                <w:rFonts w:hint="default" w:ascii="Times New Roman" w:hAnsi="Times New Roman" w:cs="Times New Roman"/>
                <w:color w:val="auto"/>
                <w:sz w:val="24"/>
              </w:rPr>
              <w:pict>
                <v:shape id="_x0000_s2070" o:spid="_x0000_s2070" o:spt="75" type="#_x0000_t75" style="position:absolute;left:0pt;margin-left:126.55pt;margin-top:-650.8pt;height:205.6pt;width:193.9pt;mso-wrap-distance-bottom:0pt;mso-wrap-distance-left:9pt;mso-wrap-distance-right:9pt;mso-wrap-distance-top:0pt;z-index:251665408;mso-width-relative:page;mso-height-relative:page;" o:ole="t" filled="f" o:preferrelative="t" stroked="f" coordsize="21600,21600">
                  <v:path/>
                  <v:fill on="f" focussize="0,0"/>
                  <v:stroke on="f"/>
                  <v:imagedata r:id="rId23" o:title=""/>
                  <o:lock v:ext="edit" aspectratio="f"/>
                  <w10:wrap type="square"/>
                </v:shape>
                <o:OLEObject Type="Embed" ProgID="Visio.Drawing.11" ShapeID="_x0000_s2070" DrawAspect="Content" ObjectID="_1468075731" r:id="rId22">
                  <o:LockedField>false</o:LockedField>
                </o:OLEObject>
              </w:pict>
            </w:r>
          </w:p>
          <w:p w14:paraId="296FA524">
            <w:pPr>
              <w:rPr>
                <w:rFonts w:hint="default" w:ascii="Times New Roman" w:hAnsi="Times New Roman" w:cs="Times New Roman" w:eastAsiaTheme="minorEastAsia"/>
                <w:b w:val="0"/>
                <w:color w:val="auto"/>
                <w:sz w:val="24"/>
              </w:rPr>
            </w:pPr>
          </w:p>
          <w:p w14:paraId="301AAC60">
            <w:pPr>
              <w:rPr>
                <w:rFonts w:hint="default" w:ascii="Times New Roman" w:hAnsi="Times New Roman" w:cs="Times New Roman" w:eastAsiaTheme="minorEastAsia"/>
                <w:b w:val="0"/>
                <w:color w:val="auto"/>
                <w:sz w:val="24"/>
              </w:rPr>
            </w:pPr>
          </w:p>
          <w:p w14:paraId="217354E8">
            <w:pPr>
              <w:rPr>
                <w:rFonts w:hint="default" w:ascii="Times New Roman" w:hAnsi="Times New Roman" w:cs="Times New Roman" w:eastAsiaTheme="minorEastAsia"/>
                <w:b w:val="0"/>
                <w:color w:val="auto"/>
                <w:sz w:val="24"/>
              </w:rPr>
            </w:pPr>
          </w:p>
          <w:p w14:paraId="0C6A4BC8">
            <w:pPr>
              <w:rPr>
                <w:rFonts w:hint="default" w:ascii="Times New Roman" w:hAnsi="Times New Roman" w:cs="Times New Roman" w:eastAsiaTheme="minorEastAsia"/>
                <w:b w:val="0"/>
                <w:color w:val="auto"/>
                <w:sz w:val="24"/>
              </w:rPr>
            </w:pPr>
          </w:p>
          <w:p w14:paraId="1C7D0840">
            <w:pPr>
              <w:rPr>
                <w:rFonts w:hint="default" w:ascii="Times New Roman" w:hAnsi="Times New Roman" w:cs="Times New Roman" w:eastAsiaTheme="minorEastAsia"/>
                <w:b w:val="0"/>
                <w:color w:val="auto"/>
                <w:sz w:val="24"/>
              </w:rPr>
            </w:pPr>
          </w:p>
          <w:p w14:paraId="3E7028F9">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811F6E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328672DE">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8AA82FD">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18560B92">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357F4E1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27B3557A">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45ECE4AC">
            <w:pPr>
              <w:pStyle w:val="5"/>
              <w:spacing w:before="0" w:after="0" w:line="240" w:lineRule="auto"/>
              <w:ind w:firstLine="480" w:firstLineChars="200"/>
              <w:rPr>
                <w:rFonts w:hint="default" w:ascii="Times New Roman" w:hAnsi="Times New Roman" w:cs="Times New Roman" w:eastAsiaTheme="minorEastAsia"/>
                <w:b w:val="0"/>
                <w:color w:val="auto"/>
                <w:sz w:val="24"/>
              </w:rPr>
            </w:pPr>
          </w:p>
          <w:p w14:paraId="63253C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pacing w:val="10"/>
                <w:sz w:val="24"/>
              </w:rPr>
            </w:pPr>
            <w:r>
              <w:rPr>
                <w:rFonts w:hint="default" w:ascii="Times New Roman" w:hAnsi="Times New Roman" w:cs="Times New Roman"/>
                <w:b/>
                <w:bCs/>
                <w:color w:val="auto"/>
                <w:sz w:val="24"/>
              </w:rPr>
              <w:t>图</w:t>
            </w:r>
            <w:r>
              <w:rPr>
                <w:rFonts w:hint="default" w:ascii="Times New Roman" w:hAnsi="Times New Roman" w:cs="Times New Roman"/>
                <w:b/>
                <w:bCs/>
                <w:color w:val="auto"/>
                <w:sz w:val="24"/>
                <w:lang w:val="en-US" w:eastAsia="zh-CN"/>
              </w:rPr>
              <w:t>7</w:t>
            </w:r>
            <w:r>
              <w:rPr>
                <w:rFonts w:hint="default" w:ascii="Times New Roman" w:hAnsi="Times New Roman" w:cs="Times New Roman"/>
                <w:b/>
                <w:bCs/>
                <w:color w:val="auto"/>
                <w:sz w:val="24"/>
              </w:rPr>
              <w:t xml:space="preserve">  钢</w:t>
            </w:r>
            <w:r>
              <w:rPr>
                <w:rFonts w:hint="eastAsia" w:cs="Times New Roman"/>
                <w:b/>
                <w:bCs/>
                <w:color w:val="auto"/>
                <w:sz w:val="24"/>
                <w:lang w:eastAsia="zh-CN"/>
              </w:rPr>
              <w:t>材</w:t>
            </w:r>
            <w:r>
              <w:rPr>
                <w:rFonts w:hint="default" w:ascii="Times New Roman" w:hAnsi="Times New Roman" w:cs="Times New Roman"/>
                <w:b/>
                <w:bCs/>
                <w:color w:val="auto"/>
                <w:sz w:val="24"/>
              </w:rPr>
              <w:t>仓储工艺流程及排污节点图</w:t>
            </w:r>
          </w:p>
          <w:p w14:paraId="7CDBFA71">
            <w:pPr>
              <w:pStyle w:val="5"/>
              <w:spacing w:before="0" w:after="0" w:line="240" w:lineRule="auto"/>
              <w:ind w:firstLine="480" w:firstLineChars="200"/>
              <w:rPr>
                <w:rFonts w:hint="eastAsia" w:ascii="Times New Roman" w:hAnsi="Times New Roman" w:eastAsiaTheme="minorEastAsia"/>
                <w:b w:val="0"/>
                <w:color w:val="auto"/>
                <w:sz w:val="24"/>
              </w:rPr>
            </w:pPr>
          </w:p>
          <w:p w14:paraId="1915607A">
            <w:pPr>
              <w:pStyle w:val="5"/>
              <w:spacing w:before="0" w:after="0" w:line="240" w:lineRule="auto"/>
              <w:ind w:firstLine="480" w:firstLineChars="200"/>
              <w:rPr>
                <w:rFonts w:hint="eastAsia" w:ascii="Times New Roman" w:hAnsi="Times New Roman" w:eastAsiaTheme="minorEastAsia"/>
                <w:b w:val="0"/>
                <w:color w:val="auto"/>
                <w:sz w:val="24"/>
                <w:lang w:val="en-US" w:eastAsia="zh-CN"/>
              </w:rPr>
            </w:pPr>
            <w:r>
              <w:rPr>
                <w:rFonts w:hint="eastAsia" w:ascii="Times New Roman" w:hAnsi="Times New Roman" w:eastAsiaTheme="minorEastAsia"/>
                <w:b w:val="0"/>
                <w:color w:val="auto"/>
                <w:sz w:val="24"/>
              </w:rPr>
              <w:t>本项目产污节点及治理设施一览表见下表。</w:t>
            </w:r>
          </w:p>
          <w:p w14:paraId="68C45C60">
            <w:pPr>
              <w:pStyle w:val="5"/>
              <w:numPr>
                <w:ilvl w:val="0"/>
                <w:numId w:val="0"/>
              </w:numPr>
              <w:tabs>
                <w:tab w:val="left" w:pos="0"/>
              </w:tabs>
              <w:spacing w:before="0" w:after="0" w:line="500" w:lineRule="exact"/>
              <w:ind w:left="3373" w:leftChars="0" w:hanging="3373" w:hangingChars="1400"/>
              <w:jc w:val="center"/>
              <w:rPr>
                <w:rFonts w:ascii="Times New Roman" w:hAnsi="Times New Roman"/>
                <w:color w:val="auto"/>
                <w:sz w:val="24"/>
              </w:rPr>
            </w:pPr>
            <w:r>
              <w:rPr>
                <w:rFonts w:hint="default" w:ascii="Times New Roman" w:hAnsi="Times New Roman" w:eastAsiaTheme="majorEastAsia" w:cstheme="majorBidi"/>
                <w:b/>
                <w:bCs/>
                <w:color w:val="auto"/>
                <w:kern w:val="2"/>
                <w:sz w:val="24"/>
                <w:szCs w:val="28"/>
                <w:lang w:val="en-US" w:eastAsia="zh-CN" w:bidi="ar-SA"/>
              </w:rPr>
              <w:t>表</w:t>
            </w:r>
            <w:r>
              <w:rPr>
                <w:rFonts w:hint="eastAsia" w:ascii="Times New Roman" w:hAnsi="Times New Roman" w:cstheme="majorBidi"/>
                <w:b/>
                <w:bCs/>
                <w:color w:val="auto"/>
                <w:kern w:val="2"/>
                <w:sz w:val="24"/>
                <w:szCs w:val="28"/>
                <w:lang w:val="en-US" w:eastAsia="zh-CN" w:bidi="ar-SA"/>
              </w:rPr>
              <w:t xml:space="preserve">12  </w:t>
            </w:r>
            <w:r>
              <w:rPr>
                <w:rFonts w:hint="eastAsia" w:ascii="Times New Roman" w:hAnsi="Times New Roman"/>
                <w:color w:val="auto"/>
                <w:sz w:val="24"/>
              </w:rPr>
              <w:t xml:space="preserve"> 本项目产污节点及治理设施一览表</w:t>
            </w:r>
          </w:p>
          <w:tbl>
            <w:tblPr>
              <w:tblStyle w:val="23"/>
              <w:tblW w:w="4993"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179"/>
              <w:gridCol w:w="1527"/>
              <w:gridCol w:w="1261"/>
              <w:gridCol w:w="3344"/>
            </w:tblGrid>
            <w:tr w14:paraId="413FEB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539" w:type="pct"/>
                  <w:tcBorders>
                    <w:top w:val="single" w:color="000000" w:sz="12" w:space="0"/>
                    <w:left w:val="single" w:color="000000" w:sz="12" w:space="0"/>
                    <w:bottom w:val="single" w:color="000000" w:sz="4" w:space="0"/>
                    <w:right w:val="single" w:color="000000" w:sz="4" w:space="0"/>
                  </w:tcBorders>
                  <w:vAlign w:val="center"/>
                </w:tcPr>
                <w:p w14:paraId="5B561014">
                  <w:pPr>
                    <w:pStyle w:val="33"/>
                    <w:spacing w:line="320" w:lineRule="exact"/>
                    <w:jc w:val="center"/>
                    <w:rPr>
                      <w:b/>
                      <w:color w:val="auto"/>
                      <w:spacing w:val="-4"/>
                      <w:szCs w:val="21"/>
                    </w:rPr>
                  </w:pPr>
                  <w:r>
                    <w:rPr>
                      <w:b/>
                      <w:color w:val="auto"/>
                      <w:spacing w:val="-4"/>
                      <w:szCs w:val="21"/>
                    </w:rPr>
                    <w:t>类别</w:t>
                  </w:r>
                </w:p>
              </w:tc>
              <w:tc>
                <w:tcPr>
                  <w:tcW w:w="719" w:type="pct"/>
                  <w:tcBorders>
                    <w:top w:val="single" w:color="000000" w:sz="12" w:space="0"/>
                    <w:left w:val="single" w:color="000000" w:sz="4" w:space="0"/>
                    <w:bottom w:val="single" w:color="000000" w:sz="4" w:space="0"/>
                    <w:right w:val="single" w:color="000000" w:sz="4" w:space="0"/>
                  </w:tcBorders>
                  <w:vAlign w:val="center"/>
                </w:tcPr>
                <w:p w14:paraId="52C1B042">
                  <w:pPr>
                    <w:spacing w:line="320" w:lineRule="exact"/>
                    <w:jc w:val="center"/>
                    <w:rPr>
                      <w:b/>
                      <w:color w:val="auto"/>
                      <w:szCs w:val="21"/>
                    </w:rPr>
                  </w:pPr>
                  <w:r>
                    <w:rPr>
                      <w:b/>
                      <w:color w:val="auto"/>
                      <w:szCs w:val="21"/>
                    </w:rPr>
                    <w:t>产生点</w:t>
                  </w:r>
                </w:p>
              </w:tc>
              <w:tc>
                <w:tcPr>
                  <w:tcW w:w="931" w:type="pct"/>
                  <w:tcBorders>
                    <w:top w:val="single" w:color="000000" w:sz="12" w:space="0"/>
                    <w:left w:val="single" w:color="000000" w:sz="4" w:space="0"/>
                    <w:bottom w:val="single" w:color="000000" w:sz="4" w:space="0"/>
                    <w:right w:val="single" w:color="000000" w:sz="4" w:space="0"/>
                  </w:tcBorders>
                  <w:vAlign w:val="center"/>
                </w:tcPr>
                <w:p w14:paraId="41588E41">
                  <w:pPr>
                    <w:pStyle w:val="33"/>
                    <w:spacing w:line="320" w:lineRule="exact"/>
                    <w:jc w:val="center"/>
                    <w:rPr>
                      <w:b/>
                      <w:color w:val="auto"/>
                      <w:spacing w:val="-12"/>
                      <w:szCs w:val="21"/>
                    </w:rPr>
                  </w:pPr>
                  <w:r>
                    <w:rPr>
                      <w:b/>
                      <w:color w:val="auto"/>
                      <w:spacing w:val="-12"/>
                      <w:szCs w:val="21"/>
                    </w:rPr>
                    <w:t>主要污染因子</w:t>
                  </w:r>
                </w:p>
              </w:tc>
              <w:tc>
                <w:tcPr>
                  <w:tcW w:w="769" w:type="pct"/>
                  <w:tcBorders>
                    <w:top w:val="single" w:color="000000" w:sz="12" w:space="0"/>
                    <w:left w:val="single" w:color="000000" w:sz="4" w:space="0"/>
                    <w:bottom w:val="single" w:color="000000" w:sz="4" w:space="0"/>
                    <w:right w:val="single" w:color="000000" w:sz="4" w:space="0"/>
                  </w:tcBorders>
                  <w:vAlign w:val="center"/>
                </w:tcPr>
                <w:p w14:paraId="638FA10D">
                  <w:pPr>
                    <w:spacing w:line="320" w:lineRule="exact"/>
                    <w:jc w:val="center"/>
                    <w:rPr>
                      <w:b/>
                      <w:color w:val="auto"/>
                      <w:szCs w:val="21"/>
                    </w:rPr>
                  </w:pPr>
                  <w:r>
                    <w:rPr>
                      <w:b/>
                      <w:color w:val="auto"/>
                      <w:szCs w:val="21"/>
                    </w:rPr>
                    <w:t>产生特征</w:t>
                  </w:r>
                </w:p>
              </w:tc>
              <w:tc>
                <w:tcPr>
                  <w:tcW w:w="2039" w:type="pct"/>
                  <w:tcBorders>
                    <w:top w:val="single" w:color="000000" w:sz="12" w:space="0"/>
                    <w:left w:val="single" w:color="000000" w:sz="4" w:space="0"/>
                    <w:bottom w:val="single" w:color="000000" w:sz="4" w:space="0"/>
                    <w:right w:val="single" w:color="000000" w:sz="12" w:space="0"/>
                  </w:tcBorders>
                  <w:vAlign w:val="center"/>
                </w:tcPr>
                <w:p w14:paraId="34B1AD35">
                  <w:pPr>
                    <w:spacing w:line="320" w:lineRule="exact"/>
                    <w:jc w:val="center"/>
                    <w:rPr>
                      <w:b/>
                      <w:color w:val="auto"/>
                      <w:szCs w:val="21"/>
                    </w:rPr>
                  </w:pPr>
                  <w:r>
                    <w:rPr>
                      <w:b/>
                      <w:color w:val="auto"/>
                      <w:szCs w:val="21"/>
                    </w:rPr>
                    <w:t>治理措施</w:t>
                  </w:r>
                </w:p>
              </w:tc>
            </w:tr>
            <w:tr w14:paraId="49BA5C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39" w:type="pct"/>
                  <w:tcBorders>
                    <w:top w:val="single" w:color="000000" w:sz="4" w:space="0"/>
                    <w:left w:val="single" w:color="000000" w:sz="12" w:space="0"/>
                    <w:bottom w:val="single" w:color="000000" w:sz="4" w:space="0"/>
                    <w:right w:val="single" w:color="000000" w:sz="4" w:space="0"/>
                  </w:tcBorders>
                  <w:vAlign w:val="center"/>
                </w:tcPr>
                <w:p w14:paraId="715D19DA">
                  <w:pPr>
                    <w:spacing w:line="320" w:lineRule="exact"/>
                    <w:jc w:val="center"/>
                    <w:rPr>
                      <w:color w:val="auto"/>
                      <w:spacing w:val="-4"/>
                      <w:szCs w:val="21"/>
                    </w:rPr>
                  </w:pPr>
                  <w:r>
                    <w:rPr>
                      <w:color w:val="auto"/>
                      <w:szCs w:val="21"/>
                    </w:rPr>
                    <w:t>废气</w:t>
                  </w:r>
                </w:p>
              </w:tc>
              <w:tc>
                <w:tcPr>
                  <w:tcW w:w="719" w:type="pct"/>
                  <w:tcBorders>
                    <w:top w:val="single" w:color="000000" w:sz="4" w:space="0"/>
                    <w:left w:val="single" w:color="000000" w:sz="4" w:space="0"/>
                    <w:bottom w:val="single" w:color="000000" w:sz="4" w:space="0"/>
                    <w:right w:val="single" w:color="000000" w:sz="4" w:space="0"/>
                  </w:tcBorders>
                  <w:vAlign w:val="center"/>
                </w:tcPr>
                <w:p w14:paraId="150B03C8">
                  <w:pPr>
                    <w:spacing w:line="320" w:lineRule="exact"/>
                    <w:jc w:val="center"/>
                    <w:rPr>
                      <w:color w:val="auto"/>
                      <w:szCs w:val="21"/>
                    </w:rPr>
                  </w:pPr>
                  <w:r>
                    <w:rPr>
                      <w:rFonts w:hint="eastAsia"/>
                      <w:color w:val="auto"/>
                      <w:szCs w:val="21"/>
                      <w:lang w:eastAsia="zh-CN"/>
                    </w:rPr>
                    <w:t>原料</w:t>
                  </w:r>
                  <w:r>
                    <w:rPr>
                      <w:rFonts w:hint="eastAsia"/>
                      <w:color w:val="auto"/>
                      <w:szCs w:val="21"/>
                    </w:rPr>
                    <w:t>装卸、堆存</w:t>
                  </w:r>
                </w:p>
              </w:tc>
              <w:tc>
                <w:tcPr>
                  <w:tcW w:w="931" w:type="pct"/>
                  <w:tcBorders>
                    <w:top w:val="single" w:color="000000" w:sz="4" w:space="0"/>
                    <w:left w:val="single" w:color="000000" w:sz="4" w:space="0"/>
                    <w:bottom w:val="single" w:color="000000" w:sz="4" w:space="0"/>
                    <w:right w:val="single" w:color="000000" w:sz="4" w:space="0"/>
                  </w:tcBorders>
                  <w:vAlign w:val="center"/>
                </w:tcPr>
                <w:p w14:paraId="2262801B">
                  <w:pPr>
                    <w:pStyle w:val="33"/>
                    <w:spacing w:line="320" w:lineRule="exact"/>
                    <w:jc w:val="center"/>
                    <w:rPr>
                      <w:color w:val="auto"/>
                      <w:spacing w:val="-12"/>
                      <w:szCs w:val="21"/>
                    </w:rPr>
                  </w:pPr>
                  <w:r>
                    <w:rPr>
                      <w:rFonts w:hint="eastAsia"/>
                      <w:color w:val="auto"/>
                      <w:spacing w:val="-12"/>
                      <w:szCs w:val="21"/>
                    </w:rPr>
                    <w:t>颗粒物</w:t>
                  </w:r>
                </w:p>
              </w:tc>
              <w:tc>
                <w:tcPr>
                  <w:tcW w:w="769" w:type="pct"/>
                  <w:tcBorders>
                    <w:top w:val="single" w:color="000000" w:sz="4" w:space="0"/>
                    <w:left w:val="single" w:color="000000" w:sz="4" w:space="0"/>
                    <w:bottom w:val="single" w:color="000000" w:sz="4" w:space="0"/>
                    <w:right w:val="single" w:color="000000" w:sz="4" w:space="0"/>
                  </w:tcBorders>
                  <w:vAlign w:val="center"/>
                </w:tcPr>
                <w:p w14:paraId="0C0E9D3C">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680025C7">
                  <w:pPr>
                    <w:spacing w:line="320" w:lineRule="exact"/>
                    <w:jc w:val="center"/>
                    <w:rPr>
                      <w:rFonts w:hint="eastAsia" w:eastAsia="宋体"/>
                      <w:color w:val="auto"/>
                      <w:szCs w:val="21"/>
                      <w:lang w:eastAsia="zh-CN"/>
                    </w:rPr>
                  </w:pPr>
                  <w:r>
                    <w:rPr>
                      <w:rFonts w:hint="eastAsia"/>
                      <w:color w:val="auto"/>
                      <w:szCs w:val="21"/>
                    </w:rPr>
                    <w:t>煤炭</w:t>
                  </w:r>
                  <w:r>
                    <w:rPr>
                      <w:rFonts w:hint="eastAsia"/>
                      <w:color w:val="auto"/>
                      <w:szCs w:val="21"/>
                      <w:lang w:eastAsia="zh-CN"/>
                    </w:rPr>
                    <w:t>、矿石、废钢</w:t>
                  </w:r>
                  <w:r>
                    <w:rPr>
                      <w:rFonts w:hint="eastAsia"/>
                      <w:color w:val="auto"/>
                      <w:szCs w:val="21"/>
                    </w:rPr>
                    <w:t>存放于封闭的</w:t>
                  </w:r>
                  <w:r>
                    <w:rPr>
                      <w:rFonts w:hint="eastAsia"/>
                      <w:color w:val="auto"/>
                      <w:szCs w:val="21"/>
                      <w:lang w:eastAsia="zh-CN"/>
                    </w:rPr>
                    <w:t>厂房</w:t>
                  </w:r>
                  <w:r>
                    <w:rPr>
                      <w:rFonts w:hint="eastAsia"/>
                      <w:color w:val="auto"/>
                      <w:szCs w:val="21"/>
                    </w:rPr>
                    <w:t>内，顶部设喷淋装置抑尘</w:t>
                  </w:r>
                  <w:r>
                    <w:rPr>
                      <w:rFonts w:hint="eastAsia"/>
                      <w:color w:val="auto"/>
                      <w:szCs w:val="21"/>
                      <w:lang w:eastAsia="zh-CN"/>
                    </w:rPr>
                    <w:t>，钢材卸料至厂区露天堆场，加盖苫布</w:t>
                  </w:r>
                </w:p>
              </w:tc>
            </w:tr>
            <w:tr w14:paraId="3896E8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539" w:type="pct"/>
                  <w:vMerge w:val="restart"/>
                  <w:tcBorders>
                    <w:top w:val="single" w:color="000000" w:sz="4" w:space="0"/>
                    <w:left w:val="single" w:color="000000" w:sz="12" w:space="0"/>
                    <w:right w:val="single" w:color="000000" w:sz="4" w:space="0"/>
                  </w:tcBorders>
                  <w:vAlign w:val="center"/>
                </w:tcPr>
                <w:p w14:paraId="38D6B850">
                  <w:pPr>
                    <w:spacing w:line="320" w:lineRule="exact"/>
                    <w:jc w:val="center"/>
                    <w:rPr>
                      <w:color w:val="auto"/>
                      <w:szCs w:val="21"/>
                    </w:rPr>
                  </w:pPr>
                  <w:r>
                    <w:rPr>
                      <w:rFonts w:hint="eastAsia"/>
                      <w:color w:val="auto"/>
                      <w:szCs w:val="21"/>
                    </w:rPr>
                    <w:t>废水</w:t>
                  </w:r>
                </w:p>
              </w:tc>
              <w:tc>
                <w:tcPr>
                  <w:tcW w:w="719" w:type="pct"/>
                  <w:tcBorders>
                    <w:top w:val="single" w:color="000000" w:sz="4" w:space="0"/>
                    <w:left w:val="single" w:color="000000" w:sz="4" w:space="0"/>
                    <w:bottom w:val="single" w:color="000000" w:sz="4" w:space="0"/>
                    <w:right w:val="single" w:color="000000" w:sz="4" w:space="0"/>
                  </w:tcBorders>
                  <w:vAlign w:val="center"/>
                </w:tcPr>
                <w:p w14:paraId="0B45771E">
                  <w:pPr>
                    <w:spacing w:line="320" w:lineRule="exact"/>
                    <w:jc w:val="center"/>
                    <w:rPr>
                      <w:color w:val="auto"/>
                      <w:szCs w:val="21"/>
                    </w:rPr>
                  </w:pPr>
                  <w:r>
                    <w:rPr>
                      <w:rFonts w:hint="eastAsia"/>
                      <w:color w:val="auto"/>
                      <w:szCs w:val="21"/>
                    </w:rPr>
                    <w:t>生活污水</w:t>
                  </w:r>
                </w:p>
              </w:tc>
              <w:tc>
                <w:tcPr>
                  <w:tcW w:w="931" w:type="pct"/>
                  <w:tcBorders>
                    <w:top w:val="single" w:color="000000" w:sz="4" w:space="0"/>
                    <w:left w:val="single" w:color="000000" w:sz="4" w:space="0"/>
                    <w:bottom w:val="single" w:color="000000" w:sz="4" w:space="0"/>
                    <w:right w:val="single" w:color="000000" w:sz="4" w:space="0"/>
                  </w:tcBorders>
                  <w:vAlign w:val="center"/>
                </w:tcPr>
                <w:p w14:paraId="0733E501">
                  <w:pPr>
                    <w:spacing w:line="320" w:lineRule="exact"/>
                    <w:jc w:val="center"/>
                    <w:rPr>
                      <w:color w:val="auto"/>
                      <w:szCs w:val="21"/>
                    </w:rPr>
                  </w:pPr>
                  <w:r>
                    <w:rPr>
                      <w:rFonts w:hint="eastAsia"/>
                      <w:color w:val="auto"/>
                      <w:szCs w:val="21"/>
                    </w:rPr>
                    <w:t>COD、BOD</w:t>
                  </w:r>
                  <w:r>
                    <w:rPr>
                      <w:rFonts w:hint="eastAsia"/>
                      <w:color w:val="auto"/>
                      <w:szCs w:val="21"/>
                      <w:vertAlign w:val="subscript"/>
                    </w:rPr>
                    <w:t>5</w:t>
                  </w:r>
                  <w:r>
                    <w:rPr>
                      <w:rFonts w:hint="eastAsia"/>
                      <w:color w:val="auto"/>
                      <w:szCs w:val="21"/>
                    </w:rPr>
                    <w:t>、SS、氨氮</w:t>
                  </w:r>
                </w:p>
              </w:tc>
              <w:tc>
                <w:tcPr>
                  <w:tcW w:w="769" w:type="pct"/>
                  <w:tcBorders>
                    <w:top w:val="single" w:color="000000" w:sz="4" w:space="0"/>
                    <w:left w:val="single" w:color="000000" w:sz="4" w:space="0"/>
                    <w:bottom w:val="single" w:color="000000" w:sz="4" w:space="0"/>
                    <w:right w:val="single" w:color="000000" w:sz="4" w:space="0"/>
                  </w:tcBorders>
                  <w:vAlign w:val="center"/>
                </w:tcPr>
                <w:p w14:paraId="3862D4BA">
                  <w:pPr>
                    <w:spacing w:line="320" w:lineRule="exact"/>
                    <w:jc w:val="center"/>
                    <w:rPr>
                      <w:color w:val="auto"/>
                      <w:szCs w:val="21"/>
                    </w:rPr>
                  </w:pPr>
                  <w:r>
                    <w:rPr>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322B7338">
                  <w:pPr>
                    <w:spacing w:line="320" w:lineRule="exact"/>
                    <w:jc w:val="center"/>
                    <w:rPr>
                      <w:rFonts w:hint="eastAsia" w:eastAsia="宋体"/>
                      <w:color w:val="auto"/>
                      <w:szCs w:val="21"/>
                      <w:lang w:eastAsia="zh-CN"/>
                    </w:rPr>
                  </w:pPr>
                  <w:r>
                    <w:rPr>
                      <w:rFonts w:hint="eastAsia"/>
                      <w:color w:val="auto"/>
                      <w:szCs w:val="21"/>
                    </w:rPr>
                    <w:t>员工盥洗及冲厕废水，经</w:t>
                  </w:r>
                  <w:r>
                    <w:rPr>
                      <w:rFonts w:hint="eastAsia"/>
                      <w:color w:val="auto"/>
                      <w:szCs w:val="21"/>
                      <w:lang w:eastAsia="zh-CN"/>
                    </w:rPr>
                    <w:t>园区管网排入东部污水处理厂</w:t>
                  </w:r>
                </w:p>
              </w:tc>
            </w:tr>
            <w:tr w14:paraId="07EDC9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539" w:type="pct"/>
                  <w:vMerge w:val="continue"/>
                  <w:tcBorders>
                    <w:left w:val="single" w:color="000000" w:sz="12" w:space="0"/>
                    <w:right w:val="single" w:color="000000" w:sz="4" w:space="0"/>
                  </w:tcBorders>
                  <w:vAlign w:val="center"/>
                </w:tcPr>
                <w:p w14:paraId="21E5AAB3">
                  <w:pPr>
                    <w:widowControl/>
                    <w:spacing w:line="320" w:lineRule="exact"/>
                    <w:jc w:val="center"/>
                    <w:rPr>
                      <w:color w:val="auto"/>
                      <w:szCs w:val="21"/>
                    </w:rPr>
                  </w:pPr>
                </w:p>
              </w:tc>
              <w:tc>
                <w:tcPr>
                  <w:tcW w:w="719" w:type="pct"/>
                  <w:tcBorders>
                    <w:top w:val="single" w:color="000000" w:sz="4" w:space="0"/>
                    <w:left w:val="single" w:color="000000" w:sz="4" w:space="0"/>
                    <w:bottom w:val="single" w:color="000000" w:sz="4" w:space="0"/>
                    <w:right w:val="single" w:color="000000" w:sz="4" w:space="0"/>
                  </w:tcBorders>
                  <w:vAlign w:val="center"/>
                </w:tcPr>
                <w:p w14:paraId="7E9BBA6A">
                  <w:pPr>
                    <w:spacing w:line="320" w:lineRule="exact"/>
                    <w:jc w:val="center"/>
                    <w:rPr>
                      <w:color w:val="auto"/>
                      <w:szCs w:val="21"/>
                    </w:rPr>
                  </w:pPr>
                  <w:r>
                    <w:rPr>
                      <w:rFonts w:hint="eastAsia"/>
                      <w:color w:val="auto"/>
                      <w:szCs w:val="21"/>
                    </w:rPr>
                    <w:t>洗车废水</w:t>
                  </w:r>
                </w:p>
              </w:tc>
              <w:tc>
                <w:tcPr>
                  <w:tcW w:w="931" w:type="pct"/>
                  <w:tcBorders>
                    <w:top w:val="single" w:color="000000" w:sz="4" w:space="0"/>
                    <w:left w:val="single" w:color="000000" w:sz="4" w:space="0"/>
                    <w:bottom w:val="single" w:color="000000" w:sz="4" w:space="0"/>
                    <w:right w:val="single" w:color="000000" w:sz="4" w:space="0"/>
                  </w:tcBorders>
                  <w:vAlign w:val="center"/>
                </w:tcPr>
                <w:p w14:paraId="0DD2F128">
                  <w:pPr>
                    <w:spacing w:line="320" w:lineRule="exact"/>
                    <w:jc w:val="center"/>
                    <w:rPr>
                      <w:color w:val="auto"/>
                      <w:szCs w:val="21"/>
                    </w:rPr>
                  </w:pPr>
                  <w:r>
                    <w:rPr>
                      <w:rFonts w:hint="eastAsia"/>
                      <w:color w:val="auto"/>
                      <w:szCs w:val="21"/>
                    </w:rPr>
                    <w:t>SS</w:t>
                  </w:r>
                </w:p>
              </w:tc>
              <w:tc>
                <w:tcPr>
                  <w:tcW w:w="769" w:type="pct"/>
                  <w:tcBorders>
                    <w:top w:val="single" w:color="000000" w:sz="4" w:space="0"/>
                    <w:left w:val="single" w:color="000000" w:sz="4" w:space="0"/>
                    <w:bottom w:val="single" w:color="000000" w:sz="4" w:space="0"/>
                    <w:right w:val="single" w:color="000000" w:sz="4" w:space="0"/>
                  </w:tcBorders>
                  <w:vAlign w:val="center"/>
                </w:tcPr>
                <w:p w14:paraId="577F7232">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5FB60BE6">
                  <w:pPr>
                    <w:spacing w:line="320" w:lineRule="exact"/>
                    <w:jc w:val="center"/>
                    <w:rPr>
                      <w:color w:val="auto"/>
                      <w:szCs w:val="21"/>
                    </w:rPr>
                  </w:pPr>
                  <w:r>
                    <w:rPr>
                      <w:rFonts w:hint="eastAsia"/>
                      <w:color w:val="auto"/>
                      <w:szCs w:val="21"/>
                    </w:rPr>
                    <w:t>本项目</w:t>
                  </w:r>
                  <w:r>
                    <w:rPr>
                      <w:rFonts w:hint="eastAsia"/>
                      <w:color w:val="auto"/>
                      <w:kern w:val="0"/>
                      <w:szCs w:val="21"/>
                    </w:rPr>
                    <w:t>洗车废水经沉淀池沉淀后回用于</w:t>
                  </w:r>
                  <w:r>
                    <w:rPr>
                      <w:rFonts w:hint="eastAsia"/>
                      <w:color w:val="auto"/>
                    </w:rPr>
                    <w:t>洗车</w:t>
                  </w:r>
                </w:p>
              </w:tc>
            </w:tr>
            <w:tr w14:paraId="21261E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539" w:type="pct"/>
                  <w:tcBorders>
                    <w:top w:val="single" w:color="000000" w:sz="4" w:space="0"/>
                    <w:left w:val="single" w:color="000000" w:sz="12" w:space="0"/>
                    <w:bottom w:val="single" w:color="000000" w:sz="4" w:space="0"/>
                    <w:right w:val="single" w:color="000000" w:sz="4" w:space="0"/>
                  </w:tcBorders>
                  <w:vAlign w:val="center"/>
                </w:tcPr>
                <w:p w14:paraId="48A04B6F">
                  <w:pPr>
                    <w:spacing w:line="320" w:lineRule="exact"/>
                    <w:jc w:val="center"/>
                    <w:rPr>
                      <w:color w:val="auto"/>
                      <w:szCs w:val="21"/>
                    </w:rPr>
                  </w:pPr>
                  <w:r>
                    <w:rPr>
                      <w:color w:val="auto"/>
                      <w:szCs w:val="21"/>
                    </w:rPr>
                    <w:t>噪声</w:t>
                  </w:r>
                </w:p>
              </w:tc>
              <w:tc>
                <w:tcPr>
                  <w:tcW w:w="719" w:type="pct"/>
                  <w:tcBorders>
                    <w:top w:val="single" w:color="000000" w:sz="4" w:space="0"/>
                    <w:left w:val="single" w:color="000000" w:sz="4" w:space="0"/>
                    <w:bottom w:val="single" w:color="000000" w:sz="4" w:space="0"/>
                    <w:right w:val="single" w:color="000000" w:sz="4" w:space="0"/>
                  </w:tcBorders>
                  <w:vAlign w:val="center"/>
                </w:tcPr>
                <w:p w14:paraId="72C95041">
                  <w:pPr>
                    <w:spacing w:line="320" w:lineRule="exact"/>
                    <w:jc w:val="center"/>
                    <w:rPr>
                      <w:color w:val="auto"/>
                      <w:szCs w:val="21"/>
                    </w:rPr>
                  </w:pPr>
                  <w:r>
                    <w:rPr>
                      <w:color w:val="auto"/>
                      <w:szCs w:val="21"/>
                    </w:rPr>
                    <w:t>生产设备</w:t>
                  </w:r>
                </w:p>
              </w:tc>
              <w:tc>
                <w:tcPr>
                  <w:tcW w:w="931" w:type="pct"/>
                  <w:tcBorders>
                    <w:top w:val="single" w:color="000000" w:sz="4" w:space="0"/>
                    <w:left w:val="single" w:color="000000" w:sz="4" w:space="0"/>
                    <w:bottom w:val="single" w:color="000000" w:sz="4" w:space="0"/>
                    <w:right w:val="single" w:color="000000" w:sz="4" w:space="0"/>
                  </w:tcBorders>
                  <w:vAlign w:val="center"/>
                </w:tcPr>
                <w:p w14:paraId="4FAB3E4D">
                  <w:pPr>
                    <w:spacing w:line="320" w:lineRule="exact"/>
                    <w:jc w:val="center"/>
                    <w:rPr>
                      <w:color w:val="auto"/>
                      <w:szCs w:val="21"/>
                    </w:rPr>
                  </w:pPr>
                  <w:r>
                    <w:rPr>
                      <w:color w:val="auto"/>
                      <w:szCs w:val="21"/>
                    </w:rPr>
                    <w:t>噪声</w:t>
                  </w:r>
                </w:p>
              </w:tc>
              <w:tc>
                <w:tcPr>
                  <w:tcW w:w="769" w:type="pct"/>
                  <w:tcBorders>
                    <w:top w:val="single" w:color="000000" w:sz="4" w:space="0"/>
                    <w:left w:val="single" w:color="000000" w:sz="4" w:space="0"/>
                    <w:bottom w:val="single" w:color="000000" w:sz="4" w:space="0"/>
                    <w:right w:val="single" w:color="000000" w:sz="4" w:space="0"/>
                  </w:tcBorders>
                  <w:vAlign w:val="center"/>
                </w:tcPr>
                <w:p w14:paraId="33AA5AF3">
                  <w:pPr>
                    <w:spacing w:line="320" w:lineRule="exact"/>
                    <w:jc w:val="center"/>
                    <w:rPr>
                      <w:color w:val="auto"/>
                      <w:szCs w:val="21"/>
                    </w:rPr>
                  </w:pPr>
                  <w:r>
                    <w:rPr>
                      <w:color w:val="auto"/>
                      <w:szCs w:val="21"/>
                    </w:rPr>
                    <w:t>连续</w:t>
                  </w:r>
                </w:p>
              </w:tc>
              <w:tc>
                <w:tcPr>
                  <w:tcW w:w="2039" w:type="pct"/>
                  <w:tcBorders>
                    <w:top w:val="single" w:color="000000" w:sz="4" w:space="0"/>
                    <w:left w:val="single" w:color="000000" w:sz="4" w:space="0"/>
                    <w:bottom w:val="single" w:color="000000" w:sz="4" w:space="0"/>
                    <w:right w:val="single" w:color="000000" w:sz="12" w:space="0"/>
                  </w:tcBorders>
                  <w:vAlign w:val="center"/>
                </w:tcPr>
                <w:p w14:paraId="05F60064">
                  <w:pPr>
                    <w:spacing w:line="320" w:lineRule="exact"/>
                    <w:jc w:val="center"/>
                    <w:rPr>
                      <w:color w:val="auto"/>
                      <w:szCs w:val="21"/>
                    </w:rPr>
                  </w:pPr>
                  <w:r>
                    <w:rPr>
                      <w:rFonts w:hint="eastAsia"/>
                      <w:color w:val="auto"/>
                      <w:szCs w:val="21"/>
                    </w:rPr>
                    <w:t>选用低声设备，</w:t>
                  </w:r>
                  <w:r>
                    <w:rPr>
                      <w:rFonts w:hint="eastAsia"/>
                      <w:color w:val="auto"/>
                      <w:szCs w:val="21"/>
                      <w:lang w:eastAsia="zh-CN"/>
                    </w:rPr>
                    <w:t>置</w:t>
                  </w:r>
                  <w:r>
                    <w:rPr>
                      <w:rFonts w:hint="eastAsia"/>
                      <w:color w:val="auto"/>
                      <w:szCs w:val="21"/>
                    </w:rPr>
                    <w:t>于封闭厂房内，运输车辆平稳起步、禁止鸣笛</w:t>
                  </w:r>
                </w:p>
              </w:tc>
            </w:tr>
            <w:tr w14:paraId="5CC0A5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9" w:type="pct"/>
                  <w:vMerge w:val="restart"/>
                  <w:tcBorders>
                    <w:top w:val="single" w:color="000000" w:sz="4" w:space="0"/>
                    <w:left w:val="single" w:color="000000" w:sz="12" w:space="0"/>
                    <w:right w:val="single" w:color="000000" w:sz="4" w:space="0"/>
                  </w:tcBorders>
                  <w:vAlign w:val="center"/>
                </w:tcPr>
                <w:p w14:paraId="40456878">
                  <w:pPr>
                    <w:spacing w:line="320" w:lineRule="exact"/>
                    <w:jc w:val="center"/>
                    <w:rPr>
                      <w:color w:val="auto"/>
                      <w:szCs w:val="21"/>
                    </w:rPr>
                  </w:pPr>
                  <w:r>
                    <w:rPr>
                      <w:color w:val="auto"/>
                      <w:szCs w:val="21"/>
                    </w:rPr>
                    <w:t>固废</w:t>
                  </w:r>
                </w:p>
              </w:tc>
              <w:tc>
                <w:tcPr>
                  <w:tcW w:w="719" w:type="pct"/>
                  <w:tcBorders>
                    <w:top w:val="single" w:color="000000" w:sz="4" w:space="0"/>
                    <w:left w:val="single" w:color="000000" w:sz="4" w:space="0"/>
                    <w:bottom w:val="single" w:color="000000" w:sz="4" w:space="0"/>
                    <w:right w:val="single" w:color="000000" w:sz="4" w:space="0"/>
                  </w:tcBorders>
                  <w:vAlign w:val="center"/>
                </w:tcPr>
                <w:p w14:paraId="1E40CF1E">
                  <w:pPr>
                    <w:spacing w:line="320" w:lineRule="exact"/>
                    <w:jc w:val="center"/>
                    <w:rPr>
                      <w:color w:val="auto"/>
                      <w:szCs w:val="21"/>
                    </w:rPr>
                  </w:pPr>
                  <w:r>
                    <w:rPr>
                      <w:rFonts w:hint="eastAsia"/>
                      <w:color w:val="auto"/>
                      <w:szCs w:val="21"/>
                    </w:rPr>
                    <w:t>职工生活</w:t>
                  </w:r>
                </w:p>
              </w:tc>
              <w:tc>
                <w:tcPr>
                  <w:tcW w:w="931" w:type="pct"/>
                  <w:tcBorders>
                    <w:top w:val="single" w:color="000000" w:sz="4" w:space="0"/>
                    <w:left w:val="single" w:color="000000" w:sz="4" w:space="0"/>
                    <w:bottom w:val="single" w:color="000000" w:sz="4" w:space="0"/>
                    <w:right w:val="single" w:color="000000" w:sz="4" w:space="0"/>
                  </w:tcBorders>
                  <w:vAlign w:val="center"/>
                </w:tcPr>
                <w:p w14:paraId="6DC94A66">
                  <w:pPr>
                    <w:spacing w:line="320" w:lineRule="exact"/>
                    <w:jc w:val="center"/>
                    <w:rPr>
                      <w:color w:val="auto"/>
                      <w:szCs w:val="21"/>
                    </w:rPr>
                  </w:pPr>
                  <w:r>
                    <w:rPr>
                      <w:rFonts w:hint="eastAsia"/>
                      <w:color w:val="auto"/>
                      <w:szCs w:val="21"/>
                    </w:rPr>
                    <w:t>生活垃圾</w:t>
                  </w:r>
                </w:p>
              </w:tc>
              <w:tc>
                <w:tcPr>
                  <w:tcW w:w="769" w:type="pct"/>
                  <w:tcBorders>
                    <w:top w:val="single" w:color="000000" w:sz="4" w:space="0"/>
                    <w:left w:val="single" w:color="000000" w:sz="4" w:space="0"/>
                    <w:bottom w:val="single" w:color="000000" w:sz="4" w:space="0"/>
                    <w:right w:val="single" w:color="000000" w:sz="4" w:space="0"/>
                  </w:tcBorders>
                  <w:vAlign w:val="center"/>
                </w:tcPr>
                <w:p w14:paraId="36F6270D">
                  <w:pPr>
                    <w:spacing w:line="320" w:lineRule="exact"/>
                    <w:jc w:val="center"/>
                    <w:rPr>
                      <w:color w:val="auto"/>
                      <w:szCs w:val="21"/>
                    </w:rPr>
                  </w:pPr>
                  <w:r>
                    <w:rPr>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6E201A91">
                  <w:pPr>
                    <w:topLinePunct/>
                    <w:adjustRightInd w:val="0"/>
                    <w:snapToGrid w:val="0"/>
                    <w:spacing w:line="320" w:lineRule="exact"/>
                    <w:jc w:val="center"/>
                    <w:rPr>
                      <w:color w:val="auto"/>
                      <w:szCs w:val="21"/>
                    </w:rPr>
                  </w:pPr>
                  <w:r>
                    <w:rPr>
                      <w:rFonts w:hint="eastAsia"/>
                      <w:color w:val="auto"/>
                      <w:kern w:val="0"/>
                      <w:szCs w:val="21"/>
                    </w:rPr>
                    <w:t>生活垃圾集中收集后交由环卫部门处理</w:t>
                  </w:r>
                </w:p>
              </w:tc>
            </w:tr>
            <w:tr w14:paraId="441726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9" w:type="pct"/>
                  <w:vMerge w:val="continue"/>
                  <w:tcBorders>
                    <w:left w:val="single" w:color="000000" w:sz="12" w:space="0"/>
                    <w:right w:val="single" w:color="000000" w:sz="4" w:space="0"/>
                  </w:tcBorders>
                  <w:vAlign w:val="center"/>
                </w:tcPr>
                <w:p w14:paraId="54D8B456">
                  <w:pPr>
                    <w:spacing w:line="320" w:lineRule="exact"/>
                    <w:jc w:val="center"/>
                    <w:rPr>
                      <w:color w:val="auto"/>
                      <w:szCs w:val="21"/>
                    </w:rPr>
                  </w:pPr>
                </w:p>
              </w:tc>
              <w:tc>
                <w:tcPr>
                  <w:tcW w:w="719" w:type="pct"/>
                  <w:tcBorders>
                    <w:top w:val="single" w:color="000000" w:sz="4" w:space="0"/>
                    <w:left w:val="single" w:color="000000" w:sz="4" w:space="0"/>
                    <w:right w:val="single" w:color="000000" w:sz="4" w:space="0"/>
                  </w:tcBorders>
                  <w:vAlign w:val="center"/>
                </w:tcPr>
                <w:p w14:paraId="391C0E18">
                  <w:pPr>
                    <w:spacing w:line="320" w:lineRule="exact"/>
                    <w:jc w:val="center"/>
                    <w:rPr>
                      <w:color w:val="auto"/>
                      <w:szCs w:val="21"/>
                    </w:rPr>
                  </w:pPr>
                  <w:r>
                    <w:rPr>
                      <w:rFonts w:hint="eastAsia"/>
                      <w:color w:val="auto"/>
                      <w:szCs w:val="21"/>
                    </w:rPr>
                    <w:t>洗车平台</w:t>
                  </w:r>
                </w:p>
              </w:tc>
              <w:tc>
                <w:tcPr>
                  <w:tcW w:w="931" w:type="pct"/>
                  <w:tcBorders>
                    <w:top w:val="single" w:color="000000" w:sz="4" w:space="0"/>
                    <w:left w:val="single" w:color="000000" w:sz="4" w:space="0"/>
                    <w:bottom w:val="single" w:color="000000" w:sz="4" w:space="0"/>
                    <w:right w:val="single" w:color="000000" w:sz="4" w:space="0"/>
                  </w:tcBorders>
                  <w:vAlign w:val="center"/>
                </w:tcPr>
                <w:p w14:paraId="00585D8F">
                  <w:pPr>
                    <w:spacing w:line="320" w:lineRule="exact"/>
                    <w:jc w:val="center"/>
                    <w:rPr>
                      <w:color w:val="auto"/>
                      <w:szCs w:val="21"/>
                    </w:rPr>
                  </w:pPr>
                  <w:r>
                    <w:rPr>
                      <w:rFonts w:hint="eastAsia"/>
                      <w:color w:val="auto"/>
                      <w:szCs w:val="21"/>
                    </w:rPr>
                    <w:t>煤泥</w:t>
                  </w:r>
                </w:p>
              </w:tc>
              <w:tc>
                <w:tcPr>
                  <w:tcW w:w="769" w:type="pct"/>
                  <w:tcBorders>
                    <w:top w:val="single" w:color="000000" w:sz="4" w:space="0"/>
                    <w:left w:val="single" w:color="000000" w:sz="4" w:space="0"/>
                    <w:bottom w:val="single" w:color="000000" w:sz="4" w:space="0"/>
                    <w:right w:val="single" w:color="000000" w:sz="4" w:space="0"/>
                  </w:tcBorders>
                  <w:vAlign w:val="center"/>
                </w:tcPr>
                <w:p w14:paraId="40EEB776">
                  <w:pPr>
                    <w:spacing w:line="320" w:lineRule="exact"/>
                    <w:jc w:val="center"/>
                    <w:rPr>
                      <w:color w:val="auto"/>
                      <w:szCs w:val="21"/>
                    </w:rPr>
                  </w:pPr>
                  <w:r>
                    <w:rPr>
                      <w:rFonts w:hint="eastAsia"/>
                      <w:color w:val="auto"/>
                      <w:szCs w:val="21"/>
                    </w:rPr>
                    <w:t>间断</w:t>
                  </w:r>
                </w:p>
              </w:tc>
              <w:tc>
                <w:tcPr>
                  <w:tcW w:w="2039" w:type="pct"/>
                  <w:tcBorders>
                    <w:top w:val="single" w:color="000000" w:sz="4" w:space="0"/>
                    <w:left w:val="single" w:color="000000" w:sz="4" w:space="0"/>
                    <w:bottom w:val="single" w:color="000000" w:sz="4" w:space="0"/>
                    <w:right w:val="single" w:color="000000" w:sz="12" w:space="0"/>
                  </w:tcBorders>
                  <w:vAlign w:val="center"/>
                </w:tcPr>
                <w:p w14:paraId="78DB7176">
                  <w:pPr>
                    <w:topLinePunct/>
                    <w:adjustRightInd w:val="0"/>
                    <w:snapToGrid w:val="0"/>
                    <w:spacing w:line="320" w:lineRule="exact"/>
                    <w:jc w:val="center"/>
                    <w:rPr>
                      <w:color w:val="auto"/>
                      <w:kern w:val="0"/>
                      <w:szCs w:val="21"/>
                    </w:rPr>
                  </w:pPr>
                  <w:r>
                    <w:rPr>
                      <w:rFonts w:hint="eastAsia"/>
                      <w:color w:val="auto"/>
                      <w:szCs w:val="21"/>
                    </w:rPr>
                    <w:t>定期清理掺入原煤中外售</w:t>
                  </w:r>
                </w:p>
              </w:tc>
            </w:tr>
            <w:tr w14:paraId="5F078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539" w:type="pct"/>
                  <w:vMerge w:val="continue"/>
                  <w:tcBorders>
                    <w:left w:val="single" w:color="000000" w:sz="12" w:space="0"/>
                    <w:right w:val="single" w:color="000000" w:sz="4" w:space="0"/>
                  </w:tcBorders>
                  <w:vAlign w:val="center"/>
                </w:tcPr>
                <w:p w14:paraId="6A9C6972">
                  <w:pPr>
                    <w:spacing w:line="320" w:lineRule="exact"/>
                    <w:jc w:val="center"/>
                    <w:rPr>
                      <w:color w:val="auto"/>
                      <w:szCs w:val="21"/>
                    </w:rPr>
                  </w:pPr>
                </w:p>
              </w:tc>
              <w:tc>
                <w:tcPr>
                  <w:tcW w:w="719" w:type="pct"/>
                  <w:vMerge w:val="restart"/>
                  <w:vAlign w:val="center"/>
                </w:tcPr>
                <w:p w14:paraId="0A3FC295">
                  <w:pPr>
                    <w:spacing w:line="320" w:lineRule="exact"/>
                    <w:jc w:val="center"/>
                    <w:rPr>
                      <w:color w:val="auto"/>
                      <w:szCs w:val="21"/>
                    </w:rPr>
                  </w:pPr>
                  <w:r>
                    <w:rPr>
                      <w:rFonts w:hint="eastAsia"/>
                      <w:color w:val="auto"/>
                      <w:szCs w:val="21"/>
                    </w:rPr>
                    <w:t>设备维护</w:t>
                  </w:r>
                </w:p>
              </w:tc>
              <w:tc>
                <w:tcPr>
                  <w:tcW w:w="931" w:type="pct"/>
                  <w:vAlign w:val="center"/>
                </w:tcPr>
                <w:p w14:paraId="22EF9D1A">
                  <w:pPr>
                    <w:spacing w:line="320" w:lineRule="exact"/>
                    <w:jc w:val="center"/>
                    <w:rPr>
                      <w:color w:val="auto"/>
                      <w:szCs w:val="21"/>
                    </w:rPr>
                  </w:pPr>
                  <w:r>
                    <w:rPr>
                      <w:rFonts w:hint="eastAsia"/>
                      <w:color w:val="auto"/>
                      <w:szCs w:val="21"/>
                    </w:rPr>
                    <w:t>废润滑油</w:t>
                  </w:r>
                </w:p>
              </w:tc>
              <w:tc>
                <w:tcPr>
                  <w:tcW w:w="769" w:type="pct"/>
                  <w:vAlign w:val="center"/>
                </w:tcPr>
                <w:p w14:paraId="44EF8F96">
                  <w:pPr>
                    <w:spacing w:line="320" w:lineRule="exact"/>
                    <w:jc w:val="center"/>
                    <w:rPr>
                      <w:color w:val="auto"/>
                      <w:szCs w:val="21"/>
                    </w:rPr>
                  </w:pPr>
                  <w:r>
                    <w:rPr>
                      <w:color w:val="auto"/>
                      <w:szCs w:val="21"/>
                    </w:rPr>
                    <w:t>间断</w:t>
                  </w:r>
                </w:p>
              </w:tc>
              <w:tc>
                <w:tcPr>
                  <w:tcW w:w="2039" w:type="pct"/>
                  <w:vMerge w:val="restart"/>
                  <w:vAlign w:val="center"/>
                </w:tcPr>
                <w:p w14:paraId="4374AA42">
                  <w:pPr>
                    <w:spacing w:line="320" w:lineRule="exact"/>
                    <w:jc w:val="center"/>
                    <w:rPr>
                      <w:color w:val="auto"/>
                      <w:szCs w:val="21"/>
                    </w:rPr>
                  </w:pPr>
                  <w:r>
                    <w:rPr>
                      <w:bCs/>
                      <w:color w:val="auto"/>
                      <w:szCs w:val="21"/>
                    </w:rPr>
                    <w:t>暂存于危废间内，委托有资质单位定期处理</w:t>
                  </w:r>
                </w:p>
              </w:tc>
            </w:tr>
            <w:tr w14:paraId="6E4BAC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539" w:type="pct"/>
                  <w:vMerge w:val="continue"/>
                  <w:tcBorders>
                    <w:left w:val="single" w:color="000000" w:sz="12" w:space="0"/>
                    <w:right w:val="single" w:color="000000" w:sz="4" w:space="0"/>
                  </w:tcBorders>
                  <w:vAlign w:val="center"/>
                </w:tcPr>
                <w:p w14:paraId="3960D121">
                  <w:pPr>
                    <w:spacing w:line="320" w:lineRule="exact"/>
                    <w:jc w:val="center"/>
                    <w:rPr>
                      <w:color w:val="auto"/>
                      <w:szCs w:val="21"/>
                    </w:rPr>
                  </w:pPr>
                </w:p>
              </w:tc>
              <w:tc>
                <w:tcPr>
                  <w:tcW w:w="719" w:type="pct"/>
                  <w:vMerge w:val="continue"/>
                  <w:vAlign w:val="center"/>
                </w:tcPr>
                <w:p w14:paraId="1F9EEA32">
                  <w:pPr>
                    <w:spacing w:line="320" w:lineRule="exact"/>
                    <w:jc w:val="center"/>
                    <w:rPr>
                      <w:color w:val="auto"/>
                      <w:szCs w:val="21"/>
                    </w:rPr>
                  </w:pPr>
                </w:p>
              </w:tc>
              <w:tc>
                <w:tcPr>
                  <w:tcW w:w="931" w:type="pct"/>
                  <w:vAlign w:val="center"/>
                </w:tcPr>
                <w:p w14:paraId="10843319">
                  <w:pPr>
                    <w:spacing w:line="320" w:lineRule="exact"/>
                    <w:jc w:val="center"/>
                    <w:rPr>
                      <w:color w:val="auto"/>
                      <w:szCs w:val="21"/>
                    </w:rPr>
                  </w:pPr>
                  <w:r>
                    <w:rPr>
                      <w:rFonts w:hint="eastAsia"/>
                      <w:color w:val="auto"/>
                      <w:szCs w:val="21"/>
                    </w:rPr>
                    <w:t>废油桶</w:t>
                  </w:r>
                </w:p>
              </w:tc>
              <w:tc>
                <w:tcPr>
                  <w:tcW w:w="769" w:type="pct"/>
                  <w:vAlign w:val="center"/>
                </w:tcPr>
                <w:p w14:paraId="677221A2">
                  <w:pPr>
                    <w:spacing w:line="320" w:lineRule="exact"/>
                    <w:jc w:val="center"/>
                    <w:rPr>
                      <w:color w:val="auto"/>
                      <w:szCs w:val="21"/>
                    </w:rPr>
                  </w:pPr>
                  <w:r>
                    <w:rPr>
                      <w:color w:val="auto"/>
                      <w:szCs w:val="21"/>
                    </w:rPr>
                    <w:t>间断</w:t>
                  </w:r>
                </w:p>
              </w:tc>
              <w:tc>
                <w:tcPr>
                  <w:tcW w:w="2039" w:type="pct"/>
                  <w:vMerge w:val="continue"/>
                  <w:vAlign w:val="center"/>
                </w:tcPr>
                <w:p w14:paraId="75D54AD0">
                  <w:pPr>
                    <w:spacing w:line="320" w:lineRule="exact"/>
                    <w:jc w:val="center"/>
                    <w:rPr>
                      <w:color w:val="auto"/>
                      <w:szCs w:val="21"/>
                    </w:rPr>
                  </w:pPr>
                </w:p>
              </w:tc>
            </w:tr>
          </w:tbl>
          <w:p w14:paraId="2D2789AC">
            <w:pPr>
              <w:pStyle w:val="5"/>
              <w:spacing w:before="0" w:after="0" w:line="500" w:lineRule="exact"/>
              <w:rPr>
                <w:rFonts w:ascii="Times New Roman" w:hAnsi="Times New Roman" w:eastAsiaTheme="minorEastAsia"/>
                <w:b w:val="0"/>
                <w:color w:val="auto"/>
                <w:sz w:val="24"/>
              </w:rPr>
            </w:pPr>
          </w:p>
        </w:tc>
      </w:tr>
      <w:tr w14:paraId="7A24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6" w:hRule="atLeast"/>
        </w:trPr>
        <w:tc>
          <w:tcPr>
            <w:tcW w:w="450" w:type="pct"/>
            <w:vAlign w:val="center"/>
          </w:tcPr>
          <w:p w14:paraId="226E950E">
            <w:pPr>
              <w:pStyle w:val="6"/>
              <w:ind w:firstLine="0" w:firstLineChars="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与项目有关的原有环境问题</w:t>
            </w:r>
          </w:p>
        </w:tc>
        <w:tc>
          <w:tcPr>
            <w:tcW w:w="4549" w:type="pct"/>
            <w:vAlign w:val="center"/>
          </w:tcPr>
          <w:p w14:paraId="1BD0A167">
            <w:pPr>
              <w:pStyle w:val="6"/>
              <w:spacing w:line="500" w:lineRule="exact"/>
              <w:ind w:firstLine="480"/>
              <w:rPr>
                <w:rFonts w:hint="eastAsia" w:ascii="Times New Roman" w:hAnsi="Times New Roman" w:eastAsia="宋体"/>
                <w:color w:val="auto"/>
                <w:sz w:val="24"/>
                <w:szCs w:val="24"/>
                <w:lang w:eastAsia="zh-CN"/>
              </w:rPr>
            </w:pPr>
            <w:r>
              <w:rPr>
                <w:rFonts w:hint="eastAsia" w:ascii="Times New Roman" w:hAnsi="Times New Roman"/>
                <w:color w:val="FF0000"/>
                <w:sz w:val="24"/>
                <w:szCs w:val="24"/>
              </w:rPr>
              <w:t>本项目为新建项目，</w:t>
            </w:r>
            <w:r>
              <w:rPr>
                <w:rFonts w:hint="eastAsia" w:ascii="Times New Roman" w:hAnsi="Times New Roman"/>
                <w:color w:val="FF0000"/>
                <w:sz w:val="24"/>
                <w:szCs w:val="24"/>
                <w:lang w:eastAsia="zh-CN"/>
              </w:rPr>
              <w:t>租赁现有企业厂房，原项目为物流公司，厂房为原有仓储库房，无历史遗留的环境问题。</w:t>
            </w:r>
          </w:p>
        </w:tc>
      </w:tr>
    </w:tbl>
    <w:p w14:paraId="37289125">
      <w:pPr>
        <w:pStyle w:val="2"/>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1FA74D40">
      <w:pPr>
        <w:widowControl/>
        <w:spacing w:before="100" w:beforeAutospacing="1" w:after="100" w:afterAutospacing="1"/>
        <w:jc w:val="center"/>
        <w:outlineLvl w:val="0"/>
        <w:rPr>
          <w:rFonts w:ascii="黑体" w:hAnsi="黑体" w:eastAsia="黑体"/>
          <w:snapToGrid w:val="0"/>
          <w:color w:val="auto"/>
          <w:kern w:val="0"/>
          <w:sz w:val="30"/>
          <w:szCs w:val="30"/>
        </w:rPr>
      </w:pPr>
      <w:bookmarkStart w:id="8" w:name="_Toc131506418"/>
      <w:bookmarkStart w:id="9" w:name="_Toc17354"/>
      <w:r>
        <w:rPr>
          <w:rFonts w:hint="eastAsia" w:ascii="黑体" w:hAnsi="黑体" w:eastAsia="黑体"/>
          <w:snapToGrid w:val="0"/>
          <w:color w:val="auto"/>
          <w:kern w:val="0"/>
          <w:sz w:val="30"/>
          <w:szCs w:val="30"/>
        </w:rPr>
        <w:t>三、区域环境质量现状、环境保护目标及评价标准</w:t>
      </w:r>
      <w:bookmarkEnd w:id="8"/>
      <w:bookmarkEnd w:id="9"/>
    </w:p>
    <w:tbl>
      <w:tblPr>
        <w:tblStyle w:val="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8370"/>
      </w:tblGrid>
      <w:tr w14:paraId="5B332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93" w:type="pct"/>
            <w:vAlign w:val="center"/>
          </w:tcPr>
          <w:p w14:paraId="685AF707">
            <w:pPr>
              <w:adjustRightInd w:val="0"/>
              <w:snapToGrid w:val="0"/>
              <w:spacing w:line="480" w:lineRule="exact"/>
              <w:jc w:val="center"/>
              <w:rPr>
                <w:color w:val="auto"/>
                <w:kern w:val="0"/>
                <w:szCs w:val="21"/>
              </w:rPr>
            </w:pPr>
            <w:r>
              <w:rPr>
                <w:color w:val="auto"/>
                <w:kern w:val="0"/>
                <w:sz w:val="24"/>
              </w:rPr>
              <w:t>区域环境质量现状</w:t>
            </w:r>
          </w:p>
        </w:tc>
        <w:tc>
          <w:tcPr>
            <w:tcW w:w="4506" w:type="pct"/>
            <w:vAlign w:val="center"/>
          </w:tcPr>
          <w:p w14:paraId="4E93FE5D">
            <w:pPr>
              <w:spacing w:line="500" w:lineRule="exact"/>
              <w:ind w:firstLine="482" w:firstLineChars="200"/>
              <w:rPr>
                <w:b/>
                <w:bCs/>
                <w:color w:val="auto"/>
                <w:sz w:val="24"/>
              </w:rPr>
            </w:pPr>
            <w:r>
              <w:rPr>
                <w:b/>
                <w:bCs/>
                <w:color w:val="auto"/>
                <w:sz w:val="24"/>
              </w:rPr>
              <w:t>1、大气环境</w:t>
            </w:r>
          </w:p>
          <w:p w14:paraId="42DA767A">
            <w:pPr>
              <w:pStyle w:val="11"/>
              <w:spacing w:line="500" w:lineRule="exact"/>
              <w:ind w:firstLine="480" w:firstLineChars="200"/>
              <w:rPr>
                <w:color w:val="auto"/>
                <w:sz w:val="24"/>
              </w:rPr>
            </w:pPr>
            <w:r>
              <w:rPr>
                <w:rFonts w:hint="eastAsia"/>
                <w:color w:val="auto"/>
                <w:sz w:val="24"/>
              </w:rPr>
              <w:t>（1）</w:t>
            </w:r>
            <w:r>
              <w:rPr>
                <w:color w:val="auto"/>
                <w:sz w:val="24"/>
              </w:rPr>
              <w:t>空气质量达标区判定</w:t>
            </w:r>
          </w:p>
          <w:p w14:paraId="29F3BD85">
            <w:pPr>
              <w:pStyle w:val="29"/>
              <w:spacing w:line="500" w:lineRule="exact"/>
              <w:ind w:firstLine="504" w:firstLineChars="200"/>
              <w:rPr>
                <w:color w:val="auto"/>
                <w:spacing w:val="6"/>
                <w:sz w:val="24"/>
              </w:rPr>
            </w:pPr>
            <w:r>
              <w:rPr>
                <w:color w:val="auto"/>
                <w:spacing w:val="6"/>
                <w:sz w:val="24"/>
              </w:rPr>
              <w:t>根据唐山市生态环境局网站公布的《</w:t>
            </w:r>
            <w:r>
              <w:rPr>
                <w:rFonts w:hint="eastAsia"/>
                <w:color w:val="auto"/>
                <w:spacing w:val="6"/>
                <w:sz w:val="24"/>
              </w:rPr>
              <w:t>202</w:t>
            </w:r>
            <w:r>
              <w:rPr>
                <w:rFonts w:hint="eastAsia"/>
                <w:color w:val="auto"/>
                <w:spacing w:val="6"/>
                <w:sz w:val="24"/>
                <w:lang w:val="en-US" w:eastAsia="zh-CN"/>
              </w:rPr>
              <w:t>3</w:t>
            </w:r>
            <w:r>
              <w:rPr>
                <w:color w:val="auto"/>
                <w:spacing w:val="6"/>
                <w:sz w:val="24"/>
              </w:rPr>
              <w:t>年唐山市环境状况公报》：</w:t>
            </w:r>
          </w:p>
          <w:p w14:paraId="0B722B70">
            <w:pPr>
              <w:pStyle w:val="29"/>
              <w:spacing w:line="500" w:lineRule="exact"/>
              <w:ind w:firstLine="480" w:firstLineChars="200"/>
              <w:rPr>
                <w:rFonts w:hint="eastAsia"/>
                <w:color w:val="auto"/>
                <w:sz w:val="24"/>
              </w:rPr>
            </w:pPr>
            <w:r>
              <w:rPr>
                <w:rFonts w:hint="eastAsia"/>
                <w:color w:val="auto"/>
                <w:sz w:val="24"/>
              </w:rPr>
              <w:t>2023年，全市细颗粒物(PM</w:t>
            </w:r>
            <w:r>
              <w:rPr>
                <w:rFonts w:hint="eastAsia"/>
                <w:color w:val="auto"/>
                <w:sz w:val="24"/>
                <w:vertAlign w:val="subscript"/>
                <w:lang w:val="en-US" w:eastAsia="zh-CN"/>
              </w:rPr>
              <w:t>2.5</w:t>
            </w:r>
            <w:r>
              <w:rPr>
                <w:rFonts w:hint="eastAsia"/>
                <w:color w:val="auto"/>
                <w:sz w:val="24"/>
              </w:rPr>
              <w:t>)年均浓度为40微克/立方米，可吸入颗粒物(PM</w:t>
            </w:r>
            <w:r>
              <w:rPr>
                <w:rFonts w:hint="eastAsia"/>
                <w:color w:val="auto"/>
                <w:sz w:val="24"/>
                <w:vertAlign w:val="subscript"/>
                <w:lang w:val="en-US" w:eastAsia="zh-CN"/>
              </w:rPr>
              <w:t>10</w:t>
            </w:r>
            <w:r>
              <w:rPr>
                <w:rFonts w:hint="eastAsia"/>
                <w:color w:val="auto"/>
                <w:sz w:val="24"/>
              </w:rPr>
              <w:t>)年均浓度为74微克/立方米，二氧化硫(SO</w:t>
            </w:r>
            <w:r>
              <w:rPr>
                <w:rFonts w:hint="eastAsia"/>
                <w:color w:val="auto"/>
                <w:sz w:val="24"/>
                <w:vertAlign w:val="subscript"/>
                <w:lang w:val="en-US" w:eastAsia="zh-CN"/>
              </w:rPr>
              <w:t>2</w:t>
            </w:r>
            <w:r>
              <w:rPr>
                <w:rFonts w:hint="eastAsia"/>
                <w:color w:val="auto"/>
                <w:sz w:val="24"/>
              </w:rPr>
              <w:t>)年均浓度为7微克/立方米，二氧化氮(NO</w:t>
            </w:r>
            <w:r>
              <w:rPr>
                <w:rFonts w:hint="eastAsia"/>
                <w:color w:val="auto"/>
                <w:sz w:val="24"/>
                <w:vertAlign w:val="subscript"/>
                <w:lang w:val="en-US" w:eastAsia="zh-CN"/>
              </w:rPr>
              <w:t>2</w:t>
            </w:r>
            <w:r>
              <w:rPr>
                <w:rFonts w:hint="eastAsia"/>
                <w:color w:val="auto"/>
                <w:sz w:val="24"/>
              </w:rPr>
              <w:t>)年均浓度为33微克/立方米，一氧化碳(CO)日均值第95百分位浓度平均为1</w:t>
            </w:r>
            <w:r>
              <w:rPr>
                <w:rFonts w:hint="eastAsia"/>
                <w:color w:val="auto"/>
                <w:sz w:val="24"/>
                <w:lang w:val="en-US" w:eastAsia="zh-CN"/>
              </w:rPr>
              <w:t>.</w:t>
            </w:r>
            <w:r>
              <w:rPr>
                <w:rFonts w:hint="eastAsia"/>
                <w:color w:val="auto"/>
                <w:sz w:val="24"/>
              </w:rPr>
              <w:t>5毫克/立方米，臭氧(</w:t>
            </w:r>
            <w:r>
              <w:rPr>
                <w:rFonts w:hint="eastAsia"/>
                <w:color w:val="auto"/>
                <w:sz w:val="24"/>
                <w:lang w:val="en-US" w:eastAsia="zh-CN"/>
              </w:rPr>
              <w:t>O</w:t>
            </w:r>
            <w:r>
              <w:rPr>
                <w:rFonts w:hint="eastAsia"/>
                <w:color w:val="auto"/>
                <w:sz w:val="24"/>
                <w:vertAlign w:val="subscript"/>
                <w:lang w:val="en-US" w:eastAsia="zh-CN"/>
              </w:rPr>
              <w:t>3</w:t>
            </w:r>
            <w:r>
              <w:rPr>
                <w:rFonts w:hint="eastAsia"/>
                <w:color w:val="auto"/>
                <w:sz w:val="24"/>
              </w:rPr>
              <w:t>)日</w:t>
            </w:r>
            <w:r>
              <w:rPr>
                <w:rFonts w:hint="eastAsia"/>
                <w:color w:val="auto"/>
                <w:sz w:val="24"/>
                <w:lang w:eastAsia="zh-CN"/>
              </w:rPr>
              <w:t>最大</w:t>
            </w:r>
            <w:r>
              <w:rPr>
                <w:rFonts w:hint="eastAsia"/>
                <w:color w:val="auto"/>
                <w:sz w:val="24"/>
              </w:rPr>
              <w:t>8小时平均第90百分位浓度</w:t>
            </w:r>
            <w:r>
              <w:rPr>
                <w:rFonts w:hint="eastAsia"/>
                <w:color w:val="auto"/>
                <w:sz w:val="24"/>
                <w:lang w:eastAsia="zh-CN"/>
              </w:rPr>
              <w:t>平均</w:t>
            </w:r>
            <w:r>
              <w:rPr>
                <w:rFonts w:hint="eastAsia"/>
                <w:color w:val="auto"/>
                <w:sz w:val="24"/>
              </w:rPr>
              <w:t>为181微克/立方米。</w:t>
            </w:r>
          </w:p>
          <w:p w14:paraId="72736F1F">
            <w:pPr>
              <w:pStyle w:val="29"/>
              <w:spacing w:line="500" w:lineRule="exact"/>
              <w:ind w:firstLine="480" w:firstLineChars="200"/>
              <w:rPr>
                <w:color w:val="auto"/>
                <w:sz w:val="24"/>
              </w:rPr>
            </w:pPr>
            <w:r>
              <w:rPr>
                <w:rFonts w:hint="eastAsia"/>
                <w:color w:val="auto"/>
                <w:sz w:val="24"/>
              </w:rPr>
              <w:t>各县(市、区)环境空气质量综合指数在3.99~4.83之间，细颗粒物(PM</w:t>
            </w:r>
            <w:r>
              <w:rPr>
                <w:rFonts w:hint="eastAsia"/>
                <w:color w:val="auto"/>
                <w:sz w:val="24"/>
                <w:vertAlign w:val="subscript"/>
                <w:lang w:val="en-US" w:eastAsia="zh-CN"/>
              </w:rPr>
              <w:t>2.5</w:t>
            </w:r>
            <w:r>
              <w:rPr>
                <w:rFonts w:hint="eastAsia"/>
                <w:color w:val="auto"/>
                <w:sz w:val="24"/>
              </w:rPr>
              <w:t>)年均浓度在27~41微克/立方米之间； 可吸入颗粒物(PM</w:t>
            </w:r>
            <w:r>
              <w:rPr>
                <w:rFonts w:hint="eastAsia"/>
                <w:color w:val="auto"/>
                <w:sz w:val="24"/>
                <w:vertAlign w:val="subscript"/>
                <w:lang w:val="en-US" w:eastAsia="zh-CN"/>
              </w:rPr>
              <w:t>10</w:t>
            </w:r>
            <w:r>
              <w:rPr>
                <w:rFonts w:hint="eastAsia"/>
                <w:color w:val="auto"/>
                <w:sz w:val="24"/>
              </w:rPr>
              <w:t>) 年均浓度在60~80微克/立方米之间； 二氧化硫(SO</w:t>
            </w:r>
            <w:r>
              <w:rPr>
                <w:rFonts w:hint="eastAsia"/>
                <w:color w:val="auto"/>
                <w:sz w:val="24"/>
                <w:vertAlign w:val="subscript"/>
                <w:lang w:val="en-US" w:eastAsia="zh-CN"/>
              </w:rPr>
              <w:t>2</w:t>
            </w:r>
            <w:r>
              <w:rPr>
                <w:rFonts w:hint="eastAsia"/>
                <w:color w:val="auto"/>
                <w:sz w:val="24"/>
              </w:rPr>
              <w:t>)年均浓度在7~13微克/立方米之间；二</w:t>
            </w:r>
            <w:r>
              <w:rPr>
                <w:rFonts w:hint="eastAsia"/>
                <w:color w:val="auto"/>
                <w:sz w:val="24"/>
                <w:lang w:eastAsia="zh-CN"/>
              </w:rPr>
              <w:t>氧</w:t>
            </w:r>
            <w:r>
              <w:rPr>
                <w:rFonts w:hint="eastAsia"/>
                <w:color w:val="auto"/>
                <w:sz w:val="24"/>
              </w:rPr>
              <w:t>化氮(NO</w:t>
            </w:r>
            <w:r>
              <w:rPr>
                <w:rFonts w:hint="eastAsia"/>
                <w:color w:val="auto"/>
                <w:sz w:val="24"/>
                <w:vertAlign w:val="subscript"/>
                <w:lang w:val="en-US" w:eastAsia="zh-CN"/>
              </w:rPr>
              <w:t>2</w:t>
            </w:r>
            <w:r>
              <w:rPr>
                <w:rFonts w:hint="eastAsia"/>
                <w:color w:val="auto"/>
                <w:sz w:val="24"/>
              </w:rPr>
              <w:t>)年均浓度在23~42微克∕立方米之间；一氧化碳(CO)日均值第95百分位浓度平均在1.1~2.0毫克/立方米之间； 臭氧(</w:t>
            </w:r>
            <w:r>
              <w:rPr>
                <w:rFonts w:hint="eastAsia"/>
                <w:color w:val="auto"/>
                <w:sz w:val="24"/>
                <w:lang w:val="en-US" w:eastAsia="zh-CN"/>
              </w:rPr>
              <w:t>O</w:t>
            </w:r>
            <w:r>
              <w:rPr>
                <w:rFonts w:hint="eastAsia"/>
                <w:color w:val="auto"/>
                <w:sz w:val="24"/>
                <w:vertAlign w:val="subscript"/>
                <w:lang w:val="en-US" w:eastAsia="zh-CN"/>
              </w:rPr>
              <w:t>3</w:t>
            </w:r>
            <w:r>
              <w:rPr>
                <w:rFonts w:hint="eastAsia"/>
                <w:color w:val="auto"/>
                <w:sz w:val="24"/>
              </w:rPr>
              <w:t>)日</w:t>
            </w:r>
            <w:r>
              <w:rPr>
                <w:rFonts w:hint="eastAsia"/>
                <w:color w:val="auto"/>
                <w:sz w:val="24"/>
                <w:lang w:eastAsia="zh-CN"/>
              </w:rPr>
              <w:t>最大</w:t>
            </w:r>
            <w:r>
              <w:rPr>
                <w:rFonts w:hint="eastAsia"/>
                <w:color w:val="auto"/>
                <w:sz w:val="24"/>
              </w:rPr>
              <w:t>8小时平均第90百分位浓度平均在173〜190微克</w:t>
            </w:r>
            <w:r>
              <w:rPr>
                <w:rFonts w:hint="eastAsia"/>
                <w:color w:val="auto"/>
                <w:sz w:val="24"/>
                <w:lang w:val="en-US" w:eastAsia="zh-CN"/>
              </w:rPr>
              <w:t>/</w:t>
            </w:r>
            <w:r>
              <w:rPr>
                <w:rFonts w:hint="eastAsia"/>
                <w:color w:val="auto"/>
                <w:sz w:val="24"/>
                <w:lang w:eastAsia="zh-CN"/>
              </w:rPr>
              <w:t>立方米</w:t>
            </w:r>
            <w:r>
              <w:rPr>
                <w:rFonts w:hint="eastAsia"/>
                <w:color w:val="auto"/>
                <w:sz w:val="24"/>
              </w:rPr>
              <w:t>之间。</w:t>
            </w:r>
            <w:r>
              <w:rPr>
                <w:color w:val="auto"/>
                <w:sz w:val="24"/>
              </w:rPr>
              <w:t>评价结果见</w:t>
            </w:r>
            <w:r>
              <w:rPr>
                <w:rFonts w:hint="eastAsia"/>
                <w:color w:val="auto"/>
                <w:sz w:val="24"/>
              </w:rPr>
              <w:t>下</w:t>
            </w:r>
            <w:r>
              <w:rPr>
                <w:color w:val="auto"/>
                <w:sz w:val="24"/>
              </w:rPr>
              <w:t>表。</w:t>
            </w:r>
          </w:p>
          <w:p w14:paraId="2FB97D3A">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13</w:t>
            </w:r>
            <w:r>
              <w:rPr>
                <w:rFonts w:hint="eastAsia"/>
                <w:b/>
                <w:bCs/>
                <w:color w:val="auto"/>
                <w:sz w:val="24"/>
                <w:lang w:val="en-US" w:eastAsia="zh-CN"/>
              </w:rPr>
              <w:t xml:space="preserve"> </w:t>
            </w:r>
            <w:r>
              <w:rPr>
                <w:b/>
                <w:bCs/>
                <w:color w:val="auto"/>
                <w:sz w:val="24"/>
              </w:rPr>
              <w:t xml:space="preserve">  区域空气质量现状评价表</w:t>
            </w:r>
          </w:p>
          <w:tbl>
            <w:tblPr>
              <w:tblStyle w:val="23"/>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21"/>
              <w:gridCol w:w="2100"/>
              <w:gridCol w:w="1390"/>
              <w:gridCol w:w="1538"/>
              <w:gridCol w:w="1970"/>
            </w:tblGrid>
            <w:tr w14:paraId="7D7349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690" w:type="pct"/>
                  <w:vAlign w:val="center"/>
                </w:tcPr>
                <w:p w14:paraId="3003109C">
                  <w:pPr>
                    <w:spacing w:line="320" w:lineRule="exact"/>
                    <w:jc w:val="center"/>
                    <w:rPr>
                      <w:bCs/>
                      <w:color w:val="auto"/>
                      <w:szCs w:val="21"/>
                    </w:rPr>
                  </w:pPr>
                  <w:r>
                    <w:rPr>
                      <w:bCs/>
                      <w:color w:val="auto"/>
                      <w:szCs w:val="21"/>
                    </w:rPr>
                    <w:t>污染物</w:t>
                  </w:r>
                </w:p>
              </w:tc>
              <w:tc>
                <w:tcPr>
                  <w:tcW w:w="1293" w:type="pct"/>
                  <w:vAlign w:val="center"/>
                </w:tcPr>
                <w:p w14:paraId="6D18FEBC">
                  <w:pPr>
                    <w:spacing w:line="320" w:lineRule="exact"/>
                    <w:jc w:val="center"/>
                    <w:rPr>
                      <w:bCs/>
                      <w:color w:val="auto"/>
                      <w:spacing w:val="-10"/>
                      <w:szCs w:val="21"/>
                    </w:rPr>
                  </w:pPr>
                  <w:r>
                    <w:rPr>
                      <w:bCs/>
                      <w:color w:val="auto"/>
                      <w:spacing w:val="-10"/>
                      <w:szCs w:val="21"/>
                    </w:rPr>
                    <w:t>年评价指标</w:t>
                  </w:r>
                </w:p>
              </w:tc>
              <w:tc>
                <w:tcPr>
                  <w:tcW w:w="856" w:type="pct"/>
                  <w:vAlign w:val="center"/>
                </w:tcPr>
                <w:p w14:paraId="658383A2">
                  <w:pPr>
                    <w:spacing w:line="320" w:lineRule="exact"/>
                    <w:jc w:val="center"/>
                    <w:rPr>
                      <w:bCs/>
                      <w:color w:val="auto"/>
                      <w:szCs w:val="21"/>
                    </w:rPr>
                  </w:pPr>
                  <w:r>
                    <w:rPr>
                      <w:bCs/>
                      <w:color w:val="auto"/>
                      <w:szCs w:val="21"/>
                    </w:rPr>
                    <w:t>现状浓度</w:t>
                  </w:r>
                </w:p>
                <w:p w14:paraId="31BB33D1">
                  <w:pPr>
                    <w:pStyle w:val="22"/>
                    <w:spacing w:after="0" w:line="320" w:lineRule="exact"/>
                    <w:ind w:left="0" w:leftChars="0" w:firstLine="0" w:firstLineChars="0"/>
                    <w:jc w:val="center"/>
                    <w:rPr>
                      <w:bCs/>
                      <w:color w:val="auto"/>
                      <w:szCs w:val="21"/>
                    </w:rPr>
                  </w:pPr>
                  <w:r>
                    <w:rPr>
                      <w:bCs/>
                      <w:color w:val="auto"/>
                      <w:spacing w:val="-10"/>
                      <w:szCs w:val="21"/>
                    </w:rPr>
                    <w:t>（</w:t>
                  </w:r>
                  <w:r>
                    <w:rPr>
                      <w:bCs/>
                      <w:color w:val="auto"/>
                      <w:spacing w:val="-11"/>
                      <w:szCs w:val="21"/>
                    </w:rPr>
                    <w:t>μg/m</w:t>
                  </w:r>
                  <w:r>
                    <w:rPr>
                      <w:bCs/>
                      <w:color w:val="auto"/>
                      <w:spacing w:val="-11"/>
                      <w:szCs w:val="21"/>
                      <w:vertAlign w:val="superscript"/>
                    </w:rPr>
                    <w:t>3</w:t>
                  </w:r>
                  <w:r>
                    <w:rPr>
                      <w:bCs/>
                      <w:color w:val="auto"/>
                      <w:spacing w:val="-10"/>
                      <w:szCs w:val="21"/>
                    </w:rPr>
                    <w:t>）</w:t>
                  </w:r>
                </w:p>
              </w:tc>
              <w:tc>
                <w:tcPr>
                  <w:tcW w:w="947" w:type="pct"/>
                  <w:vAlign w:val="center"/>
                </w:tcPr>
                <w:p w14:paraId="783CA2E8">
                  <w:pPr>
                    <w:spacing w:line="320" w:lineRule="exact"/>
                    <w:jc w:val="center"/>
                    <w:rPr>
                      <w:bCs/>
                      <w:color w:val="auto"/>
                      <w:szCs w:val="21"/>
                    </w:rPr>
                  </w:pPr>
                  <w:r>
                    <w:rPr>
                      <w:bCs/>
                      <w:color w:val="auto"/>
                      <w:szCs w:val="21"/>
                    </w:rPr>
                    <w:t>标准值</w:t>
                  </w:r>
                </w:p>
                <w:p w14:paraId="16DD6ACE">
                  <w:pPr>
                    <w:spacing w:line="320" w:lineRule="exact"/>
                    <w:jc w:val="center"/>
                    <w:rPr>
                      <w:bCs/>
                      <w:color w:val="auto"/>
                      <w:spacing w:val="-10"/>
                      <w:szCs w:val="21"/>
                    </w:rPr>
                  </w:pPr>
                  <w:r>
                    <w:rPr>
                      <w:bCs/>
                      <w:color w:val="auto"/>
                      <w:spacing w:val="-10"/>
                      <w:szCs w:val="21"/>
                    </w:rPr>
                    <w:t>（</w:t>
                  </w:r>
                  <w:r>
                    <w:rPr>
                      <w:bCs/>
                      <w:color w:val="auto"/>
                      <w:spacing w:val="-11"/>
                      <w:szCs w:val="21"/>
                    </w:rPr>
                    <w:t>μg/m</w:t>
                  </w:r>
                  <w:r>
                    <w:rPr>
                      <w:bCs/>
                      <w:color w:val="auto"/>
                      <w:spacing w:val="-11"/>
                      <w:szCs w:val="21"/>
                      <w:vertAlign w:val="superscript"/>
                    </w:rPr>
                    <w:t>3</w:t>
                  </w:r>
                  <w:r>
                    <w:rPr>
                      <w:bCs/>
                      <w:color w:val="auto"/>
                      <w:spacing w:val="-10"/>
                      <w:szCs w:val="21"/>
                    </w:rPr>
                    <w:t>）</w:t>
                  </w:r>
                </w:p>
              </w:tc>
              <w:tc>
                <w:tcPr>
                  <w:tcW w:w="1212" w:type="pct"/>
                  <w:vAlign w:val="center"/>
                </w:tcPr>
                <w:p w14:paraId="55BAD57A">
                  <w:pPr>
                    <w:widowControl/>
                    <w:spacing w:line="320" w:lineRule="exact"/>
                    <w:jc w:val="center"/>
                    <w:rPr>
                      <w:bCs/>
                      <w:color w:val="auto"/>
                      <w:szCs w:val="21"/>
                    </w:rPr>
                  </w:pPr>
                  <w:r>
                    <w:rPr>
                      <w:bCs/>
                      <w:color w:val="auto"/>
                      <w:szCs w:val="21"/>
                    </w:rPr>
                    <w:t>达标情况</w:t>
                  </w:r>
                </w:p>
              </w:tc>
            </w:tr>
            <w:tr w14:paraId="3E60D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690" w:type="pct"/>
                  <w:vAlign w:val="center"/>
                </w:tcPr>
                <w:p w14:paraId="0C34B4DB">
                  <w:pPr>
                    <w:spacing w:line="320" w:lineRule="exact"/>
                    <w:jc w:val="center"/>
                    <w:rPr>
                      <w:bCs/>
                      <w:color w:val="auto"/>
                      <w:szCs w:val="21"/>
                    </w:rPr>
                  </w:pPr>
                  <w:r>
                    <w:rPr>
                      <w:bCs/>
                      <w:color w:val="auto"/>
                      <w:szCs w:val="21"/>
                    </w:rPr>
                    <w:t>SO</w:t>
                  </w:r>
                  <w:r>
                    <w:rPr>
                      <w:bCs/>
                      <w:color w:val="auto"/>
                      <w:szCs w:val="21"/>
                      <w:vertAlign w:val="subscript"/>
                    </w:rPr>
                    <w:t>2</w:t>
                  </w:r>
                </w:p>
              </w:tc>
              <w:tc>
                <w:tcPr>
                  <w:tcW w:w="1293" w:type="pct"/>
                  <w:vAlign w:val="center"/>
                </w:tcPr>
                <w:p w14:paraId="41F4E897">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41834276">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7</w:t>
                  </w:r>
                </w:p>
              </w:tc>
              <w:tc>
                <w:tcPr>
                  <w:tcW w:w="947" w:type="pct"/>
                  <w:vAlign w:val="center"/>
                </w:tcPr>
                <w:p w14:paraId="7BF8BAB9">
                  <w:pPr>
                    <w:spacing w:line="320" w:lineRule="exact"/>
                    <w:jc w:val="center"/>
                    <w:rPr>
                      <w:bCs/>
                      <w:color w:val="auto"/>
                      <w:spacing w:val="-10"/>
                      <w:szCs w:val="21"/>
                    </w:rPr>
                  </w:pPr>
                  <w:r>
                    <w:rPr>
                      <w:bCs/>
                      <w:color w:val="auto"/>
                      <w:spacing w:val="-10"/>
                      <w:szCs w:val="21"/>
                    </w:rPr>
                    <w:t>60</w:t>
                  </w:r>
                </w:p>
              </w:tc>
              <w:tc>
                <w:tcPr>
                  <w:tcW w:w="1212" w:type="pct"/>
                  <w:vAlign w:val="center"/>
                </w:tcPr>
                <w:p w14:paraId="4E94C338">
                  <w:pPr>
                    <w:widowControl/>
                    <w:spacing w:line="320" w:lineRule="exact"/>
                    <w:jc w:val="center"/>
                    <w:rPr>
                      <w:bCs/>
                      <w:color w:val="auto"/>
                      <w:szCs w:val="21"/>
                    </w:rPr>
                  </w:pPr>
                  <w:r>
                    <w:rPr>
                      <w:bCs/>
                      <w:color w:val="auto"/>
                      <w:szCs w:val="21"/>
                    </w:rPr>
                    <w:t>达标</w:t>
                  </w:r>
                </w:p>
              </w:tc>
            </w:tr>
            <w:tr w14:paraId="1496E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5" w:hRule="atLeast"/>
                <w:jc w:val="center"/>
              </w:trPr>
              <w:tc>
                <w:tcPr>
                  <w:tcW w:w="690" w:type="pct"/>
                  <w:vAlign w:val="center"/>
                </w:tcPr>
                <w:p w14:paraId="1403C21D">
                  <w:pPr>
                    <w:spacing w:line="320" w:lineRule="exact"/>
                    <w:jc w:val="center"/>
                    <w:rPr>
                      <w:bCs/>
                      <w:color w:val="auto"/>
                      <w:szCs w:val="21"/>
                    </w:rPr>
                  </w:pPr>
                  <w:r>
                    <w:rPr>
                      <w:bCs/>
                      <w:color w:val="auto"/>
                      <w:szCs w:val="21"/>
                    </w:rPr>
                    <w:t>NO</w:t>
                  </w:r>
                  <w:r>
                    <w:rPr>
                      <w:bCs/>
                      <w:color w:val="auto"/>
                      <w:szCs w:val="21"/>
                      <w:vertAlign w:val="subscript"/>
                    </w:rPr>
                    <w:t>2</w:t>
                  </w:r>
                </w:p>
              </w:tc>
              <w:tc>
                <w:tcPr>
                  <w:tcW w:w="1293" w:type="pct"/>
                  <w:vAlign w:val="center"/>
                </w:tcPr>
                <w:p w14:paraId="641F5F6F">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0C98C80A">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33</w:t>
                  </w:r>
                </w:p>
              </w:tc>
              <w:tc>
                <w:tcPr>
                  <w:tcW w:w="947" w:type="pct"/>
                  <w:vAlign w:val="center"/>
                </w:tcPr>
                <w:p w14:paraId="6CDB7A88">
                  <w:pPr>
                    <w:spacing w:line="320" w:lineRule="exact"/>
                    <w:jc w:val="center"/>
                    <w:rPr>
                      <w:bCs/>
                      <w:color w:val="auto"/>
                      <w:spacing w:val="-10"/>
                      <w:szCs w:val="21"/>
                    </w:rPr>
                  </w:pPr>
                  <w:r>
                    <w:rPr>
                      <w:bCs/>
                      <w:color w:val="auto"/>
                      <w:spacing w:val="-10"/>
                      <w:szCs w:val="21"/>
                    </w:rPr>
                    <w:t>40</w:t>
                  </w:r>
                </w:p>
              </w:tc>
              <w:tc>
                <w:tcPr>
                  <w:tcW w:w="1212" w:type="pct"/>
                  <w:vAlign w:val="center"/>
                </w:tcPr>
                <w:p w14:paraId="45F79178">
                  <w:pPr>
                    <w:widowControl/>
                    <w:spacing w:line="320" w:lineRule="exact"/>
                    <w:jc w:val="center"/>
                    <w:rPr>
                      <w:bCs/>
                      <w:color w:val="auto"/>
                      <w:szCs w:val="21"/>
                    </w:rPr>
                  </w:pPr>
                  <w:r>
                    <w:rPr>
                      <w:bCs/>
                      <w:color w:val="auto"/>
                      <w:szCs w:val="21"/>
                    </w:rPr>
                    <w:t>达标</w:t>
                  </w:r>
                </w:p>
              </w:tc>
            </w:tr>
            <w:tr w14:paraId="61961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690" w:type="pct"/>
                  <w:vAlign w:val="center"/>
                </w:tcPr>
                <w:p w14:paraId="43588EFE">
                  <w:pPr>
                    <w:spacing w:line="320" w:lineRule="exact"/>
                    <w:jc w:val="center"/>
                    <w:rPr>
                      <w:bCs/>
                      <w:color w:val="auto"/>
                      <w:szCs w:val="21"/>
                    </w:rPr>
                  </w:pPr>
                  <w:r>
                    <w:rPr>
                      <w:bCs/>
                      <w:color w:val="auto"/>
                      <w:szCs w:val="21"/>
                    </w:rPr>
                    <w:t>CO</w:t>
                  </w:r>
                </w:p>
              </w:tc>
              <w:tc>
                <w:tcPr>
                  <w:tcW w:w="1293" w:type="pct"/>
                  <w:vAlign w:val="center"/>
                </w:tcPr>
                <w:p w14:paraId="31FD85B5">
                  <w:pPr>
                    <w:pStyle w:val="3"/>
                    <w:spacing w:line="320" w:lineRule="exact"/>
                    <w:jc w:val="center"/>
                    <w:rPr>
                      <w:rFonts w:ascii="Times New Roman"/>
                      <w:color w:val="auto"/>
                      <w:szCs w:val="21"/>
                    </w:rPr>
                  </w:pPr>
                  <w:r>
                    <w:rPr>
                      <w:rFonts w:ascii="Times New Roman"/>
                      <w:color w:val="auto"/>
                      <w:szCs w:val="21"/>
                    </w:rPr>
                    <w:t>第95百分位浓度日平均浓度值</w:t>
                  </w:r>
                </w:p>
              </w:tc>
              <w:tc>
                <w:tcPr>
                  <w:tcW w:w="856" w:type="pct"/>
                  <w:vAlign w:val="center"/>
                </w:tcPr>
                <w:p w14:paraId="0BB464CB">
                  <w:pPr>
                    <w:spacing w:line="320" w:lineRule="exact"/>
                    <w:jc w:val="center"/>
                    <w:rPr>
                      <w:rFonts w:hint="default" w:eastAsia="宋体"/>
                      <w:bCs/>
                      <w:color w:val="auto"/>
                      <w:spacing w:val="-10"/>
                      <w:szCs w:val="21"/>
                      <w:lang w:val="en-US" w:eastAsia="zh-CN"/>
                    </w:rPr>
                  </w:pPr>
                  <w:r>
                    <w:rPr>
                      <w:rFonts w:hint="eastAsia"/>
                      <w:bCs/>
                      <w:color w:val="auto"/>
                      <w:spacing w:val="-10"/>
                      <w:szCs w:val="21"/>
                    </w:rPr>
                    <w:t>1</w:t>
                  </w:r>
                  <w:r>
                    <w:rPr>
                      <w:rFonts w:hint="eastAsia"/>
                      <w:bCs/>
                      <w:color w:val="auto"/>
                      <w:spacing w:val="-10"/>
                      <w:szCs w:val="21"/>
                      <w:lang w:val="en-US" w:eastAsia="zh-CN"/>
                    </w:rPr>
                    <w:t>500</w:t>
                  </w:r>
                </w:p>
              </w:tc>
              <w:tc>
                <w:tcPr>
                  <w:tcW w:w="947" w:type="pct"/>
                  <w:vAlign w:val="center"/>
                </w:tcPr>
                <w:p w14:paraId="487CF285">
                  <w:pPr>
                    <w:spacing w:line="320" w:lineRule="exact"/>
                    <w:jc w:val="center"/>
                    <w:rPr>
                      <w:bCs/>
                      <w:color w:val="auto"/>
                      <w:spacing w:val="-10"/>
                      <w:szCs w:val="21"/>
                    </w:rPr>
                  </w:pPr>
                  <w:r>
                    <w:rPr>
                      <w:bCs/>
                      <w:color w:val="auto"/>
                      <w:spacing w:val="-10"/>
                      <w:szCs w:val="21"/>
                    </w:rPr>
                    <w:t>4000</w:t>
                  </w:r>
                </w:p>
              </w:tc>
              <w:tc>
                <w:tcPr>
                  <w:tcW w:w="1212" w:type="pct"/>
                  <w:vAlign w:val="center"/>
                </w:tcPr>
                <w:p w14:paraId="6CC3A7B1">
                  <w:pPr>
                    <w:spacing w:line="320" w:lineRule="exact"/>
                    <w:jc w:val="center"/>
                    <w:rPr>
                      <w:bCs/>
                      <w:color w:val="auto"/>
                      <w:szCs w:val="21"/>
                    </w:rPr>
                  </w:pPr>
                  <w:r>
                    <w:rPr>
                      <w:bCs/>
                      <w:color w:val="auto"/>
                      <w:szCs w:val="21"/>
                    </w:rPr>
                    <w:t>达标</w:t>
                  </w:r>
                </w:p>
              </w:tc>
            </w:tr>
            <w:tr w14:paraId="053C2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690" w:type="pct"/>
                  <w:vAlign w:val="center"/>
                </w:tcPr>
                <w:p w14:paraId="72A6A1F1">
                  <w:pPr>
                    <w:spacing w:line="320" w:lineRule="exact"/>
                    <w:jc w:val="center"/>
                    <w:rPr>
                      <w:bCs/>
                      <w:color w:val="auto"/>
                      <w:szCs w:val="21"/>
                    </w:rPr>
                  </w:pPr>
                  <w:r>
                    <w:rPr>
                      <w:bCs/>
                      <w:color w:val="auto"/>
                      <w:szCs w:val="21"/>
                    </w:rPr>
                    <w:t>O</w:t>
                  </w:r>
                  <w:r>
                    <w:rPr>
                      <w:bCs/>
                      <w:color w:val="auto"/>
                      <w:szCs w:val="21"/>
                      <w:vertAlign w:val="subscript"/>
                    </w:rPr>
                    <w:t>3</w:t>
                  </w:r>
                </w:p>
              </w:tc>
              <w:tc>
                <w:tcPr>
                  <w:tcW w:w="1293" w:type="pct"/>
                  <w:vAlign w:val="center"/>
                </w:tcPr>
                <w:p w14:paraId="0009B708">
                  <w:pPr>
                    <w:pStyle w:val="3"/>
                    <w:spacing w:line="320" w:lineRule="exact"/>
                    <w:jc w:val="center"/>
                    <w:rPr>
                      <w:rFonts w:ascii="Times New Roman"/>
                      <w:color w:val="auto"/>
                      <w:szCs w:val="21"/>
                    </w:rPr>
                  </w:pPr>
                  <w:r>
                    <w:rPr>
                      <w:rFonts w:ascii="Times New Roman"/>
                      <w:color w:val="auto"/>
                      <w:szCs w:val="21"/>
                    </w:rPr>
                    <w:t>日最大8小时平均第90百分位浓度</w:t>
                  </w:r>
                </w:p>
              </w:tc>
              <w:tc>
                <w:tcPr>
                  <w:tcW w:w="856" w:type="pct"/>
                  <w:vAlign w:val="center"/>
                </w:tcPr>
                <w:p w14:paraId="08B0905F">
                  <w:pPr>
                    <w:spacing w:line="320" w:lineRule="exact"/>
                    <w:jc w:val="center"/>
                    <w:rPr>
                      <w:rFonts w:hint="default" w:eastAsia="宋体"/>
                      <w:bCs/>
                      <w:color w:val="auto"/>
                      <w:spacing w:val="-10"/>
                      <w:szCs w:val="21"/>
                      <w:lang w:val="en-US" w:eastAsia="zh-CN"/>
                    </w:rPr>
                  </w:pPr>
                  <w:r>
                    <w:rPr>
                      <w:rFonts w:hint="eastAsia"/>
                      <w:bCs/>
                      <w:color w:val="auto"/>
                      <w:spacing w:val="-10"/>
                      <w:szCs w:val="21"/>
                    </w:rPr>
                    <w:t>1</w:t>
                  </w:r>
                  <w:r>
                    <w:rPr>
                      <w:rFonts w:hint="eastAsia"/>
                      <w:bCs/>
                      <w:color w:val="auto"/>
                      <w:spacing w:val="-10"/>
                      <w:szCs w:val="21"/>
                      <w:lang w:val="en-US" w:eastAsia="zh-CN"/>
                    </w:rPr>
                    <w:t>81</w:t>
                  </w:r>
                </w:p>
              </w:tc>
              <w:tc>
                <w:tcPr>
                  <w:tcW w:w="947" w:type="pct"/>
                  <w:vAlign w:val="center"/>
                </w:tcPr>
                <w:p w14:paraId="079FA62D">
                  <w:pPr>
                    <w:spacing w:line="320" w:lineRule="exact"/>
                    <w:jc w:val="center"/>
                    <w:rPr>
                      <w:bCs/>
                      <w:color w:val="auto"/>
                      <w:spacing w:val="-10"/>
                      <w:szCs w:val="21"/>
                    </w:rPr>
                  </w:pPr>
                  <w:r>
                    <w:rPr>
                      <w:bCs/>
                      <w:color w:val="auto"/>
                      <w:spacing w:val="-10"/>
                      <w:szCs w:val="21"/>
                    </w:rPr>
                    <w:t>160</w:t>
                  </w:r>
                </w:p>
              </w:tc>
              <w:tc>
                <w:tcPr>
                  <w:tcW w:w="1212" w:type="pct"/>
                  <w:vAlign w:val="center"/>
                </w:tcPr>
                <w:p w14:paraId="3708DA5F">
                  <w:pPr>
                    <w:spacing w:line="320" w:lineRule="exact"/>
                    <w:jc w:val="center"/>
                    <w:rPr>
                      <w:bCs/>
                      <w:color w:val="auto"/>
                      <w:szCs w:val="21"/>
                    </w:rPr>
                  </w:pPr>
                  <w:r>
                    <w:rPr>
                      <w:bCs/>
                      <w:color w:val="auto"/>
                      <w:szCs w:val="21"/>
                    </w:rPr>
                    <w:t>不达标</w:t>
                  </w:r>
                </w:p>
              </w:tc>
            </w:tr>
            <w:tr w14:paraId="650A23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8" w:hRule="atLeast"/>
                <w:jc w:val="center"/>
              </w:trPr>
              <w:tc>
                <w:tcPr>
                  <w:tcW w:w="690" w:type="pct"/>
                  <w:vAlign w:val="center"/>
                </w:tcPr>
                <w:p w14:paraId="30847D77">
                  <w:pPr>
                    <w:spacing w:line="320" w:lineRule="exact"/>
                    <w:jc w:val="center"/>
                    <w:rPr>
                      <w:bCs/>
                      <w:color w:val="auto"/>
                      <w:szCs w:val="21"/>
                    </w:rPr>
                  </w:pPr>
                  <w:r>
                    <w:rPr>
                      <w:bCs/>
                      <w:color w:val="auto"/>
                      <w:szCs w:val="21"/>
                    </w:rPr>
                    <w:t>PM</w:t>
                  </w:r>
                  <w:r>
                    <w:rPr>
                      <w:bCs/>
                      <w:color w:val="auto"/>
                      <w:szCs w:val="21"/>
                      <w:vertAlign w:val="subscript"/>
                    </w:rPr>
                    <w:t>10</w:t>
                  </w:r>
                </w:p>
              </w:tc>
              <w:tc>
                <w:tcPr>
                  <w:tcW w:w="1293" w:type="pct"/>
                  <w:vAlign w:val="center"/>
                </w:tcPr>
                <w:p w14:paraId="4205A3F0">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5F63C01D">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74</w:t>
                  </w:r>
                </w:p>
              </w:tc>
              <w:tc>
                <w:tcPr>
                  <w:tcW w:w="947" w:type="pct"/>
                  <w:vAlign w:val="center"/>
                </w:tcPr>
                <w:p w14:paraId="20129419">
                  <w:pPr>
                    <w:spacing w:line="320" w:lineRule="exact"/>
                    <w:jc w:val="center"/>
                    <w:rPr>
                      <w:bCs/>
                      <w:color w:val="auto"/>
                      <w:spacing w:val="-10"/>
                      <w:szCs w:val="21"/>
                    </w:rPr>
                  </w:pPr>
                  <w:r>
                    <w:rPr>
                      <w:bCs/>
                      <w:color w:val="auto"/>
                      <w:spacing w:val="-10"/>
                      <w:szCs w:val="21"/>
                    </w:rPr>
                    <w:t>70</w:t>
                  </w:r>
                </w:p>
              </w:tc>
              <w:tc>
                <w:tcPr>
                  <w:tcW w:w="1212" w:type="pct"/>
                  <w:vAlign w:val="center"/>
                </w:tcPr>
                <w:p w14:paraId="4837DE03">
                  <w:pPr>
                    <w:widowControl/>
                    <w:spacing w:line="320" w:lineRule="exact"/>
                    <w:jc w:val="center"/>
                    <w:rPr>
                      <w:bCs/>
                      <w:color w:val="auto"/>
                      <w:szCs w:val="21"/>
                    </w:rPr>
                  </w:pPr>
                  <w:r>
                    <w:rPr>
                      <w:rFonts w:hint="eastAsia"/>
                      <w:bCs/>
                      <w:color w:val="auto"/>
                      <w:szCs w:val="21"/>
                      <w:lang w:eastAsia="zh-CN"/>
                    </w:rPr>
                    <w:t>不</w:t>
                  </w:r>
                  <w:r>
                    <w:rPr>
                      <w:bCs/>
                      <w:color w:val="auto"/>
                      <w:szCs w:val="21"/>
                    </w:rPr>
                    <w:t>达标</w:t>
                  </w:r>
                </w:p>
              </w:tc>
            </w:tr>
            <w:tr w14:paraId="66EBE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90" w:type="pct"/>
                  <w:vAlign w:val="center"/>
                </w:tcPr>
                <w:p w14:paraId="7A273A6F">
                  <w:pPr>
                    <w:spacing w:line="320" w:lineRule="exact"/>
                    <w:jc w:val="center"/>
                    <w:rPr>
                      <w:bCs/>
                      <w:color w:val="auto"/>
                      <w:szCs w:val="21"/>
                    </w:rPr>
                  </w:pPr>
                  <w:r>
                    <w:rPr>
                      <w:bCs/>
                      <w:color w:val="auto"/>
                      <w:szCs w:val="21"/>
                    </w:rPr>
                    <w:t>PM</w:t>
                  </w:r>
                  <w:r>
                    <w:rPr>
                      <w:bCs/>
                      <w:color w:val="auto"/>
                      <w:szCs w:val="21"/>
                      <w:vertAlign w:val="subscript"/>
                    </w:rPr>
                    <w:t>2.5</w:t>
                  </w:r>
                </w:p>
              </w:tc>
              <w:tc>
                <w:tcPr>
                  <w:tcW w:w="1293" w:type="pct"/>
                  <w:vAlign w:val="center"/>
                </w:tcPr>
                <w:p w14:paraId="531DAE20">
                  <w:pPr>
                    <w:spacing w:line="320" w:lineRule="exact"/>
                    <w:jc w:val="center"/>
                    <w:rPr>
                      <w:bCs/>
                      <w:color w:val="auto"/>
                      <w:spacing w:val="-10"/>
                      <w:szCs w:val="21"/>
                    </w:rPr>
                  </w:pPr>
                  <w:r>
                    <w:rPr>
                      <w:bCs/>
                      <w:color w:val="auto"/>
                      <w:spacing w:val="-10"/>
                      <w:szCs w:val="21"/>
                    </w:rPr>
                    <w:t>年平均质量浓度值</w:t>
                  </w:r>
                </w:p>
              </w:tc>
              <w:tc>
                <w:tcPr>
                  <w:tcW w:w="856" w:type="pct"/>
                  <w:vAlign w:val="center"/>
                </w:tcPr>
                <w:p w14:paraId="636E5916">
                  <w:pPr>
                    <w:spacing w:line="320" w:lineRule="exact"/>
                    <w:jc w:val="center"/>
                    <w:rPr>
                      <w:rFonts w:hint="default" w:eastAsia="宋体"/>
                      <w:bCs/>
                      <w:color w:val="auto"/>
                      <w:spacing w:val="-10"/>
                      <w:szCs w:val="21"/>
                      <w:lang w:val="en-US" w:eastAsia="zh-CN"/>
                    </w:rPr>
                  </w:pPr>
                  <w:r>
                    <w:rPr>
                      <w:rFonts w:hint="eastAsia"/>
                      <w:bCs/>
                      <w:color w:val="auto"/>
                      <w:spacing w:val="-10"/>
                      <w:szCs w:val="21"/>
                      <w:lang w:val="en-US" w:eastAsia="zh-CN"/>
                    </w:rPr>
                    <w:t>40</w:t>
                  </w:r>
                </w:p>
              </w:tc>
              <w:tc>
                <w:tcPr>
                  <w:tcW w:w="947" w:type="pct"/>
                  <w:vAlign w:val="center"/>
                </w:tcPr>
                <w:p w14:paraId="7714742F">
                  <w:pPr>
                    <w:spacing w:line="320" w:lineRule="exact"/>
                    <w:jc w:val="center"/>
                    <w:rPr>
                      <w:bCs/>
                      <w:color w:val="auto"/>
                      <w:spacing w:val="-10"/>
                      <w:szCs w:val="21"/>
                    </w:rPr>
                  </w:pPr>
                  <w:r>
                    <w:rPr>
                      <w:bCs/>
                      <w:color w:val="auto"/>
                      <w:spacing w:val="-10"/>
                      <w:szCs w:val="21"/>
                    </w:rPr>
                    <w:t>35</w:t>
                  </w:r>
                </w:p>
              </w:tc>
              <w:tc>
                <w:tcPr>
                  <w:tcW w:w="1212" w:type="pct"/>
                  <w:vAlign w:val="center"/>
                </w:tcPr>
                <w:p w14:paraId="48364D70">
                  <w:pPr>
                    <w:widowControl/>
                    <w:spacing w:line="320" w:lineRule="exact"/>
                    <w:jc w:val="center"/>
                    <w:rPr>
                      <w:bCs/>
                      <w:color w:val="auto"/>
                      <w:szCs w:val="21"/>
                    </w:rPr>
                  </w:pPr>
                  <w:r>
                    <w:rPr>
                      <w:bCs/>
                      <w:color w:val="auto"/>
                      <w:szCs w:val="21"/>
                    </w:rPr>
                    <w:t>不达标</w:t>
                  </w:r>
                </w:p>
              </w:tc>
            </w:tr>
          </w:tbl>
          <w:p w14:paraId="65D3BA0B">
            <w:pPr>
              <w:pStyle w:val="11"/>
              <w:spacing w:line="500" w:lineRule="exact"/>
              <w:ind w:firstLine="480" w:firstLineChars="200"/>
              <w:rPr>
                <w:color w:val="auto"/>
                <w:sz w:val="24"/>
              </w:rPr>
            </w:pPr>
            <w:r>
              <w:rPr>
                <w:color w:val="auto"/>
                <w:sz w:val="24"/>
              </w:rPr>
              <w:t>由</w:t>
            </w:r>
            <w:r>
              <w:rPr>
                <w:rFonts w:hint="eastAsia"/>
                <w:color w:val="auto"/>
                <w:sz w:val="24"/>
              </w:rPr>
              <w:t>上表</w:t>
            </w:r>
            <w:r>
              <w:rPr>
                <w:color w:val="auto"/>
                <w:sz w:val="24"/>
              </w:rPr>
              <w:t>可知，项目所在区域环境质量为不达标区，超标因子为O</w:t>
            </w:r>
            <w:r>
              <w:rPr>
                <w:color w:val="auto"/>
                <w:sz w:val="24"/>
                <w:vertAlign w:val="subscript"/>
              </w:rPr>
              <w:t>3</w:t>
            </w:r>
            <w:r>
              <w:rPr>
                <w:rFonts w:hint="eastAsia"/>
                <w:color w:val="auto"/>
                <w:sz w:val="24"/>
                <w:vertAlign w:val="baseline"/>
                <w:lang w:eastAsia="zh-CN"/>
              </w:rPr>
              <w:t>、</w:t>
            </w:r>
            <w:r>
              <w:rPr>
                <w:rFonts w:hint="eastAsia"/>
                <w:color w:val="auto"/>
                <w:sz w:val="24"/>
                <w:vertAlign w:val="baseline"/>
                <w:lang w:val="en-US" w:eastAsia="zh-CN"/>
              </w:rPr>
              <w:t>PM</w:t>
            </w:r>
            <w:r>
              <w:rPr>
                <w:rFonts w:hint="eastAsia"/>
                <w:color w:val="auto"/>
                <w:sz w:val="24"/>
                <w:vertAlign w:val="subscript"/>
                <w:lang w:val="en-US" w:eastAsia="zh-CN"/>
              </w:rPr>
              <w:t>10</w:t>
            </w:r>
            <w:r>
              <w:rPr>
                <w:rFonts w:hint="eastAsia"/>
                <w:color w:val="auto"/>
                <w:sz w:val="24"/>
                <w:vertAlign w:val="baseline"/>
                <w:lang w:val="en-US" w:eastAsia="zh-CN"/>
              </w:rPr>
              <w:t>、PM</w:t>
            </w:r>
            <w:r>
              <w:rPr>
                <w:rFonts w:hint="eastAsia"/>
                <w:color w:val="auto"/>
                <w:sz w:val="24"/>
                <w:vertAlign w:val="subscript"/>
                <w:lang w:val="en-US" w:eastAsia="zh-CN"/>
              </w:rPr>
              <w:t>2.5</w:t>
            </w:r>
            <w:r>
              <w:rPr>
                <w:color w:val="auto"/>
                <w:sz w:val="24"/>
              </w:rPr>
              <w:t>。</w:t>
            </w:r>
          </w:p>
          <w:p w14:paraId="1B3F2586">
            <w:pPr>
              <w:pStyle w:val="29"/>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504" w:firstLineChars="200"/>
              <w:textAlignment w:val="auto"/>
              <w:rPr>
                <w:rFonts w:hint="eastAsia" w:ascii="Times New Roman" w:hAnsi="Times New Roman" w:eastAsia="宋体" w:cs="Times New Roman"/>
                <w:color w:val="auto"/>
                <w:spacing w:val="6"/>
                <w:sz w:val="24"/>
                <w:szCs w:val="24"/>
                <w:highlight w:val="none"/>
                <w:lang w:eastAsia="zh-CN"/>
              </w:rPr>
            </w:pPr>
          </w:p>
          <w:p w14:paraId="5201377F">
            <w:pPr>
              <w:pStyle w:val="29"/>
              <w:keepNext w:val="0"/>
              <w:keepLines w:val="0"/>
              <w:pageBreakBefore w:val="0"/>
              <w:widowControl w:val="0"/>
              <w:numPr>
                <w:ilvl w:val="0"/>
                <w:numId w:val="0"/>
              </w:numPr>
              <w:kinsoku/>
              <w:wordWrap/>
              <w:overflowPunct/>
              <w:topLinePunct w:val="0"/>
              <w:autoSpaceDE/>
              <w:autoSpaceDN/>
              <w:bidi w:val="0"/>
              <w:adjustRightInd/>
              <w:spacing w:line="480" w:lineRule="exact"/>
              <w:ind w:leftChars="0"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eastAsia="宋体" w:cs="Times New Roman"/>
                <w:color w:val="auto"/>
                <w:spacing w:val="6"/>
                <w:sz w:val="24"/>
                <w:szCs w:val="24"/>
                <w:highlight w:val="none"/>
                <w:lang w:eastAsia="zh-CN"/>
              </w:rPr>
              <w:t>（</w:t>
            </w:r>
            <w:r>
              <w:rPr>
                <w:rFonts w:hint="eastAsia" w:ascii="Times New Roman" w:hAnsi="Times New Roman" w:eastAsia="宋体" w:cs="Times New Roman"/>
                <w:color w:val="auto"/>
                <w:spacing w:val="6"/>
                <w:sz w:val="24"/>
                <w:szCs w:val="24"/>
                <w:highlight w:val="none"/>
                <w:lang w:val="en-US" w:eastAsia="zh-CN"/>
              </w:rPr>
              <w:t>2</w:t>
            </w:r>
            <w:r>
              <w:rPr>
                <w:rFonts w:hint="eastAsia" w:ascii="Times New Roman" w:hAnsi="Times New Roman" w:eastAsia="宋体"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14:paraId="5121B61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染物环境质量现状数据使用唐山市生态环境局网站公布的《20</w:t>
            </w:r>
            <w:r>
              <w:rPr>
                <w:rFonts w:hint="eastAsia"/>
                <w:color w:val="auto"/>
                <w:sz w:val="24"/>
                <w:szCs w:val="24"/>
                <w:lang w:val="en-US" w:eastAsia="zh-CN"/>
              </w:rPr>
              <w:t>23</w:t>
            </w:r>
            <w:r>
              <w:rPr>
                <w:rFonts w:hint="default"/>
                <w:color w:val="auto"/>
                <w:sz w:val="24"/>
                <w:szCs w:val="24"/>
              </w:rPr>
              <w:t>年唐山市环境状况公报》</w:t>
            </w:r>
            <w:r>
              <w:rPr>
                <w:rFonts w:hint="eastAsia"/>
                <w:color w:val="auto"/>
                <w:sz w:val="24"/>
                <w:szCs w:val="24"/>
                <w:lang w:val="en-US" w:eastAsia="zh-CN"/>
              </w:rPr>
              <w:t>中</w:t>
            </w:r>
            <w:r>
              <w:rPr>
                <w:rFonts w:hint="eastAsia" w:cs="Times New Roman"/>
                <w:color w:val="000000"/>
                <w:spacing w:val="4"/>
                <w:kern w:val="0"/>
                <w:sz w:val="24"/>
                <w:szCs w:val="24"/>
                <w:highlight w:val="none"/>
                <w:lang w:val="en-US" w:eastAsia="zh-CN"/>
              </w:rPr>
              <w:t>海港经济开发区</w:t>
            </w:r>
            <w:r>
              <w:rPr>
                <w:rFonts w:hint="default"/>
                <w:color w:val="auto"/>
                <w:sz w:val="24"/>
                <w:szCs w:val="24"/>
              </w:rPr>
              <w:t>20</w:t>
            </w:r>
            <w:r>
              <w:rPr>
                <w:rFonts w:hint="eastAsia"/>
                <w:color w:val="auto"/>
                <w:sz w:val="24"/>
                <w:szCs w:val="24"/>
                <w:lang w:val="en-US" w:eastAsia="zh-CN"/>
              </w:rPr>
              <w:t>23</w:t>
            </w:r>
            <w:r>
              <w:rPr>
                <w:rFonts w:hint="default"/>
                <w:color w:val="auto"/>
                <w:sz w:val="24"/>
                <w:szCs w:val="24"/>
              </w:rPr>
              <w:t>年常规污染物年均浓度以及在相应保证率下各个污染物的日均浓度的达标情况，结果见</w:t>
            </w:r>
            <w:r>
              <w:rPr>
                <w:rFonts w:hint="eastAsia"/>
                <w:color w:val="auto"/>
                <w:sz w:val="24"/>
                <w:szCs w:val="24"/>
                <w:lang w:eastAsia="zh-CN"/>
              </w:rPr>
              <w:t>下</w:t>
            </w:r>
            <w:r>
              <w:rPr>
                <w:rFonts w:hint="default"/>
                <w:color w:val="auto"/>
                <w:sz w:val="24"/>
                <w:szCs w:val="24"/>
              </w:rPr>
              <w:t>表。</w:t>
            </w:r>
          </w:p>
          <w:p w14:paraId="3CF4A68F">
            <w:pPr>
              <w:keepNext w:val="0"/>
              <w:keepLines w:val="0"/>
              <w:pageBreakBefore w:val="0"/>
              <w:widowControl/>
              <w:kinsoku/>
              <w:wordWrap/>
              <w:overflowPunct/>
              <w:topLinePunct w:val="0"/>
              <w:bidi w:val="0"/>
              <w:snapToGrid w:val="0"/>
              <w:spacing w:line="480" w:lineRule="exact"/>
              <w:ind w:leftChars="0"/>
              <w:jc w:val="center"/>
              <w:textAlignment w:val="auto"/>
              <w:rPr>
                <w:rFonts w:hint="default" w:ascii="Times New Roman" w:hAnsi="Times New Roman" w:eastAsia="宋体" w:cs="Times New Roman"/>
                <w:b/>
                <w:bCs/>
                <w:snapToGrid w:val="0"/>
                <w:color w:val="000000"/>
                <w:kern w:val="0"/>
                <w:sz w:val="24"/>
                <w:szCs w:val="24"/>
                <w:highlight w:val="none"/>
              </w:rPr>
            </w:pPr>
            <w:r>
              <w:rPr>
                <w:rFonts w:hint="default" w:ascii="Times New Roman" w:hAnsi="Times New Roman" w:eastAsia="宋体" w:cs="Times New Roman"/>
                <w:b/>
                <w:bCs/>
                <w:snapToGrid w:val="0"/>
                <w:color w:val="000000"/>
                <w:kern w:val="0"/>
                <w:sz w:val="24"/>
                <w:szCs w:val="24"/>
                <w:highlight w:val="none"/>
                <w:lang w:val="en-US" w:eastAsia="zh-CN"/>
              </w:rPr>
              <w:t>表</w:t>
            </w:r>
            <w:r>
              <w:rPr>
                <w:rFonts w:hint="eastAsia" w:cs="Times New Roman"/>
                <w:b/>
                <w:bCs/>
                <w:snapToGrid w:val="0"/>
                <w:color w:val="000000"/>
                <w:kern w:val="0"/>
                <w:sz w:val="24"/>
                <w:szCs w:val="24"/>
                <w:highlight w:val="none"/>
                <w:lang w:val="en-US" w:eastAsia="zh-CN"/>
              </w:rPr>
              <w:t>14</w:t>
            </w:r>
            <w:r>
              <w:rPr>
                <w:rFonts w:hint="default" w:ascii="Times New Roman" w:hAnsi="Times New Roman" w:eastAsia="宋体" w:cs="Times New Roman"/>
                <w:b/>
                <w:bCs/>
                <w:snapToGrid w:val="0"/>
                <w:color w:val="000000"/>
                <w:kern w:val="0"/>
                <w:sz w:val="24"/>
                <w:szCs w:val="24"/>
                <w:highlight w:val="none"/>
              </w:rPr>
              <w:t xml:space="preserve">   环境空气现状监测数据</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65"/>
              <w:gridCol w:w="1847"/>
              <w:gridCol w:w="1849"/>
              <w:gridCol w:w="1109"/>
            </w:tblGrid>
            <w:tr w14:paraId="18FA3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650D0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污染物</w:t>
                  </w:r>
                </w:p>
              </w:tc>
              <w:tc>
                <w:tcPr>
                  <w:tcW w:w="1517" w:type="pct"/>
                  <w:tcBorders>
                    <w:tl2br w:val="nil"/>
                    <w:tr2bl w:val="nil"/>
                  </w:tcBorders>
                  <w:noWrap w:val="0"/>
                  <w:vAlign w:val="center"/>
                </w:tcPr>
                <w:p w14:paraId="7ABA0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年评价指标</w:t>
                  </w:r>
                </w:p>
              </w:tc>
              <w:tc>
                <w:tcPr>
                  <w:tcW w:w="1137" w:type="pct"/>
                  <w:tcBorders>
                    <w:tl2br w:val="nil"/>
                    <w:tr2bl w:val="nil"/>
                  </w:tcBorders>
                  <w:noWrap w:val="0"/>
                  <w:vAlign w:val="center"/>
                </w:tcPr>
                <w:p w14:paraId="161532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lang w:eastAsia="zh-CN"/>
                    </w:rPr>
                    <w:t>评价标准</w:t>
                  </w:r>
                  <w:r>
                    <w:rPr>
                      <w:rFonts w:hint="default" w:ascii="Times New Roman" w:hAnsi="Times New Roman" w:eastAsia="宋体" w:cs="Times New Roman"/>
                      <w:color w:val="000000"/>
                      <w:kern w:val="0"/>
                      <w:sz w:val="21"/>
                      <w:szCs w:val="21"/>
                      <w:highlight w:val="none"/>
                    </w:rPr>
                    <w:t>（µg/m</w:t>
                  </w:r>
                  <w:r>
                    <w:rPr>
                      <w:rFonts w:hint="default" w:ascii="Times New Roman" w:hAnsi="Times New Roman" w:eastAsia="宋体" w:cs="Times New Roman"/>
                      <w:color w:val="000000"/>
                      <w:kern w:val="0"/>
                      <w:sz w:val="21"/>
                      <w:szCs w:val="21"/>
                      <w:highlight w:val="none"/>
                      <w:vertAlign w:val="superscript"/>
                    </w:rPr>
                    <w:t>3</w:t>
                  </w:r>
                  <w:r>
                    <w:rPr>
                      <w:rFonts w:hint="default" w:ascii="Times New Roman" w:hAnsi="Times New Roman" w:eastAsia="宋体" w:cs="Times New Roman"/>
                      <w:color w:val="000000"/>
                      <w:kern w:val="0"/>
                      <w:sz w:val="21"/>
                      <w:szCs w:val="21"/>
                      <w:highlight w:val="none"/>
                    </w:rPr>
                    <w:t>）</w:t>
                  </w:r>
                </w:p>
              </w:tc>
              <w:tc>
                <w:tcPr>
                  <w:tcW w:w="1138" w:type="pct"/>
                  <w:tcBorders>
                    <w:tl2br w:val="nil"/>
                    <w:tr2bl w:val="nil"/>
                  </w:tcBorders>
                  <w:noWrap w:val="0"/>
                  <w:vAlign w:val="center"/>
                </w:tcPr>
                <w:p w14:paraId="32A4B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现状浓度/（µg/m</w:t>
                  </w:r>
                  <w:r>
                    <w:rPr>
                      <w:rFonts w:hint="default" w:ascii="Times New Roman" w:hAnsi="Times New Roman" w:eastAsia="宋体" w:cs="Times New Roman"/>
                      <w:color w:val="000000"/>
                      <w:kern w:val="0"/>
                      <w:sz w:val="21"/>
                      <w:szCs w:val="21"/>
                      <w:highlight w:val="none"/>
                      <w:vertAlign w:val="superscript"/>
                    </w:rPr>
                    <w:t>3</w:t>
                  </w:r>
                  <w:r>
                    <w:rPr>
                      <w:rFonts w:hint="default" w:ascii="Times New Roman" w:hAnsi="Times New Roman" w:eastAsia="宋体" w:cs="Times New Roman"/>
                      <w:color w:val="000000"/>
                      <w:kern w:val="0"/>
                      <w:sz w:val="21"/>
                      <w:szCs w:val="21"/>
                      <w:highlight w:val="none"/>
                    </w:rPr>
                    <w:t>）</w:t>
                  </w:r>
                </w:p>
              </w:tc>
              <w:tc>
                <w:tcPr>
                  <w:tcW w:w="682" w:type="pct"/>
                  <w:tcBorders>
                    <w:tl2br w:val="nil"/>
                    <w:tr2bl w:val="nil"/>
                  </w:tcBorders>
                  <w:noWrap w:val="0"/>
                  <w:vAlign w:val="center"/>
                </w:tcPr>
                <w:p w14:paraId="33CEEB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Cs/>
                      <w:color w:val="000000"/>
                      <w:sz w:val="21"/>
                      <w:szCs w:val="21"/>
                      <w:highlight w:val="none"/>
                    </w:rPr>
                  </w:pPr>
                  <w:r>
                    <w:rPr>
                      <w:rFonts w:hint="default" w:ascii="Times New Roman" w:hAnsi="Times New Roman" w:eastAsia="宋体" w:cs="Times New Roman"/>
                      <w:color w:val="000000"/>
                      <w:kern w:val="0"/>
                      <w:sz w:val="21"/>
                      <w:szCs w:val="21"/>
                      <w:highlight w:val="none"/>
                    </w:rPr>
                    <w:t>达标情况</w:t>
                  </w:r>
                </w:p>
              </w:tc>
            </w:tr>
            <w:tr w14:paraId="471CA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F368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pacing w:val="-2"/>
                      <w:sz w:val="21"/>
                      <w:szCs w:val="21"/>
                      <w:highlight w:val="none"/>
                    </w:rPr>
                    <w:t>SO</w:t>
                  </w:r>
                  <w:r>
                    <w:rPr>
                      <w:rFonts w:hint="default" w:ascii="Times New Roman" w:hAnsi="Times New Roman" w:eastAsia="Times New Roman" w:cs="Times New Roman"/>
                      <w:color w:val="000000"/>
                      <w:spacing w:val="-2"/>
                      <w:position w:val="-2"/>
                      <w:sz w:val="13"/>
                      <w:szCs w:val="13"/>
                      <w:highlight w:val="none"/>
                    </w:rPr>
                    <w:t>2</w:t>
                  </w:r>
                </w:p>
              </w:tc>
              <w:tc>
                <w:tcPr>
                  <w:tcW w:w="1517" w:type="pct"/>
                  <w:tcBorders>
                    <w:tl2br w:val="nil"/>
                    <w:tr2bl w:val="nil"/>
                  </w:tcBorders>
                  <w:noWrap w:val="0"/>
                  <w:vAlign w:val="center"/>
                </w:tcPr>
                <w:p w14:paraId="68006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74FCB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60</w:t>
                  </w:r>
                </w:p>
              </w:tc>
              <w:tc>
                <w:tcPr>
                  <w:tcW w:w="1849" w:type="dxa"/>
                  <w:tcBorders>
                    <w:tl2br w:val="nil"/>
                    <w:tr2bl w:val="nil"/>
                  </w:tcBorders>
                  <w:noWrap w:val="0"/>
                  <w:vAlign w:val="center"/>
                </w:tcPr>
                <w:p w14:paraId="0DE2FE4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10</w:t>
                  </w:r>
                </w:p>
              </w:tc>
              <w:tc>
                <w:tcPr>
                  <w:tcW w:w="682" w:type="pct"/>
                  <w:tcBorders>
                    <w:tl2br w:val="nil"/>
                    <w:tr2bl w:val="nil"/>
                  </w:tcBorders>
                  <w:noWrap w:val="0"/>
                  <w:vAlign w:val="center"/>
                </w:tcPr>
                <w:p w14:paraId="16346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618E8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08A8D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NO</w:t>
                  </w:r>
                  <w:r>
                    <w:rPr>
                      <w:rFonts w:hint="default" w:ascii="Times New Roman" w:hAnsi="Times New Roman" w:eastAsia="Times New Roman" w:cs="Times New Roman"/>
                      <w:color w:val="000000"/>
                      <w:spacing w:val="8"/>
                      <w:position w:val="-2"/>
                      <w:sz w:val="13"/>
                      <w:szCs w:val="13"/>
                      <w:highlight w:val="none"/>
                    </w:rPr>
                    <w:t>2</w:t>
                  </w:r>
                </w:p>
              </w:tc>
              <w:tc>
                <w:tcPr>
                  <w:tcW w:w="1517" w:type="pct"/>
                  <w:tcBorders>
                    <w:tl2br w:val="nil"/>
                    <w:tr2bl w:val="nil"/>
                  </w:tcBorders>
                  <w:noWrap w:val="0"/>
                  <w:vAlign w:val="center"/>
                </w:tcPr>
                <w:p w14:paraId="54035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40511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40</w:t>
                  </w:r>
                </w:p>
              </w:tc>
              <w:tc>
                <w:tcPr>
                  <w:tcW w:w="1849" w:type="dxa"/>
                  <w:tcBorders>
                    <w:tl2br w:val="nil"/>
                    <w:tr2bl w:val="nil"/>
                  </w:tcBorders>
                  <w:noWrap w:val="0"/>
                  <w:vAlign w:val="center"/>
                </w:tcPr>
                <w:p w14:paraId="5ED88C0B">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28</w:t>
                  </w:r>
                </w:p>
              </w:tc>
              <w:tc>
                <w:tcPr>
                  <w:tcW w:w="682" w:type="pct"/>
                  <w:tcBorders>
                    <w:tl2br w:val="nil"/>
                    <w:tr2bl w:val="nil"/>
                  </w:tcBorders>
                  <w:noWrap w:val="0"/>
                  <w:vAlign w:val="center"/>
                </w:tcPr>
                <w:p w14:paraId="29323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3A05E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58CF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PM</w:t>
                  </w:r>
                  <w:r>
                    <w:rPr>
                      <w:rFonts w:hint="default" w:ascii="Times New Roman" w:hAnsi="Times New Roman" w:eastAsia="Times New Roman" w:cs="Times New Roman"/>
                      <w:color w:val="000000"/>
                      <w:spacing w:val="5"/>
                      <w:position w:val="-2"/>
                      <w:sz w:val="13"/>
                      <w:szCs w:val="13"/>
                      <w:highlight w:val="none"/>
                    </w:rPr>
                    <w:t>10</w:t>
                  </w:r>
                </w:p>
              </w:tc>
              <w:tc>
                <w:tcPr>
                  <w:tcW w:w="1517" w:type="pct"/>
                  <w:tcBorders>
                    <w:tl2br w:val="nil"/>
                    <w:tr2bl w:val="nil"/>
                  </w:tcBorders>
                  <w:noWrap w:val="0"/>
                  <w:vAlign w:val="center"/>
                </w:tcPr>
                <w:p w14:paraId="79683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72051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70</w:t>
                  </w:r>
                </w:p>
              </w:tc>
              <w:tc>
                <w:tcPr>
                  <w:tcW w:w="1849" w:type="dxa"/>
                  <w:tcBorders>
                    <w:tl2br w:val="nil"/>
                    <w:tr2bl w:val="nil"/>
                  </w:tcBorders>
                  <w:noWrap w:val="0"/>
                  <w:vAlign w:val="center"/>
                </w:tcPr>
                <w:p w14:paraId="232E0C66">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6</w:t>
                  </w:r>
                  <w:r>
                    <w:rPr>
                      <w:rFonts w:hint="eastAsia"/>
                      <w:bCs/>
                      <w:color w:val="auto"/>
                      <w:spacing w:val="-10"/>
                      <w:szCs w:val="21"/>
                      <w:lang w:val="en-US" w:eastAsia="zh-CN"/>
                    </w:rPr>
                    <w:t>0</w:t>
                  </w:r>
                </w:p>
              </w:tc>
              <w:tc>
                <w:tcPr>
                  <w:tcW w:w="682" w:type="pct"/>
                  <w:tcBorders>
                    <w:tl2br w:val="nil"/>
                    <w:tr2bl w:val="nil"/>
                  </w:tcBorders>
                  <w:noWrap w:val="0"/>
                  <w:vAlign w:val="center"/>
                </w:tcPr>
                <w:p w14:paraId="0CA86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eastAsia" w:cs="Times New Roman"/>
                      <w:color w:val="000000"/>
                      <w:kern w:val="0"/>
                      <w:sz w:val="21"/>
                      <w:szCs w:val="21"/>
                      <w:highlight w:val="none"/>
                      <w:lang w:eastAsia="zh-CN"/>
                    </w:rPr>
                    <w:t>达</w:t>
                  </w:r>
                  <w:r>
                    <w:rPr>
                      <w:rFonts w:hint="default" w:ascii="Times New Roman" w:hAnsi="Times New Roman" w:eastAsia="宋体" w:cs="Times New Roman"/>
                      <w:color w:val="000000"/>
                      <w:kern w:val="0"/>
                      <w:sz w:val="21"/>
                      <w:szCs w:val="21"/>
                      <w:highlight w:val="none"/>
                    </w:rPr>
                    <w:t>标</w:t>
                  </w:r>
                </w:p>
              </w:tc>
            </w:tr>
            <w:tr w14:paraId="62C2D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56DF3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position w:val="1"/>
                      <w:sz w:val="21"/>
                      <w:szCs w:val="21"/>
                      <w:highlight w:val="none"/>
                    </w:rPr>
                    <w:t>PM</w:t>
                  </w:r>
                  <w:r>
                    <w:rPr>
                      <w:rFonts w:hint="default" w:ascii="Times New Roman" w:hAnsi="Times New Roman" w:eastAsia="Times New Roman" w:cs="Times New Roman"/>
                      <w:color w:val="000000"/>
                      <w:spacing w:val="4"/>
                      <w:position w:val="-1"/>
                      <w:sz w:val="13"/>
                      <w:szCs w:val="13"/>
                      <w:highlight w:val="none"/>
                    </w:rPr>
                    <w:t>2</w:t>
                  </w:r>
                  <w:r>
                    <w:rPr>
                      <w:rFonts w:hint="default" w:ascii="Times New Roman" w:hAnsi="Times New Roman" w:eastAsia="Times New Roman" w:cs="Times New Roman"/>
                      <w:color w:val="000000"/>
                      <w:spacing w:val="3"/>
                      <w:position w:val="-1"/>
                      <w:sz w:val="13"/>
                      <w:szCs w:val="13"/>
                      <w:highlight w:val="none"/>
                    </w:rPr>
                    <w:t>.5</w:t>
                  </w:r>
                </w:p>
              </w:tc>
              <w:tc>
                <w:tcPr>
                  <w:tcW w:w="1517" w:type="pct"/>
                  <w:tcBorders>
                    <w:tl2br w:val="nil"/>
                    <w:tr2bl w:val="nil"/>
                  </w:tcBorders>
                  <w:noWrap w:val="0"/>
                  <w:vAlign w:val="center"/>
                </w:tcPr>
                <w:p w14:paraId="1A02F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spacing w:val="-2"/>
                      <w:sz w:val="21"/>
                      <w:szCs w:val="21"/>
                      <w:highlight w:val="none"/>
                    </w:rPr>
                    <w:t>年</w:t>
                  </w:r>
                  <w:r>
                    <w:rPr>
                      <w:rFonts w:hint="default" w:ascii="宋体" w:hAnsi="宋体" w:eastAsia="宋体" w:cs="宋体"/>
                      <w:color w:val="000000"/>
                      <w:spacing w:val="-1"/>
                      <w:sz w:val="21"/>
                      <w:szCs w:val="21"/>
                      <w:highlight w:val="none"/>
                    </w:rPr>
                    <w:t>平均</w:t>
                  </w:r>
                </w:p>
              </w:tc>
              <w:tc>
                <w:tcPr>
                  <w:tcW w:w="1137" w:type="pct"/>
                  <w:tcBorders>
                    <w:tl2br w:val="nil"/>
                    <w:tr2bl w:val="nil"/>
                  </w:tcBorders>
                  <w:noWrap w:val="0"/>
                  <w:vAlign w:val="center"/>
                </w:tcPr>
                <w:p w14:paraId="5A6F68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35</w:t>
                  </w:r>
                </w:p>
              </w:tc>
              <w:tc>
                <w:tcPr>
                  <w:tcW w:w="1849" w:type="dxa"/>
                  <w:tcBorders>
                    <w:tl2br w:val="nil"/>
                    <w:tr2bl w:val="nil"/>
                  </w:tcBorders>
                  <w:noWrap w:val="0"/>
                  <w:vAlign w:val="center"/>
                </w:tcPr>
                <w:p w14:paraId="6F532DB8">
                  <w:pPr>
                    <w:spacing w:line="320" w:lineRule="exact"/>
                    <w:jc w:val="center"/>
                    <w:rPr>
                      <w:rFonts w:hint="eastAsia"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lang w:val="en-US" w:eastAsia="zh-CN"/>
                    </w:rPr>
                    <w:t>30</w:t>
                  </w:r>
                </w:p>
              </w:tc>
              <w:tc>
                <w:tcPr>
                  <w:tcW w:w="682" w:type="pct"/>
                  <w:tcBorders>
                    <w:tl2br w:val="nil"/>
                    <w:tr2bl w:val="nil"/>
                  </w:tcBorders>
                  <w:noWrap w:val="0"/>
                  <w:vAlign w:val="center"/>
                </w:tcPr>
                <w:p w14:paraId="0C915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6C3A3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880A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2"/>
                      <w:sz w:val="21"/>
                      <w:szCs w:val="21"/>
                      <w:highlight w:val="none"/>
                    </w:rPr>
                    <w:t>C</w:t>
                  </w:r>
                  <w:r>
                    <w:rPr>
                      <w:rFonts w:hint="default" w:ascii="Times New Roman" w:hAnsi="Times New Roman" w:eastAsia="Times New Roman" w:cs="Times New Roman"/>
                      <w:color w:val="000000"/>
                      <w:spacing w:val="-1"/>
                      <w:sz w:val="21"/>
                      <w:szCs w:val="21"/>
                      <w:highlight w:val="none"/>
                    </w:rPr>
                    <w:t>O</w:t>
                  </w:r>
                </w:p>
              </w:tc>
              <w:tc>
                <w:tcPr>
                  <w:tcW w:w="1517" w:type="pct"/>
                  <w:tcBorders>
                    <w:tl2br w:val="nil"/>
                    <w:tr2bl w:val="nil"/>
                  </w:tcBorders>
                  <w:noWrap w:val="0"/>
                  <w:vAlign w:val="center"/>
                </w:tcPr>
                <w:p w14:paraId="4BB17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宋体" w:hAnsi="宋体" w:eastAsia="宋体" w:cs="宋体"/>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 xml:space="preserve">95 </w:t>
                  </w:r>
                  <w:r>
                    <w:rPr>
                      <w:rFonts w:hint="default" w:ascii="宋体" w:hAnsi="宋体" w:eastAsia="宋体" w:cs="宋体"/>
                      <w:color w:val="000000"/>
                      <w:spacing w:val="-1"/>
                      <w:sz w:val="21"/>
                      <w:szCs w:val="21"/>
                      <w:highlight w:val="none"/>
                    </w:rPr>
                    <w:t>百分位</w:t>
                  </w:r>
                  <w:r>
                    <w:rPr>
                      <w:rFonts w:hint="default" w:ascii="宋体" w:hAnsi="宋体" w:eastAsia="宋体" w:cs="宋体"/>
                      <w:color w:val="000000"/>
                      <w:sz w:val="21"/>
                      <w:szCs w:val="21"/>
                      <w:highlight w:val="none"/>
                    </w:rPr>
                    <w:t>日平均</w:t>
                  </w:r>
                </w:p>
              </w:tc>
              <w:tc>
                <w:tcPr>
                  <w:tcW w:w="1137" w:type="pct"/>
                  <w:tcBorders>
                    <w:tl2br w:val="nil"/>
                    <w:tr2bl w:val="nil"/>
                  </w:tcBorders>
                  <w:noWrap w:val="0"/>
                  <w:vAlign w:val="center"/>
                </w:tcPr>
                <w:p w14:paraId="7347F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1"/>
                      <w:sz w:val="21"/>
                      <w:szCs w:val="21"/>
                      <w:highlight w:val="none"/>
                    </w:rPr>
                    <w:t>4</w:t>
                  </w:r>
                  <w:r>
                    <w:rPr>
                      <w:rFonts w:hint="default" w:ascii="Times New Roman" w:hAnsi="Times New Roman" w:eastAsia="Times New Roman" w:cs="Times New Roman"/>
                      <w:color w:val="000000"/>
                      <w:sz w:val="21"/>
                      <w:szCs w:val="21"/>
                      <w:highlight w:val="none"/>
                    </w:rPr>
                    <w:t>000</w:t>
                  </w:r>
                </w:p>
              </w:tc>
              <w:tc>
                <w:tcPr>
                  <w:tcW w:w="1849" w:type="dxa"/>
                  <w:tcBorders>
                    <w:tl2br w:val="nil"/>
                    <w:tr2bl w:val="nil"/>
                  </w:tcBorders>
                  <w:noWrap w:val="0"/>
                  <w:vAlign w:val="center"/>
                </w:tcPr>
                <w:p w14:paraId="15180A8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1</w:t>
                  </w:r>
                  <w:r>
                    <w:rPr>
                      <w:rFonts w:hint="eastAsia"/>
                      <w:bCs/>
                      <w:color w:val="auto"/>
                      <w:spacing w:val="-10"/>
                      <w:szCs w:val="21"/>
                      <w:lang w:val="en-US" w:eastAsia="zh-CN"/>
                    </w:rPr>
                    <w:t>300</w:t>
                  </w:r>
                </w:p>
              </w:tc>
              <w:tc>
                <w:tcPr>
                  <w:tcW w:w="682" w:type="pct"/>
                  <w:tcBorders>
                    <w:tl2br w:val="nil"/>
                    <w:tr2bl w:val="nil"/>
                  </w:tcBorders>
                  <w:noWrap w:val="0"/>
                  <w:vAlign w:val="center"/>
                </w:tcPr>
                <w:p w14:paraId="2104A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达标</w:t>
                  </w:r>
                </w:p>
              </w:tc>
            </w:tr>
            <w:tr w14:paraId="3F3CD6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4" w:type="pct"/>
                  <w:tcBorders>
                    <w:tl2br w:val="nil"/>
                    <w:tr2bl w:val="nil"/>
                  </w:tcBorders>
                  <w:noWrap w:val="0"/>
                  <w:vAlign w:val="center"/>
                </w:tcPr>
                <w:p w14:paraId="28DFC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13"/>
                      <w:szCs w:val="13"/>
                      <w:highlight w:val="none"/>
                      <w:lang w:val="en-US" w:eastAsia="zh-CN" w:bidi="ar-SA"/>
                    </w:rPr>
                  </w:pPr>
                  <w:r>
                    <w:rPr>
                      <w:rFonts w:hint="default" w:ascii="Times New Roman" w:hAnsi="Times New Roman" w:eastAsia="Times New Roman" w:cs="Times New Roman"/>
                      <w:color w:val="000000"/>
                      <w:sz w:val="21"/>
                      <w:szCs w:val="21"/>
                      <w:highlight w:val="none"/>
                    </w:rPr>
                    <w:t>O</w:t>
                  </w:r>
                  <w:r>
                    <w:rPr>
                      <w:rFonts w:hint="default" w:ascii="Times New Roman" w:hAnsi="Times New Roman" w:eastAsia="Times New Roman" w:cs="Times New Roman"/>
                      <w:color w:val="000000"/>
                      <w:spacing w:val="-1"/>
                      <w:position w:val="-2"/>
                      <w:sz w:val="13"/>
                      <w:szCs w:val="13"/>
                      <w:highlight w:val="none"/>
                    </w:rPr>
                    <w:t>3</w:t>
                  </w:r>
                </w:p>
              </w:tc>
              <w:tc>
                <w:tcPr>
                  <w:tcW w:w="1517" w:type="pct"/>
                  <w:tcBorders>
                    <w:tl2br w:val="nil"/>
                    <w:tr2bl w:val="nil"/>
                  </w:tcBorders>
                  <w:noWrap w:val="0"/>
                  <w:vAlign w:val="center"/>
                </w:tcPr>
                <w:p w14:paraId="4E2AA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101" w:rightChars="0" w:hanging="418" w:firstLineChars="0"/>
                    <w:jc w:val="center"/>
                    <w:textAlignment w:val="auto"/>
                    <w:rPr>
                      <w:rFonts w:hint="default" w:ascii="宋体" w:hAnsi="宋体" w:eastAsia="宋体" w:cs="宋体"/>
                      <w:color w:val="000000"/>
                      <w:kern w:val="2"/>
                      <w:sz w:val="21"/>
                      <w:szCs w:val="21"/>
                      <w:highlight w:val="none"/>
                      <w:lang w:val="en-US" w:eastAsia="zh-CN" w:bidi="ar-SA"/>
                    </w:rPr>
                  </w:pPr>
                  <w:r>
                    <w:rPr>
                      <w:rFonts w:hint="default" w:ascii="Times New Roman" w:hAnsi="Times New Roman" w:eastAsia="Times New Roman" w:cs="Times New Roman"/>
                      <w:color w:val="000000"/>
                      <w:spacing w:val="-10"/>
                      <w:sz w:val="21"/>
                      <w:szCs w:val="21"/>
                      <w:highlight w:val="none"/>
                    </w:rPr>
                    <w:t>9</w:t>
                  </w:r>
                  <w:r>
                    <w:rPr>
                      <w:rFonts w:hint="default" w:ascii="Times New Roman" w:hAnsi="Times New Roman" w:eastAsia="Times New Roman" w:cs="Times New Roman"/>
                      <w:color w:val="000000"/>
                      <w:spacing w:val="-6"/>
                      <w:sz w:val="21"/>
                      <w:szCs w:val="21"/>
                      <w:highlight w:val="none"/>
                    </w:rPr>
                    <w:t xml:space="preserve">0 </w:t>
                  </w:r>
                  <w:r>
                    <w:rPr>
                      <w:rFonts w:hint="default" w:ascii="宋体" w:hAnsi="宋体" w:eastAsia="宋体" w:cs="宋体"/>
                      <w:color w:val="000000"/>
                      <w:spacing w:val="-6"/>
                      <w:sz w:val="21"/>
                      <w:szCs w:val="21"/>
                      <w:highlight w:val="none"/>
                    </w:rPr>
                    <w:t xml:space="preserve">百分位日最大 </w:t>
                  </w:r>
                  <w:r>
                    <w:rPr>
                      <w:rFonts w:hint="default" w:ascii="Times New Roman" w:hAnsi="Times New Roman" w:eastAsia="Times New Roman" w:cs="Times New Roman"/>
                      <w:color w:val="000000"/>
                      <w:spacing w:val="-6"/>
                      <w:sz w:val="21"/>
                      <w:szCs w:val="21"/>
                      <w:highlight w:val="none"/>
                    </w:rPr>
                    <w:t>8</w:t>
                  </w:r>
                  <w:r>
                    <w:rPr>
                      <w:rFonts w:hint="default" w:ascii="Times New Roman" w:hAnsi="Times New Roman" w:eastAsia="Times New Roman" w:cs="Times New Roman"/>
                      <w:color w:val="000000"/>
                      <w:sz w:val="21"/>
                      <w:szCs w:val="21"/>
                      <w:highlight w:val="none"/>
                    </w:rPr>
                    <w:t xml:space="preserve"> </w:t>
                  </w:r>
                  <w:r>
                    <w:rPr>
                      <w:rFonts w:hint="default" w:ascii="宋体" w:hAnsi="宋体" w:eastAsia="宋体" w:cs="宋体"/>
                      <w:color w:val="000000"/>
                      <w:spacing w:val="-4"/>
                      <w:sz w:val="21"/>
                      <w:szCs w:val="21"/>
                      <w:highlight w:val="none"/>
                    </w:rPr>
                    <w:t>小</w:t>
                  </w:r>
                  <w:r>
                    <w:rPr>
                      <w:rFonts w:hint="default" w:ascii="宋体" w:hAnsi="宋体" w:eastAsia="宋体" w:cs="宋体"/>
                      <w:color w:val="000000"/>
                      <w:spacing w:val="-3"/>
                      <w:sz w:val="21"/>
                      <w:szCs w:val="21"/>
                      <w:highlight w:val="none"/>
                    </w:rPr>
                    <w:t>时</w:t>
                  </w:r>
                  <w:r>
                    <w:rPr>
                      <w:rFonts w:hint="default" w:ascii="宋体" w:hAnsi="宋体" w:eastAsia="宋体" w:cs="宋体"/>
                      <w:color w:val="000000"/>
                      <w:spacing w:val="-2"/>
                      <w:sz w:val="21"/>
                      <w:szCs w:val="21"/>
                      <w:highlight w:val="none"/>
                    </w:rPr>
                    <w:t>平均</w:t>
                  </w:r>
                </w:p>
              </w:tc>
              <w:tc>
                <w:tcPr>
                  <w:tcW w:w="1137" w:type="pct"/>
                  <w:tcBorders>
                    <w:tl2br w:val="nil"/>
                    <w:tr2bl w:val="nil"/>
                  </w:tcBorders>
                  <w:noWrap w:val="0"/>
                  <w:vAlign w:val="center"/>
                </w:tcPr>
                <w:p w14:paraId="388D0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jc w:val="center"/>
                    <w:textAlignment w:val="auto"/>
                    <w:rPr>
                      <w:rFonts w:hint="default" w:ascii="Times New Roman" w:hAnsi="Times New Roman" w:eastAsia="Times New Roman" w:cs="Times New Roman"/>
                      <w:color w:val="000000"/>
                      <w:kern w:val="2"/>
                      <w:sz w:val="21"/>
                      <w:szCs w:val="21"/>
                      <w:highlight w:val="none"/>
                      <w:lang w:val="en-US" w:eastAsia="zh-CN" w:bidi="ar-SA"/>
                    </w:rPr>
                  </w:pPr>
                  <w:r>
                    <w:rPr>
                      <w:rFonts w:hint="default" w:ascii="Times New Roman" w:hAnsi="Times New Roman" w:eastAsia="Times New Roman" w:cs="Times New Roman"/>
                      <w:color w:val="000000"/>
                      <w:spacing w:val="-6"/>
                      <w:sz w:val="21"/>
                      <w:szCs w:val="21"/>
                      <w:highlight w:val="none"/>
                    </w:rPr>
                    <w:t>1</w:t>
                  </w:r>
                  <w:r>
                    <w:rPr>
                      <w:rFonts w:hint="default" w:ascii="Times New Roman" w:hAnsi="Times New Roman" w:eastAsia="Times New Roman" w:cs="Times New Roman"/>
                      <w:color w:val="000000"/>
                      <w:spacing w:val="-5"/>
                      <w:sz w:val="21"/>
                      <w:szCs w:val="21"/>
                      <w:highlight w:val="none"/>
                    </w:rPr>
                    <w:t>60</w:t>
                  </w:r>
                </w:p>
              </w:tc>
              <w:tc>
                <w:tcPr>
                  <w:tcW w:w="1849" w:type="dxa"/>
                  <w:tcBorders>
                    <w:tl2br w:val="nil"/>
                    <w:tr2bl w:val="nil"/>
                  </w:tcBorders>
                  <w:noWrap w:val="0"/>
                  <w:vAlign w:val="center"/>
                </w:tcPr>
                <w:p w14:paraId="4C23C7AD">
                  <w:pPr>
                    <w:spacing w:line="32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bCs/>
                      <w:color w:val="auto"/>
                      <w:spacing w:val="-10"/>
                      <w:szCs w:val="21"/>
                    </w:rPr>
                    <w:t>1</w:t>
                  </w:r>
                  <w:r>
                    <w:rPr>
                      <w:rFonts w:hint="eastAsia"/>
                      <w:bCs/>
                      <w:color w:val="auto"/>
                      <w:spacing w:val="-10"/>
                      <w:szCs w:val="21"/>
                      <w:lang w:val="en-US" w:eastAsia="zh-CN"/>
                    </w:rPr>
                    <w:t>73</w:t>
                  </w:r>
                </w:p>
              </w:tc>
              <w:tc>
                <w:tcPr>
                  <w:tcW w:w="682" w:type="pct"/>
                  <w:tcBorders>
                    <w:tl2br w:val="nil"/>
                    <w:tr2bl w:val="nil"/>
                  </w:tcBorders>
                  <w:noWrap w:val="0"/>
                  <w:vAlign w:val="center"/>
                </w:tcPr>
                <w:p w14:paraId="7D57F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000000"/>
                      <w:kern w:val="0"/>
                      <w:sz w:val="21"/>
                      <w:szCs w:val="21"/>
                      <w:highlight w:val="none"/>
                    </w:rPr>
                  </w:pPr>
                  <w:r>
                    <w:rPr>
                      <w:rFonts w:hint="eastAsia" w:cs="Times New Roman"/>
                      <w:color w:val="000000"/>
                      <w:kern w:val="0"/>
                      <w:sz w:val="21"/>
                      <w:szCs w:val="21"/>
                      <w:highlight w:val="none"/>
                      <w:lang w:eastAsia="zh-CN"/>
                    </w:rPr>
                    <w:t>超</w:t>
                  </w:r>
                  <w:r>
                    <w:rPr>
                      <w:rFonts w:hint="default" w:ascii="Times New Roman" w:hAnsi="Times New Roman" w:eastAsia="宋体" w:cs="Times New Roman"/>
                      <w:color w:val="000000"/>
                      <w:kern w:val="0"/>
                      <w:sz w:val="21"/>
                      <w:szCs w:val="21"/>
                      <w:highlight w:val="none"/>
                    </w:rPr>
                    <w:t>标</w:t>
                  </w:r>
                </w:p>
              </w:tc>
            </w:tr>
          </w:tbl>
          <w:p w14:paraId="04781236">
            <w:pPr>
              <w:pStyle w:val="19"/>
              <w:keepNext/>
              <w:keepLines w:val="0"/>
              <w:pageBreakBefore w:val="0"/>
              <w:widowControl/>
              <w:kinsoku/>
              <w:wordWrap/>
              <w:overflowPunct/>
              <w:topLinePunct w:val="0"/>
              <w:autoSpaceDE/>
              <w:autoSpaceDN/>
              <w:bidi w:val="0"/>
              <w:adjustRightInd/>
              <w:snapToGrid/>
              <w:spacing w:before="0" w:beforeAutospacing="0" w:after="0" w:afterAutospacing="0" w:line="480" w:lineRule="exact"/>
              <w:ind w:left="8" w:right="113" w:firstLine="421" w:firstLineChars="170"/>
              <w:textAlignment w:val="auto"/>
              <w:rPr>
                <w:rFonts w:hint="default" w:ascii="Times New Roman" w:hAnsi="Times New Roman" w:eastAsia="宋体" w:cs="Times New Roman"/>
                <w:color w:val="000000"/>
                <w:spacing w:val="4"/>
                <w:kern w:val="0"/>
                <w:sz w:val="24"/>
                <w:szCs w:val="24"/>
                <w:highlight w:val="none"/>
              </w:rPr>
            </w:pPr>
            <w:r>
              <w:rPr>
                <w:rFonts w:hint="default" w:ascii="Times New Roman" w:hAnsi="Times New Roman" w:eastAsia="宋体" w:cs="Times New Roman"/>
                <w:color w:val="000000"/>
                <w:spacing w:val="4"/>
                <w:kern w:val="0"/>
                <w:sz w:val="24"/>
                <w:szCs w:val="24"/>
                <w:highlight w:val="none"/>
              </w:rPr>
              <w:t>本区域监测期间环境空气质量</w:t>
            </w:r>
            <w:r>
              <w:rPr>
                <w:rFonts w:hint="eastAsia" w:ascii="Times New Roman" w:hAnsi="Times New Roman" w:cs="Times New Roman"/>
                <w:color w:val="000000"/>
                <w:kern w:val="0"/>
                <w:sz w:val="24"/>
                <w:szCs w:val="24"/>
                <w:highlight w:val="none"/>
                <w:lang w:val="en-US" w:eastAsia="zh-CN"/>
              </w:rPr>
              <w:t>O</w:t>
            </w:r>
            <w:r>
              <w:rPr>
                <w:rFonts w:hint="eastAsia" w:ascii="Times New Roman" w:hAnsi="Times New Roman" w:cs="Times New Roman"/>
                <w:color w:val="000000"/>
                <w:kern w:val="0"/>
                <w:sz w:val="24"/>
                <w:szCs w:val="24"/>
                <w:highlight w:val="none"/>
                <w:vertAlign w:val="subscript"/>
                <w:lang w:val="en-US" w:eastAsia="zh-CN"/>
              </w:rPr>
              <w:t>3</w:t>
            </w:r>
            <w:r>
              <w:rPr>
                <w:rFonts w:hint="default" w:ascii="Times New Roman" w:hAnsi="Times New Roman" w:eastAsia="宋体" w:cs="Times New Roman"/>
                <w:color w:val="000000"/>
                <w:kern w:val="0"/>
                <w:sz w:val="24"/>
                <w:szCs w:val="24"/>
                <w:highlight w:val="none"/>
                <w:vertAlign w:val="baseline"/>
                <w:lang w:eastAsia="zh-CN"/>
              </w:rPr>
              <w:t>不</w:t>
            </w:r>
            <w:r>
              <w:rPr>
                <w:rFonts w:hint="default" w:ascii="Times New Roman" w:hAnsi="Times New Roman" w:eastAsia="宋体" w:cs="Times New Roman"/>
                <w:color w:val="000000"/>
                <w:spacing w:val="4"/>
                <w:kern w:val="0"/>
                <w:sz w:val="24"/>
                <w:szCs w:val="24"/>
                <w:highlight w:val="none"/>
              </w:rPr>
              <w:t>能满足《环境空气质量标准》（GB3095-2012）及其修改单中二级标准要求。</w:t>
            </w:r>
          </w:p>
          <w:p w14:paraId="3FF83825">
            <w:pPr>
              <w:pStyle w:val="19"/>
              <w:keepNext/>
              <w:keepLines w:val="0"/>
              <w:pageBreakBefore w:val="0"/>
              <w:widowControl/>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lang w:val="zh-CN"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rPr>
              <w:t>污染物环境质量现状评价</w:t>
            </w:r>
          </w:p>
          <w:p w14:paraId="6B3D432B">
            <w:pPr>
              <w:pStyle w:val="22"/>
              <w:keepNext w:val="0"/>
              <w:keepLines w:val="0"/>
              <w:pageBreakBefore w:val="0"/>
              <w:widowControl w:val="0"/>
              <w:kinsoku/>
              <w:wordWrap/>
              <w:overflowPunct/>
              <w:topLinePunct w:val="0"/>
              <w:autoSpaceDE/>
              <w:autoSpaceDN/>
              <w:bidi w:val="0"/>
              <w:adjustRightInd/>
              <w:snapToGrid/>
              <w:spacing w:after="0" w:line="480" w:lineRule="exact"/>
              <w:ind w:left="0" w:leftChars="0" w:firstLine="48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本项目特征污染物为TSP，本项目TSP环境质量现状监测引用唐山天之源环保科技有限公司2022年5月16日</w:t>
            </w:r>
            <w:r>
              <w:rPr>
                <w:rFonts w:hint="eastAsia" w:cs="Times New Roman"/>
                <w:color w:val="auto"/>
                <w:sz w:val="24"/>
                <w:szCs w:val="24"/>
                <w:highlight w:val="none"/>
                <w:lang w:val="en-US" w:eastAsia="zh-CN"/>
              </w:rPr>
              <w:t>对</w:t>
            </w:r>
            <w:r>
              <w:rPr>
                <w:rFonts w:hint="default" w:ascii="Times New Roman" w:hAnsi="Times New Roman" w:eastAsia="宋体" w:cs="Times New Roman"/>
                <w:color w:val="auto"/>
                <w:sz w:val="24"/>
                <w:szCs w:val="24"/>
                <w:highlight w:val="none"/>
                <w:lang w:val="en-US" w:eastAsia="zh-CN"/>
              </w:rPr>
              <w:t>金垚煤炭焦炭矿粉仓储物流项目出具的检验检测报告（报告编号：天之源检字（2022）（委）第048号）中的数据，监测时间为2022年4月29日~2022年5月1日，监测点位（唐山开沃新能源汽车有限公司厂址东北1#点位）位于本项目</w:t>
            </w:r>
            <w:r>
              <w:rPr>
                <w:rFonts w:hint="eastAsia"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北侧</w:t>
            </w:r>
            <w:r>
              <w:rPr>
                <w:rFonts w:hint="eastAsia" w:cs="Times New Roman"/>
                <w:color w:val="auto"/>
                <w:sz w:val="24"/>
                <w:szCs w:val="24"/>
                <w:highlight w:val="none"/>
                <w:lang w:val="en-US" w:eastAsia="zh-CN"/>
              </w:rPr>
              <w:t>1808</w:t>
            </w:r>
            <w:r>
              <w:rPr>
                <w:rFonts w:hint="default" w:ascii="Times New Roman" w:hAnsi="Times New Roman" w:eastAsia="宋体" w:cs="Times New Roman"/>
                <w:color w:val="auto"/>
                <w:sz w:val="24"/>
                <w:szCs w:val="24"/>
                <w:highlight w:val="none"/>
                <w:lang w:val="en-US" w:eastAsia="zh-CN"/>
              </w:rPr>
              <w:t>m，满足《建设项目环境影响报告表编制技术指南（污染影响类）（试行）》要求，监测结果见下表。</w:t>
            </w:r>
          </w:p>
          <w:p w14:paraId="69F552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15</w:t>
            </w:r>
            <w:r>
              <w:rPr>
                <w:rFonts w:hint="default"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w:t>
            </w:r>
            <w:r>
              <w:rPr>
                <w:rFonts w:hint="eastAsia"/>
                <w:b/>
                <w:bCs/>
                <w:color w:val="auto"/>
                <w:sz w:val="24"/>
                <w:szCs w:val="32"/>
                <w:highlight w:val="none"/>
                <w:lang w:val="en-US" w:eastAsia="zh-CN"/>
              </w:rPr>
              <w:t>24</w:t>
            </w:r>
            <w:r>
              <w:rPr>
                <w:rFonts w:hint="default"/>
                <w:b/>
                <w:bCs/>
                <w:color w:val="auto"/>
                <w:sz w:val="24"/>
                <w:szCs w:val="32"/>
                <w:highlight w:val="none"/>
              </w:rPr>
              <w:t>小时平均浓度现状监测结果及其评价结果表</w:t>
            </w:r>
          </w:p>
          <w:tbl>
            <w:tblPr>
              <w:tblStyle w:val="23"/>
              <w:tblW w:w="79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2192"/>
              <w:gridCol w:w="1335"/>
              <w:gridCol w:w="1350"/>
              <w:gridCol w:w="1185"/>
              <w:gridCol w:w="1056"/>
            </w:tblGrid>
            <w:tr w14:paraId="01276F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858" w:type="dxa"/>
                  <w:noWrap w:val="0"/>
                  <w:vAlign w:val="center"/>
                </w:tcPr>
                <w:p w14:paraId="33303828">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污染物</w:t>
                  </w:r>
                </w:p>
                <w:p w14:paraId="5039F280">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名称</w:t>
                  </w:r>
                </w:p>
              </w:tc>
              <w:tc>
                <w:tcPr>
                  <w:tcW w:w="2192" w:type="dxa"/>
                  <w:noWrap w:val="0"/>
                  <w:vAlign w:val="center"/>
                </w:tcPr>
                <w:p w14:paraId="6E5D4BCD">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color w:val="auto"/>
                      <w:highlight w:val="none"/>
                    </w:rPr>
                  </w:pPr>
                  <w:r>
                    <w:rPr>
                      <w:rFonts w:hint="default"/>
                      <w:color w:val="auto"/>
                      <w:highlight w:val="none"/>
                    </w:rPr>
                    <w:t>监测点</w:t>
                  </w:r>
                </w:p>
              </w:tc>
              <w:tc>
                <w:tcPr>
                  <w:tcW w:w="1335" w:type="dxa"/>
                  <w:noWrap w:val="0"/>
                  <w:vAlign w:val="center"/>
                </w:tcPr>
                <w:p w14:paraId="0184E7EB">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标准值（</w:t>
                  </w:r>
                  <w:r>
                    <w:rPr>
                      <w:rFonts w:hint="default" w:ascii="Times New Roman" w:hAnsi="Times New Roman" w:eastAsia="宋体" w:cs="Times New Roman"/>
                      <w:color w:val="auto"/>
                      <w:sz w:val="21"/>
                      <w:szCs w:val="21"/>
                      <w:highlight w:val="none"/>
                    </w:rPr>
                    <w:t>μ</w:t>
                  </w:r>
                  <w:r>
                    <w:rPr>
                      <w:rFonts w:hint="default"/>
                      <w:color w:val="auto"/>
                      <w:highlight w:val="none"/>
                    </w:rPr>
                    <w:t>g/m</w:t>
                  </w:r>
                  <w:r>
                    <w:rPr>
                      <w:rFonts w:hint="default"/>
                      <w:color w:val="auto"/>
                      <w:highlight w:val="none"/>
                      <w:vertAlign w:val="superscript"/>
                    </w:rPr>
                    <w:t>3</w:t>
                  </w:r>
                  <w:r>
                    <w:rPr>
                      <w:rFonts w:hint="default"/>
                      <w:color w:val="auto"/>
                      <w:highlight w:val="none"/>
                    </w:rPr>
                    <w:t>）</w:t>
                  </w:r>
                </w:p>
              </w:tc>
              <w:tc>
                <w:tcPr>
                  <w:tcW w:w="1350" w:type="dxa"/>
                  <w:noWrap w:val="0"/>
                  <w:vAlign w:val="center"/>
                </w:tcPr>
                <w:p w14:paraId="2884CA08">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浓度范围</w:t>
                  </w:r>
                </w:p>
                <w:p w14:paraId="411A580C">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w:t>
                  </w:r>
                  <w:r>
                    <w:rPr>
                      <w:rFonts w:hint="default" w:ascii="Times New Roman" w:hAnsi="Times New Roman" w:eastAsia="宋体" w:cs="Times New Roman"/>
                      <w:color w:val="auto"/>
                      <w:sz w:val="21"/>
                      <w:szCs w:val="21"/>
                      <w:highlight w:val="none"/>
                    </w:rPr>
                    <w:t>μ</w:t>
                  </w:r>
                  <w:r>
                    <w:rPr>
                      <w:rFonts w:hint="default"/>
                      <w:color w:val="auto"/>
                      <w:highlight w:val="none"/>
                    </w:rPr>
                    <w:t>g/m</w:t>
                  </w:r>
                  <w:r>
                    <w:rPr>
                      <w:rFonts w:hint="default"/>
                      <w:color w:val="auto"/>
                      <w:highlight w:val="none"/>
                      <w:vertAlign w:val="superscript"/>
                    </w:rPr>
                    <w:t>3</w:t>
                  </w:r>
                  <w:r>
                    <w:rPr>
                      <w:rFonts w:hint="default"/>
                      <w:color w:val="auto"/>
                      <w:highlight w:val="none"/>
                    </w:rPr>
                    <w:t>）</w:t>
                  </w:r>
                </w:p>
              </w:tc>
              <w:tc>
                <w:tcPr>
                  <w:tcW w:w="1185" w:type="dxa"/>
                  <w:noWrap w:val="0"/>
                  <w:vAlign w:val="center"/>
                </w:tcPr>
                <w:p w14:paraId="39474340">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rPr>
                  </w:pPr>
                  <w:r>
                    <w:rPr>
                      <w:rFonts w:hint="default"/>
                      <w:color w:val="auto"/>
                      <w:highlight w:val="none"/>
                    </w:rPr>
                    <w:t>标准指数</w:t>
                  </w:r>
                </w:p>
              </w:tc>
              <w:tc>
                <w:tcPr>
                  <w:tcW w:w="1056" w:type="dxa"/>
                  <w:noWrap w:val="0"/>
                  <w:vAlign w:val="center"/>
                </w:tcPr>
                <w:p w14:paraId="1907B9D3">
                  <w:pPr>
                    <w:keepNext w:val="0"/>
                    <w:keepLines w:val="0"/>
                    <w:pageBreakBefore w:val="0"/>
                    <w:widowControl w:val="0"/>
                    <w:kinsoku/>
                    <w:wordWrap/>
                    <w:overflowPunct/>
                    <w:topLinePunct w:val="0"/>
                    <w:bidi w:val="0"/>
                    <w:adjustRightInd/>
                    <w:spacing w:line="240" w:lineRule="auto"/>
                    <w:jc w:val="center"/>
                    <w:textAlignment w:val="auto"/>
                    <w:rPr>
                      <w:rFonts w:hint="default"/>
                      <w:color w:val="auto"/>
                      <w:highlight w:val="none"/>
                      <w:lang w:val="en-US" w:eastAsia="zh-CN"/>
                    </w:rPr>
                  </w:pPr>
                  <w:r>
                    <w:rPr>
                      <w:rFonts w:hint="eastAsia"/>
                      <w:color w:val="auto"/>
                      <w:highlight w:val="none"/>
                      <w:lang w:val="en-US" w:eastAsia="zh-CN"/>
                    </w:rPr>
                    <w:t>达标情况</w:t>
                  </w:r>
                </w:p>
              </w:tc>
            </w:tr>
            <w:tr w14:paraId="415A5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858" w:type="dxa"/>
                  <w:noWrap w:val="0"/>
                  <w:vAlign w:val="center"/>
                </w:tcPr>
                <w:p w14:paraId="1BC6C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TSP</w:t>
                  </w:r>
                </w:p>
              </w:tc>
              <w:tc>
                <w:tcPr>
                  <w:tcW w:w="2192" w:type="dxa"/>
                  <w:noWrap w:val="0"/>
                  <w:vAlign w:val="center"/>
                </w:tcPr>
                <w:p w14:paraId="1F0069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唐山开沃新能源汽车有限公司厂址东北1#点位</w:t>
                  </w:r>
                </w:p>
              </w:tc>
              <w:tc>
                <w:tcPr>
                  <w:tcW w:w="1335" w:type="dxa"/>
                  <w:noWrap w:val="0"/>
                  <w:vAlign w:val="center"/>
                </w:tcPr>
                <w:p w14:paraId="2EBE9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300</w:t>
                  </w:r>
                </w:p>
              </w:tc>
              <w:tc>
                <w:tcPr>
                  <w:tcW w:w="1350" w:type="dxa"/>
                  <w:noWrap w:val="0"/>
                  <w:vAlign w:val="center"/>
                </w:tcPr>
                <w:p w14:paraId="51C12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cs="Times New Roman"/>
                      <w:caps w:val="0"/>
                      <w:color w:val="000000"/>
                      <w:szCs w:val="21"/>
                      <w:highlight w:val="none"/>
                      <w:lang w:val="en-US" w:eastAsia="zh-CN"/>
                    </w:rPr>
                    <w:t>69-116</w:t>
                  </w:r>
                </w:p>
              </w:tc>
              <w:tc>
                <w:tcPr>
                  <w:tcW w:w="1185" w:type="dxa"/>
                  <w:noWrap w:val="0"/>
                  <w:vAlign w:val="center"/>
                </w:tcPr>
                <w:p w14:paraId="3B274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cs="Times New Roman"/>
                      <w:caps w:val="0"/>
                      <w:color w:val="000000"/>
                      <w:szCs w:val="21"/>
                      <w:highlight w:val="none"/>
                      <w:lang w:val="en-US" w:eastAsia="zh-CN"/>
                    </w:rPr>
                    <w:t>0.23-0.387</w:t>
                  </w:r>
                </w:p>
              </w:tc>
              <w:tc>
                <w:tcPr>
                  <w:tcW w:w="1056" w:type="dxa"/>
                  <w:noWrap w:val="0"/>
                  <w:vAlign w:val="center"/>
                </w:tcPr>
                <w:p w14:paraId="6FCC6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宋体" w:cs="Times New Roman"/>
                      <w:caps w:val="0"/>
                      <w:color w:val="000000"/>
                      <w:kern w:val="2"/>
                      <w:sz w:val="21"/>
                      <w:szCs w:val="21"/>
                      <w:highlight w:val="none"/>
                      <w:lang w:val="en-US" w:eastAsia="zh-CN" w:bidi="ar-SA"/>
                    </w:rPr>
                  </w:pPr>
                  <w:r>
                    <w:rPr>
                      <w:rFonts w:hint="eastAsia" w:ascii="Times New Roman" w:hAnsi="Times New Roman" w:eastAsia="宋体" w:cs="Times New Roman"/>
                      <w:caps w:val="0"/>
                      <w:color w:val="000000"/>
                      <w:kern w:val="2"/>
                      <w:sz w:val="21"/>
                      <w:szCs w:val="21"/>
                      <w:highlight w:val="none"/>
                      <w:lang w:val="en-US" w:eastAsia="zh-CN" w:bidi="ar-SA"/>
                    </w:rPr>
                    <w:t>达标</w:t>
                  </w:r>
                </w:p>
              </w:tc>
            </w:tr>
          </w:tbl>
          <w:p w14:paraId="04B1F5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b/>
                <w:color w:val="auto"/>
                <w:sz w:val="24"/>
                <w:szCs w:val="24"/>
                <w:lang w:val="en-US" w:eastAsia="zh-CN"/>
              </w:rPr>
            </w:pPr>
            <w:r>
              <w:rPr>
                <w:rFonts w:hint="eastAsia"/>
                <w:color w:val="auto"/>
                <w:sz w:val="24"/>
                <w:szCs w:val="32"/>
                <w:highlight w:val="none"/>
                <w:lang w:val="en-US" w:eastAsia="zh-CN"/>
              </w:rPr>
              <w:t>TSP 24</w:t>
            </w:r>
            <w:r>
              <w:rPr>
                <w:rFonts w:hint="default"/>
                <w:color w:val="auto"/>
                <w:sz w:val="24"/>
                <w:szCs w:val="32"/>
                <w:highlight w:val="none"/>
              </w:rPr>
              <w:t>小时</w:t>
            </w:r>
            <w:r>
              <w:rPr>
                <w:rFonts w:hint="default"/>
                <w:color w:val="auto"/>
                <w:sz w:val="24"/>
                <w:szCs w:val="32"/>
                <w:highlight w:val="none"/>
                <w:lang w:eastAsia="zh-CN"/>
              </w:rPr>
              <w:t>平均</w:t>
            </w:r>
            <w:r>
              <w:rPr>
                <w:rFonts w:hint="default"/>
                <w:color w:val="auto"/>
                <w:sz w:val="24"/>
                <w:szCs w:val="32"/>
                <w:highlight w:val="none"/>
              </w:rPr>
              <w:t>浓度范围为</w:t>
            </w:r>
            <w:r>
              <w:rPr>
                <w:rFonts w:hint="eastAsia"/>
                <w:color w:val="auto"/>
                <w:sz w:val="24"/>
                <w:szCs w:val="32"/>
                <w:highlight w:val="none"/>
                <w:lang w:val="en-US" w:eastAsia="zh-CN"/>
              </w:rPr>
              <w:t>69-116</w:t>
            </w:r>
            <w:r>
              <w:rPr>
                <w:rFonts w:hint="default" w:ascii="Times New Roman" w:hAnsi="Times New Roman" w:eastAsia="宋体" w:cs="Times New Roman"/>
                <w:color w:val="auto"/>
                <w:sz w:val="24"/>
                <w:szCs w:val="24"/>
                <w:highlight w:val="none"/>
              </w:rPr>
              <w:t>μ</w:t>
            </w:r>
            <w:r>
              <w:rPr>
                <w:rFonts w:hint="default"/>
                <w:color w:val="auto"/>
                <w:sz w:val="24"/>
                <w:szCs w:val="32"/>
                <w:highlight w:val="none"/>
              </w:rPr>
              <w:t>g/m</w:t>
            </w:r>
            <w:r>
              <w:rPr>
                <w:rFonts w:hint="default"/>
                <w:color w:val="auto"/>
                <w:sz w:val="24"/>
                <w:szCs w:val="32"/>
                <w:highlight w:val="none"/>
                <w:vertAlign w:val="superscript"/>
              </w:rPr>
              <w:t>3</w:t>
            </w:r>
            <w:r>
              <w:rPr>
                <w:rFonts w:hint="default"/>
                <w:color w:val="auto"/>
                <w:sz w:val="24"/>
                <w:szCs w:val="32"/>
                <w:highlight w:val="none"/>
              </w:rPr>
              <w:t>，标准指数范围为0.</w:t>
            </w:r>
            <w:r>
              <w:rPr>
                <w:rFonts w:hint="eastAsia"/>
                <w:color w:val="auto"/>
                <w:sz w:val="24"/>
                <w:szCs w:val="32"/>
                <w:highlight w:val="none"/>
                <w:lang w:val="en-US" w:eastAsia="zh-CN"/>
              </w:rPr>
              <w:t>23</w:t>
            </w:r>
            <w:r>
              <w:rPr>
                <w:rFonts w:hint="default"/>
                <w:color w:val="auto"/>
                <w:sz w:val="24"/>
                <w:szCs w:val="32"/>
                <w:highlight w:val="none"/>
              </w:rPr>
              <w:t>～0.</w:t>
            </w:r>
            <w:r>
              <w:rPr>
                <w:rFonts w:hint="eastAsia"/>
                <w:color w:val="auto"/>
                <w:sz w:val="24"/>
                <w:szCs w:val="32"/>
                <w:highlight w:val="none"/>
                <w:lang w:val="en-US" w:eastAsia="zh-CN"/>
              </w:rPr>
              <w:t>387，</w:t>
            </w:r>
            <w:r>
              <w:rPr>
                <w:rFonts w:hint="default"/>
                <w:color w:val="auto"/>
                <w:sz w:val="24"/>
                <w:szCs w:val="32"/>
              </w:rPr>
              <w:t>以上分析可知，评价区域内</w:t>
            </w:r>
            <w:r>
              <w:rPr>
                <w:rFonts w:hint="default"/>
                <w:color w:val="auto"/>
                <w:sz w:val="24"/>
                <w:szCs w:val="32"/>
                <w:lang w:val="en-US" w:eastAsia="zh-CN"/>
              </w:rPr>
              <w:t>TSP的24h平均浓度现状值满足《环境空气质量标准》（GB3095-2012）二级标准</w:t>
            </w:r>
            <w:r>
              <w:rPr>
                <w:rFonts w:hint="eastAsia"/>
                <w:color w:val="auto"/>
                <w:sz w:val="24"/>
                <w:szCs w:val="32"/>
                <w:lang w:val="en-US" w:eastAsia="zh-CN"/>
              </w:rPr>
              <w:t>及修改单</w:t>
            </w:r>
            <w:r>
              <w:rPr>
                <w:rFonts w:hint="default"/>
                <w:color w:val="auto"/>
                <w:sz w:val="24"/>
                <w:szCs w:val="32"/>
                <w:lang w:val="en-US" w:eastAsia="zh-CN"/>
              </w:rPr>
              <w:t>。</w:t>
            </w:r>
          </w:p>
          <w:p w14:paraId="4C729A7F">
            <w:pPr>
              <w:spacing w:line="500" w:lineRule="exact"/>
              <w:ind w:firstLine="482" w:firstLineChars="200"/>
              <w:rPr>
                <w:b/>
                <w:color w:val="auto"/>
                <w:sz w:val="24"/>
              </w:rPr>
            </w:pPr>
          </w:p>
          <w:p w14:paraId="64FCC843">
            <w:pPr>
              <w:spacing w:line="500" w:lineRule="exact"/>
              <w:ind w:firstLine="482" w:firstLineChars="200"/>
              <w:rPr>
                <w:b/>
                <w:color w:val="auto"/>
                <w:spacing w:val="4"/>
                <w:kern w:val="0"/>
                <w:sz w:val="24"/>
              </w:rPr>
            </w:pPr>
            <w:r>
              <w:rPr>
                <w:b/>
                <w:color w:val="auto"/>
                <w:sz w:val="24"/>
              </w:rPr>
              <w:t>2</w:t>
            </w:r>
            <w:r>
              <w:rPr>
                <w:b/>
                <w:color w:val="auto"/>
                <w:spacing w:val="4"/>
                <w:kern w:val="0"/>
                <w:sz w:val="24"/>
              </w:rPr>
              <w:t>声环境质量现状</w:t>
            </w:r>
          </w:p>
          <w:p w14:paraId="436C16EA">
            <w:pPr>
              <w:spacing w:line="500" w:lineRule="exact"/>
              <w:ind w:firstLine="496" w:firstLineChars="200"/>
              <w:rPr>
                <w:snapToGrid w:val="0"/>
                <w:color w:val="auto"/>
                <w:kern w:val="0"/>
                <w:sz w:val="24"/>
                <w:lang w:val="zh-CN"/>
              </w:rPr>
            </w:pPr>
            <w:r>
              <w:rPr>
                <w:color w:val="auto"/>
                <w:spacing w:val="4"/>
                <w:kern w:val="0"/>
                <w:sz w:val="24"/>
              </w:rPr>
              <w:t>评价区内声环境质量较好，满足《声环境质量标准》（GB3096－2008）中</w:t>
            </w:r>
            <w:r>
              <w:rPr>
                <w:rFonts w:hint="eastAsia"/>
                <w:color w:val="auto"/>
                <w:spacing w:val="4"/>
                <w:kern w:val="0"/>
                <w:sz w:val="24"/>
                <w:lang w:val="en-US" w:eastAsia="zh-CN"/>
              </w:rPr>
              <w:t>3</w:t>
            </w:r>
            <w:r>
              <w:rPr>
                <w:color w:val="auto"/>
                <w:spacing w:val="4"/>
                <w:kern w:val="0"/>
                <w:sz w:val="24"/>
              </w:rPr>
              <w:t>类区标准要求。</w:t>
            </w:r>
            <w:r>
              <w:rPr>
                <w:rFonts w:hint="eastAsia"/>
                <w:bCs/>
                <w:color w:val="auto"/>
                <w:sz w:val="24"/>
              </w:rPr>
              <w:t>本项目厂界外50m范围内无声环境敏感点，未对声环境质量现状进行监测。</w:t>
            </w:r>
          </w:p>
          <w:p w14:paraId="58D5F7AC">
            <w:pPr>
              <w:pStyle w:val="9"/>
              <w:spacing w:before="0" w:after="0" w:line="500" w:lineRule="exact"/>
              <w:ind w:right="0" w:firstLine="482" w:firstLineChars="200"/>
              <w:rPr>
                <w:b/>
                <w:color w:val="auto"/>
                <w:sz w:val="24"/>
                <w:szCs w:val="24"/>
              </w:rPr>
            </w:pPr>
            <w:r>
              <w:rPr>
                <w:rFonts w:hint="eastAsia"/>
                <w:b/>
                <w:color w:val="auto"/>
                <w:sz w:val="24"/>
                <w:szCs w:val="24"/>
              </w:rPr>
              <w:t>3</w:t>
            </w:r>
            <w:r>
              <w:rPr>
                <w:b/>
                <w:color w:val="auto"/>
                <w:sz w:val="24"/>
                <w:szCs w:val="24"/>
              </w:rPr>
              <w:t>地表水环境</w:t>
            </w:r>
          </w:p>
          <w:p w14:paraId="0BE2E632">
            <w:pPr>
              <w:pStyle w:val="35"/>
              <w:spacing w:line="500" w:lineRule="exact"/>
              <w:ind w:firstLine="496" w:firstLineChars="200"/>
              <w:jc w:val="both"/>
              <w:rPr>
                <w:b w:val="0"/>
                <w:bCs/>
                <w:color w:val="auto"/>
                <w:sz w:val="24"/>
              </w:rPr>
            </w:pPr>
            <w:r>
              <w:rPr>
                <w:rFonts w:hint="eastAsia"/>
                <w:b w:val="0"/>
                <w:bCs/>
                <w:color w:val="auto"/>
                <w:spacing w:val="4"/>
                <w:kern w:val="0"/>
                <w:sz w:val="24"/>
                <w:szCs w:val="24"/>
                <w:highlight w:val="none"/>
              </w:rPr>
              <w:t>本项目</w:t>
            </w:r>
            <w:r>
              <w:rPr>
                <w:rFonts w:hint="eastAsia" w:ascii="Times New Roman" w:hAnsi="Times New Roman" w:eastAsia="宋体" w:cs="Times New Roman"/>
                <w:b w:val="0"/>
                <w:bCs/>
                <w:caps/>
                <w:color w:val="auto"/>
                <w:sz w:val="24"/>
                <w:szCs w:val="24"/>
                <w:highlight w:val="none"/>
                <w:lang w:val="en-US" w:eastAsia="zh-CN"/>
              </w:rPr>
              <w:t>生活废水经园区管网排入园区东部污水处理厂，洗车废水循环使用，喷淋用水蒸发，</w:t>
            </w:r>
            <w:r>
              <w:rPr>
                <w:rFonts w:hint="eastAsia"/>
                <w:b w:val="0"/>
                <w:bCs/>
                <w:color w:val="auto"/>
                <w:sz w:val="24"/>
              </w:rPr>
              <w:t>本项目无废水直接排入地表水，因此未对区域地表水环境质量现状进行调查</w:t>
            </w:r>
            <w:r>
              <w:rPr>
                <w:b w:val="0"/>
                <w:bCs/>
                <w:color w:val="auto"/>
                <w:sz w:val="24"/>
              </w:rPr>
              <w:t>。</w:t>
            </w:r>
          </w:p>
          <w:p w14:paraId="21689EA8">
            <w:pPr>
              <w:pStyle w:val="9"/>
              <w:spacing w:before="0" w:after="0" w:line="500" w:lineRule="exact"/>
              <w:ind w:right="0" w:firstLine="482" w:firstLineChars="200"/>
              <w:rPr>
                <w:b/>
                <w:color w:val="auto"/>
                <w:sz w:val="24"/>
                <w:szCs w:val="24"/>
              </w:rPr>
            </w:pPr>
            <w:r>
              <w:rPr>
                <w:rFonts w:hint="eastAsia"/>
                <w:b/>
                <w:color w:val="auto"/>
                <w:sz w:val="24"/>
                <w:szCs w:val="24"/>
              </w:rPr>
              <w:t>4</w:t>
            </w:r>
            <w:r>
              <w:rPr>
                <w:b/>
                <w:color w:val="auto"/>
                <w:sz w:val="24"/>
                <w:szCs w:val="24"/>
              </w:rPr>
              <w:t>生态环境</w:t>
            </w:r>
          </w:p>
          <w:p w14:paraId="1F90F005">
            <w:pPr>
              <w:autoSpaceDE w:val="0"/>
              <w:autoSpaceDN w:val="0"/>
              <w:adjustRightInd w:val="0"/>
              <w:snapToGrid w:val="0"/>
              <w:spacing w:line="500" w:lineRule="exact"/>
              <w:ind w:firstLine="480" w:firstLineChars="200"/>
              <w:rPr>
                <w:snapToGrid w:val="0"/>
                <w:color w:val="auto"/>
                <w:kern w:val="0"/>
                <w:sz w:val="24"/>
              </w:rPr>
            </w:pPr>
            <w:r>
              <w:rPr>
                <w:rFonts w:hint="eastAsia"/>
                <w:snapToGrid w:val="0"/>
                <w:color w:val="auto"/>
                <w:kern w:val="0"/>
                <w:sz w:val="24"/>
                <w:lang w:eastAsia="zh-CN"/>
              </w:rPr>
              <w:t>本项目</w:t>
            </w:r>
            <w:r>
              <w:rPr>
                <w:rFonts w:hint="default" w:ascii="Times New Roman" w:hAnsi="Times New Roman" w:cs="Times New Roman"/>
                <w:color w:val="auto"/>
                <w:kern w:val="0"/>
                <w:sz w:val="24"/>
                <w:szCs w:val="24"/>
                <w:highlight w:val="none"/>
                <w:lang w:bidi="ar"/>
              </w:rPr>
              <w:t>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eastAsia"/>
                <w:snapToGrid w:val="0"/>
                <w:color w:val="auto"/>
                <w:kern w:val="0"/>
                <w:sz w:val="24"/>
                <w:lang w:eastAsia="zh-CN"/>
              </w:rPr>
              <w:t>租用现有场地及厂房，</w:t>
            </w:r>
            <w:r>
              <w:rPr>
                <w:rFonts w:hint="default" w:ascii="Times New Roman" w:hAnsi="Times New Roman" w:cs="Times New Roman"/>
                <w:color w:val="auto"/>
                <w:kern w:val="0"/>
                <w:sz w:val="24"/>
                <w:szCs w:val="24"/>
                <w:highlight w:val="none"/>
                <w:lang w:eastAsia="zh-CN" w:bidi="ar"/>
              </w:rPr>
              <w:t>无生态保护目标。</w:t>
            </w:r>
          </w:p>
          <w:p w14:paraId="5C7BD58A">
            <w:pPr>
              <w:pStyle w:val="9"/>
              <w:spacing w:before="0" w:after="0" w:line="500" w:lineRule="exact"/>
              <w:ind w:right="0" w:firstLine="482" w:firstLineChars="200"/>
              <w:rPr>
                <w:b/>
                <w:color w:val="auto"/>
                <w:sz w:val="24"/>
                <w:szCs w:val="24"/>
              </w:rPr>
            </w:pPr>
            <w:r>
              <w:rPr>
                <w:rFonts w:hint="eastAsia"/>
                <w:b/>
                <w:color w:val="auto"/>
                <w:sz w:val="24"/>
                <w:szCs w:val="24"/>
              </w:rPr>
              <w:t>5</w:t>
            </w:r>
            <w:r>
              <w:rPr>
                <w:b/>
                <w:color w:val="auto"/>
                <w:sz w:val="24"/>
                <w:szCs w:val="24"/>
              </w:rPr>
              <w:t>电磁辐射</w:t>
            </w:r>
          </w:p>
          <w:p w14:paraId="1B81AE8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14:paraId="2C4E28E8">
            <w:pPr>
              <w:pStyle w:val="9"/>
              <w:spacing w:before="0" w:after="0" w:line="500" w:lineRule="exact"/>
              <w:ind w:right="0" w:firstLine="482" w:firstLineChars="200"/>
              <w:rPr>
                <w:b/>
                <w:color w:val="auto"/>
                <w:sz w:val="24"/>
                <w:szCs w:val="24"/>
              </w:rPr>
            </w:pPr>
            <w:r>
              <w:rPr>
                <w:rFonts w:hint="eastAsia"/>
                <w:b/>
                <w:color w:val="auto"/>
                <w:sz w:val="24"/>
                <w:szCs w:val="24"/>
              </w:rPr>
              <w:t>6</w:t>
            </w:r>
            <w:r>
              <w:rPr>
                <w:b/>
                <w:color w:val="auto"/>
                <w:sz w:val="24"/>
                <w:szCs w:val="24"/>
              </w:rPr>
              <w:t>地下水、土壤环境</w:t>
            </w:r>
          </w:p>
          <w:p w14:paraId="03FE3C75">
            <w:pPr>
              <w:spacing w:line="500" w:lineRule="exact"/>
              <w:ind w:firstLine="480" w:firstLineChars="200"/>
              <w:rPr>
                <w:color w:val="auto"/>
                <w:kern w:val="0"/>
                <w:szCs w:val="21"/>
              </w:rPr>
            </w:pPr>
            <w:r>
              <w:rPr>
                <w:rFonts w:hint="eastAsia"/>
                <w:snapToGrid w:val="0"/>
                <w:color w:val="auto"/>
                <w:kern w:val="0"/>
                <w:sz w:val="24"/>
              </w:rPr>
              <w:t>本项目采取防渗措施后，正常工况下</w:t>
            </w:r>
            <w:r>
              <w:rPr>
                <w:snapToGrid w:val="0"/>
                <w:color w:val="auto"/>
                <w:kern w:val="0"/>
                <w:sz w:val="24"/>
              </w:rPr>
              <w:t>不存在土壤、地下水环境污染途径，</w:t>
            </w:r>
            <w:r>
              <w:rPr>
                <w:rFonts w:hint="eastAsia"/>
                <w:snapToGrid w:val="0"/>
                <w:color w:val="auto"/>
                <w:kern w:val="0"/>
                <w:sz w:val="24"/>
              </w:rPr>
              <w:t>按照编制指南要求</w:t>
            </w:r>
            <w:r>
              <w:rPr>
                <w:snapToGrid w:val="0"/>
                <w:color w:val="auto"/>
                <w:kern w:val="0"/>
                <w:sz w:val="24"/>
              </w:rPr>
              <w:t>不开展环境质量现状调查。</w:t>
            </w:r>
          </w:p>
        </w:tc>
      </w:tr>
      <w:tr w14:paraId="28A6D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493" w:type="pct"/>
            <w:vAlign w:val="center"/>
          </w:tcPr>
          <w:p w14:paraId="6CF8FE9A">
            <w:pPr>
              <w:adjustRightInd w:val="0"/>
              <w:snapToGrid w:val="0"/>
              <w:spacing w:line="480" w:lineRule="exact"/>
              <w:jc w:val="center"/>
              <w:rPr>
                <w:color w:val="auto"/>
                <w:kern w:val="0"/>
                <w:szCs w:val="21"/>
              </w:rPr>
            </w:pPr>
            <w:r>
              <w:rPr>
                <w:color w:val="auto"/>
                <w:kern w:val="0"/>
                <w:sz w:val="24"/>
              </w:rPr>
              <w:t>环境保护目标</w:t>
            </w:r>
          </w:p>
        </w:tc>
        <w:tc>
          <w:tcPr>
            <w:tcW w:w="4506" w:type="pct"/>
            <w:vAlign w:val="center"/>
          </w:tcPr>
          <w:p w14:paraId="5AB877A8">
            <w:pPr>
              <w:keepNext w:val="0"/>
              <w:keepLines w:val="0"/>
              <w:pageBreakBefore w:val="0"/>
              <w:widowControl w:val="0"/>
              <w:kinsoku/>
              <w:wordWrap/>
              <w:overflowPunct/>
              <w:topLinePunct w:val="0"/>
              <w:autoSpaceDE w:val="0"/>
              <w:autoSpaceDN w:val="0"/>
              <w:bidi w:val="0"/>
              <w:adjustRightInd w:val="0"/>
              <w:snapToGrid/>
              <w:spacing w:line="420" w:lineRule="exact"/>
              <w:ind w:firstLine="496" w:firstLineChars="200"/>
              <w:jc w:val="left"/>
              <w:textAlignment w:val="auto"/>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项目</w:t>
            </w:r>
            <w:r>
              <w:rPr>
                <w:rFonts w:ascii="Times New Roman" w:hAnsi="Times New Roman"/>
                <w:color w:val="auto"/>
                <w:spacing w:val="4"/>
                <w:kern w:val="0"/>
                <w:sz w:val="24"/>
                <w:szCs w:val="24"/>
                <w:highlight w:val="none"/>
              </w:rPr>
              <w:t>区域内没有重点保护文物和珍稀动植物资源。根据工程性质和周围环境特征，确定环境保护目标和保护级别</w:t>
            </w:r>
            <w:r>
              <w:rPr>
                <w:rFonts w:hint="eastAsia" w:ascii="Times New Roman" w:hAnsi="Times New Roman"/>
                <w:color w:val="auto"/>
                <w:spacing w:val="4"/>
                <w:kern w:val="0"/>
                <w:sz w:val="24"/>
                <w:szCs w:val="24"/>
                <w:highlight w:val="none"/>
                <w:lang w:eastAsia="zh-CN"/>
              </w:rPr>
              <w:t>如下：</w:t>
            </w:r>
          </w:p>
          <w:p w14:paraId="4727B94B">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firstLine="496" w:firstLineChars="200"/>
              <w:jc w:val="left"/>
              <w:textAlignment w:val="auto"/>
              <w:rPr>
                <w:rFonts w:hint="default" w:ascii="Times New Roman" w:hAnsi="Times New Roman" w:eastAsia="宋体"/>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1、大气环境</w:t>
            </w:r>
          </w:p>
          <w:p w14:paraId="2007D556">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0" w:leftChars="0" w:firstLine="476" w:firstLineChars="192"/>
              <w:jc w:val="left"/>
              <w:textAlignment w:val="auto"/>
              <w:rPr>
                <w:rFonts w:hint="default"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厂界外500米范围内没有自然保护区、风景名胜区、居住区、文化区和农村地区中人群较集中的区域等环境保护目标。</w:t>
            </w:r>
          </w:p>
          <w:p w14:paraId="3F821FDA">
            <w:pPr>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200"/>
              <w:jc w:val="left"/>
              <w:textAlignment w:val="auto"/>
              <w:rPr>
                <w:rFonts w:hint="eastAsia"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2、声环境</w:t>
            </w:r>
          </w:p>
          <w:p w14:paraId="7B9A517B">
            <w:pPr>
              <w:numPr>
                <w:ilvl w:val="0"/>
                <w:numId w:val="0"/>
              </w:numPr>
              <w:spacing w:line="360" w:lineRule="auto"/>
              <w:ind w:left="420" w:leftChars="0"/>
              <w:rPr>
                <w:rFonts w:hint="eastAsia" w:ascii="Times New Roman" w:hAnsi="Times New Roman"/>
                <w:color w:val="auto"/>
                <w:spacing w:val="4"/>
                <w:kern w:val="0"/>
                <w:sz w:val="24"/>
                <w:szCs w:val="24"/>
                <w:highlight w:val="none"/>
                <w:lang w:val="en-US" w:eastAsia="zh-CN"/>
              </w:rPr>
            </w:pPr>
            <w:r>
              <w:rPr>
                <w:rFonts w:hint="eastAsia" w:ascii="Times New Roman" w:hAnsi="Times New Roman"/>
                <w:color w:val="auto"/>
                <w:spacing w:val="4"/>
                <w:kern w:val="0"/>
                <w:sz w:val="24"/>
                <w:szCs w:val="24"/>
                <w:highlight w:val="none"/>
                <w:lang w:val="en-US" w:eastAsia="zh-CN"/>
              </w:rPr>
              <w:t>厂界50m范围内无声环境保护目标。</w:t>
            </w:r>
          </w:p>
          <w:p w14:paraId="778D9410">
            <w:pPr>
              <w:numPr>
                <w:ilvl w:val="0"/>
                <w:numId w:val="0"/>
              </w:numPr>
              <w:spacing w:line="360" w:lineRule="auto"/>
              <w:ind w:left="420" w:leftChars="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3、地下水环境</w:t>
            </w:r>
          </w:p>
          <w:p w14:paraId="56C743C5">
            <w:pPr>
              <w:numPr>
                <w:ilvl w:val="0"/>
                <w:numId w:val="0"/>
              </w:numPr>
              <w:spacing w:line="360" w:lineRule="auto"/>
              <w:ind w:leftChars="0" w:firstLine="480" w:firstLineChars="200"/>
              <w:rPr>
                <w:rFonts w:hint="default" w:ascii="Times New Roman" w:hAnsi="Times New Roman" w:cs="Times New Roman"/>
                <w:b w:val="0"/>
                <w:bCs w:val="0"/>
                <w:color w:val="auto"/>
                <w:spacing w:val="4"/>
                <w:kern w:val="0"/>
                <w:sz w:val="24"/>
                <w:szCs w:val="24"/>
                <w:highlight w:val="none"/>
              </w:rPr>
            </w:pPr>
            <w:r>
              <w:rPr>
                <w:rFonts w:hint="default" w:ascii="Times New Roman" w:hAnsi="Times New Roman" w:eastAsia="宋体" w:cs="Times New Roman"/>
                <w:b w:val="0"/>
                <w:bCs w:val="0"/>
                <w:color w:val="auto"/>
                <w:sz w:val="24"/>
                <w:szCs w:val="24"/>
                <w:highlight w:val="none"/>
                <w:lang w:val="en-US" w:eastAsia="zh-CN"/>
              </w:rPr>
              <w:t>厂界外500米范围内没有地下水集中式饮用水水源和热水、矿泉水、温泉等特殊地下水资源</w:t>
            </w:r>
            <w:r>
              <w:rPr>
                <w:rFonts w:hint="eastAsia" w:cs="Times New Roman"/>
                <w:b w:val="0"/>
                <w:bCs w:val="0"/>
                <w:color w:val="auto"/>
                <w:sz w:val="24"/>
                <w:szCs w:val="24"/>
                <w:highlight w:val="none"/>
                <w:lang w:val="en-US" w:eastAsia="zh-CN"/>
              </w:rPr>
              <w:t>，本项目地下水</w:t>
            </w:r>
            <w:r>
              <w:rPr>
                <w:rFonts w:hint="eastAsia"/>
                <w:sz w:val="24"/>
                <w:szCs w:val="32"/>
                <w:lang w:eastAsia="zh-CN"/>
              </w:rPr>
              <w:t>保护目标为厂区范围潜水</w:t>
            </w:r>
            <w:r>
              <w:rPr>
                <w:rFonts w:hint="default" w:ascii="Times New Roman" w:hAnsi="Times New Roman" w:eastAsia="宋体" w:cs="Times New Roman"/>
                <w:b w:val="0"/>
                <w:bCs w:val="0"/>
                <w:color w:val="auto"/>
                <w:sz w:val="24"/>
                <w:szCs w:val="24"/>
                <w:highlight w:val="none"/>
                <w:lang w:val="en-US" w:eastAsia="zh-CN"/>
              </w:rPr>
              <w:t>。</w:t>
            </w:r>
          </w:p>
          <w:p w14:paraId="2253D5A5">
            <w:pPr>
              <w:numPr>
                <w:ilvl w:val="0"/>
                <w:numId w:val="2"/>
              </w:numPr>
              <w:spacing w:line="360" w:lineRule="auto"/>
              <w:ind w:leftChars="0" w:firstLine="480" w:firstLineChars="200"/>
              <w:rPr>
                <w:rFonts w:hint="default" w:ascii="Times New Roman" w:hAnsi="Times New Roman" w:cs="Times New Roman"/>
                <w:color w:val="auto"/>
                <w:kern w:val="0"/>
                <w:sz w:val="24"/>
                <w:szCs w:val="24"/>
              </w:rPr>
            </w:pPr>
            <w:r>
              <w:rPr>
                <w:rFonts w:hint="default" w:ascii="Times New Roman" w:hAnsi="Times New Roman" w:eastAsia="宋体" w:cs="Times New Roman"/>
                <w:b w:val="0"/>
                <w:bCs w:val="0"/>
                <w:color w:val="auto"/>
                <w:sz w:val="24"/>
                <w:szCs w:val="24"/>
                <w:highlight w:val="none"/>
                <w:lang w:val="en-US" w:eastAsia="zh-CN"/>
              </w:rPr>
              <w:t>生态环境</w:t>
            </w:r>
          </w:p>
          <w:p w14:paraId="24CD90EA">
            <w:pPr>
              <w:spacing w:line="500" w:lineRule="exact"/>
              <w:ind w:firstLine="480" w:firstLineChars="200"/>
              <w:rPr>
                <w:rFonts w:hint="default" w:ascii="Times New Roman" w:hAnsi="Times New Roman"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bidi="ar"/>
              </w:rPr>
              <w:t>本项目位于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lang w:eastAsia="zh-CN" w:bidi="ar"/>
              </w:rPr>
              <w:t>无生态保护目标。</w:t>
            </w:r>
          </w:p>
          <w:p w14:paraId="3FD0D530">
            <w:pPr>
              <w:pStyle w:val="22"/>
            </w:pPr>
          </w:p>
        </w:tc>
      </w:tr>
      <w:tr w14:paraId="6EF00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tcMar>
              <w:left w:w="28" w:type="dxa"/>
              <w:right w:w="28" w:type="dxa"/>
            </w:tcMar>
            <w:vAlign w:val="center"/>
          </w:tcPr>
          <w:p w14:paraId="5ECE4CF4">
            <w:pPr>
              <w:adjustRightInd w:val="0"/>
              <w:snapToGrid w:val="0"/>
              <w:spacing w:line="500" w:lineRule="exact"/>
              <w:jc w:val="center"/>
              <w:rPr>
                <w:color w:val="auto"/>
                <w:kern w:val="0"/>
                <w:szCs w:val="21"/>
              </w:rPr>
            </w:pPr>
            <w:r>
              <w:rPr>
                <w:color w:val="auto"/>
                <w:kern w:val="0"/>
                <w:sz w:val="24"/>
                <w:szCs w:val="21"/>
              </w:rPr>
              <w:t>污染物排放控制标准</w:t>
            </w:r>
          </w:p>
        </w:tc>
        <w:tc>
          <w:tcPr>
            <w:tcW w:w="4506" w:type="pct"/>
            <w:vAlign w:val="center"/>
          </w:tcPr>
          <w:p w14:paraId="7C2A27F3">
            <w:pPr>
              <w:widowControl/>
              <w:spacing w:line="500" w:lineRule="exact"/>
              <w:ind w:firstLine="482" w:firstLineChars="200"/>
              <w:rPr>
                <w:b/>
                <w:color w:val="auto"/>
                <w:sz w:val="24"/>
              </w:rPr>
            </w:pPr>
            <w:r>
              <w:rPr>
                <w:b/>
                <w:color w:val="auto"/>
                <w:sz w:val="24"/>
              </w:rPr>
              <w:t>1</w:t>
            </w:r>
            <w:r>
              <w:rPr>
                <w:rFonts w:hint="eastAsia"/>
                <w:b/>
                <w:color w:val="auto"/>
                <w:sz w:val="24"/>
              </w:rPr>
              <w:t>、</w:t>
            </w:r>
            <w:r>
              <w:rPr>
                <w:b/>
                <w:color w:val="auto"/>
                <w:sz w:val="24"/>
              </w:rPr>
              <w:t>废气</w:t>
            </w:r>
          </w:p>
          <w:p w14:paraId="638EE324">
            <w:pPr>
              <w:spacing w:line="500" w:lineRule="exact"/>
              <w:ind w:firstLine="480" w:firstLineChars="200"/>
              <w:rPr>
                <w:color w:val="auto"/>
                <w:sz w:val="24"/>
              </w:rPr>
            </w:pPr>
            <w:r>
              <w:rPr>
                <w:rFonts w:hint="eastAsia"/>
                <w:color w:val="auto"/>
                <w:sz w:val="24"/>
              </w:rPr>
              <w:t>（1）施工期</w:t>
            </w:r>
          </w:p>
          <w:p w14:paraId="1079F7CD">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default" w:ascii="Times New Roman" w:hAnsi="Times New Roman" w:eastAsia="宋体" w:cs="Times New Roman"/>
                <w:i w:val="0"/>
                <w:iCs w:val="0"/>
                <w:color w:val="auto"/>
                <w:sz w:val="24"/>
                <w:highlight w:val="none"/>
                <w:lang w:val="en-US" w:eastAsia="zh-CN"/>
              </w:rPr>
            </w:pPr>
            <w:r>
              <w:rPr>
                <w:rFonts w:hint="default" w:ascii="Times New Roman" w:hAnsi="Times New Roman" w:eastAsia="宋体" w:cs="Times New Roman"/>
                <w:i w:val="0"/>
                <w:iCs w:val="0"/>
                <w:snapToGrid w:val="0"/>
                <w:color w:val="auto"/>
                <w:kern w:val="0"/>
                <w:sz w:val="24"/>
                <w:highlight w:val="none"/>
                <w:lang w:val="en-US" w:eastAsia="zh-CN"/>
              </w:rPr>
              <w:t>项目施工期废气排放执行</w:t>
            </w:r>
            <w:r>
              <w:rPr>
                <w:rFonts w:hint="default" w:ascii="Times New Roman" w:hAnsi="Times New Roman" w:eastAsia="宋体" w:cs="Times New Roman"/>
                <w:i w:val="0"/>
                <w:iCs w:val="0"/>
                <w:color w:val="auto"/>
                <w:sz w:val="24"/>
                <w:highlight w:val="none"/>
                <w:lang w:val="en-US" w:eastAsia="zh-CN"/>
              </w:rPr>
              <w:t>《施工场地扬尘排放标准》（DB13/2934-2019）表1限值要求，即80μg/m</w:t>
            </w:r>
            <w:r>
              <w:rPr>
                <w:rFonts w:hint="default" w:ascii="Times New Roman" w:hAnsi="Times New Roman" w:eastAsia="宋体" w:cs="Times New Roman"/>
                <w:i w:val="0"/>
                <w:iCs w:val="0"/>
                <w:color w:val="auto"/>
                <w:sz w:val="24"/>
                <w:highlight w:val="none"/>
                <w:vertAlign w:val="superscript"/>
                <w:lang w:val="en-US" w:eastAsia="zh-CN"/>
              </w:rPr>
              <w:t>3</w:t>
            </w:r>
            <w:r>
              <w:rPr>
                <w:rFonts w:hint="default" w:ascii="Times New Roman" w:hAnsi="Times New Roman" w:eastAsia="宋体" w:cs="Times New Roman"/>
                <w:i w:val="0"/>
                <w:iCs w:val="0"/>
                <w:color w:val="auto"/>
                <w:sz w:val="24"/>
                <w:highlight w:val="none"/>
                <w:lang w:val="en-US" w:eastAsia="zh-CN"/>
              </w:rPr>
              <w:t>。</w:t>
            </w:r>
          </w:p>
          <w:p w14:paraId="18246F92">
            <w:pPr>
              <w:keepNext w:val="0"/>
              <w:keepLines w:val="0"/>
              <w:pageBreakBefore w:val="0"/>
              <w:widowControl w:val="0"/>
              <w:tabs>
                <w:tab w:val="left" w:pos="0"/>
                <w:tab w:val="left" w:pos="1020"/>
              </w:tabs>
              <w:kinsoku/>
              <w:wordWrap/>
              <w:overflowPunct/>
              <w:topLinePunct w:val="0"/>
              <w:autoSpaceDE/>
              <w:autoSpaceDN/>
              <w:bidi w:val="0"/>
              <w:adjustRightInd/>
              <w:snapToGrid/>
              <w:spacing w:line="440" w:lineRule="exact"/>
              <w:ind w:firstLine="2650" w:firstLineChars="11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16</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bCs/>
                <w:color w:val="auto"/>
                <w:sz w:val="24"/>
                <w:szCs w:val="24"/>
                <w:highlight w:val="none"/>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扬尘排放浓度限值</w:t>
            </w:r>
          </w:p>
          <w:tbl>
            <w:tblPr>
              <w:tblStyle w:val="24"/>
              <w:tblW w:w="79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3070"/>
              <w:gridCol w:w="2668"/>
            </w:tblGrid>
            <w:tr w14:paraId="5CF65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60" w:type="dxa"/>
                  <w:tcBorders>
                    <w:tl2br w:val="nil"/>
                    <w:tr2bl w:val="nil"/>
                  </w:tcBorders>
                  <w:noWrap w:val="0"/>
                  <w:vAlign w:val="center"/>
                </w:tcPr>
                <w:p w14:paraId="6351874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控制项目</w:t>
                  </w:r>
                </w:p>
              </w:tc>
              <w:tc>
                <w:tcPr>
                  <w:tcW w:w="3070" w:type="dxa"/>
                  <w:tcBorders>
                    <w:tl2br w:val="nil"/>
                    <w:tr2bl w:val="nil"/>
                  </w:tcBorders>
                  <w:noWrap w:val="0"/>
                  <w:vAlign w:val="center"/>
                </w:tcPr>
                <w:p w14:paraId="4099F57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监测点浓度限值</w:t>
                  </w:r>
                  <w:r>
                    <w:rPr>
                      <w:rFonts w:hint="eastAsia" w:ascii="Times New Roman" w:hAnsi="Times New Roman" w:eastAsia="宋体" w:cs="Times New Roman"/>
                      <w:color w:val="auto"/>
                      <w:kern w:val="0"/>
                      <w:sz w:val="21"/>
                      <w:szCs w:val="21"/>
                      <w:highlight w:val="none"/>
                      <w:vertAlign w:val="superscript"/>
                      <w:lang w:val="en-US" w:eastAsia="zh-CN" w:bidi="ar"/>
                    </w:rPr>
                    <w:t>a</w:t>
                  </w:r>
                  <w:r>
                    <w:rPr>
                      <w:rFonts w:hint="default" w:ascii="Times New Roman" w:hAnsi="Times New Roman" w:eastAsia="宋体" w:cs="Times New Roman"/>
                      <w:color w:val="auto"/>
                      <w:sz w:val="21"/>
                      <w:szCs w:val="21"/>
                      <w:highlight w:val="none"/>
                    </w:rPr>
                    <w:t>（µg/m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 xml:space="preserve"> ）</w:t>
                  </w:r>
                </w:p>
              </w:tc>
              <w:tc>
                <w:tcPr>
                  <w:tcW w:w="2668" w:type="dxa"/>
                  <w:tcBorders>
                    <w:tl2br w:val="nil"/>
                    <w:tr2bl w:val="nil"/>
                  </w:tcBorders>
                  <w:noWrap w:val="0"/>
                  <w:vAlign w:val="center"/>
                </w:tcPr>
                <w:p w14:paraId="127BEE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达标判定依据（次/天）</w:t>
                  </w:r>
                </w:p>
              </w:tc>
            </w:tr>
            <w:tr w14:paraId="6E96A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60" w:type="dxa"/>
                  <w:tcBorders>
                    <w:tl2br w:val="nil"/>
                    <w:tr2bl w:val="nil"/>
                  </w:tcBorders>
                  <w:noWrap w:val="0"/>
                  <w:vAlign w:val="center"/>
                </w:tcPr>
                <w:p w14:paraId="08D9F8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PM</w:t>
                  </w:r>
                  <w:r>
                    <w:rPr>
                      <w:rFonts w:hint="eastAsia" w:ascii="Times New Roman" w:hAnsi="Times New Roman" w:eastAsia="宋体" w:cs="Times New Roman"/>
                      <w:color w:val="auto"/>
                      <w:sz w:val="21"/>
                      <w:szCs w:val="21"/>
                      <w:highlight w:val="none"/>
                      <w:vertAlign w:val="subscript"/>
                      <w:lang w:val="en-US" w:eastAsia="zh-CN"/>
                    </w:rPr>
                    <w:t>10</w:t>
                  </w:r>
                </w:p>
              </w:tc>
              <w:tc>
                <w:tcPr>
                  <w:tcW w:w="3070" w:type="dxa"/>
                  <w:tcBorders>
                    <w:tl2br w:val="nil"/>
                    <w:tr2bl w:val="nil"/>
                  </w:tcBorders>
                  <w:noWrap w:val="0"/>
                  <w:vAlign w:val="center"/>
                </w:tcPr>
                <w:p w14:paraId="066129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2668" w:type="dxa"/>
                  <w:tcBorders>
                    <w:tl2br w:val="nil"/>
                    <w:tr2bl w:val="nil"/>
                  </w:tcBorders>
                  <w:noWrap w:val="0"/>
                  <w:vAlign w:val="center"/>
                </w:tcPr>
                <w:p w14:paraId="150D5EC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2</w:t>
                  </w:r>
                </w:p>
              </w:tc>
            </w:tr>
            <w:tr w14:paraId="584C6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98" w:type="dxa"/>
                  <w:gridSpan w:val="3"/>
                  <w:tcBorders>
                    <w:tl2br w:val="nil"/>
                    <w:tr2bl w:val="nil"/>
                  </w:tcBorders>
                  <w:noWrap w:val="0"/>
                  <w:vAlign w:val="center"/>
                </w:tcPr>
                <w:p w14:paraId="7A7501B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highlight w:val="none"/>
                      <w:vertAlign w:val="superscript"/>
                      <w:lang w:val="en-US" w:eastAsia="zh-CN" w:bidi="ar"/>
                    </w:rPr>
                    <w:t>a</w:t>
                  </w:r>
                  <w:r>
                    <w:rPr>
                      <w:rFonts w:hint="default" w:ascii="Times New Roman" w:hAnsi="Times New Roman" w:eastAsia="宋体" w:cs="Times New Roman"/>
                      <w:color w:val="auto"/>
                      <w:kern w:val="0"/>
                      <w:sz w:val="21"/>
                      <w:szCs w:val="21"/>
                      <w:highlight w:val="none"/>
                      <w:lang w:val="en-US" w:eastAsia="zh-CN" w:bidi="ar"/>
                    </w:rPr>
                    <w:t>指监测点PM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小时平均浓度实测值与同时段所属县（市、区）PM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小时平均浓度的差值。当县（市、区）PM</w:t>
                  </w:r>
                  <w:r>
                    <w:rPr>
                      <w:rFonts w:hint="default" w:ascii="Times New Roman" w:hAnsi="Times New Roman" w:eastAsia="宋体" w:cs="Times New Roman"/>
                      <w:color w:val="auto"/>
                      <w:kern w:val="0"/>
                      <w:sz w:val="21"/>
                      <w:szCs w:val="21"/>
                      <w:highlight w:val="none"/>
                      <w:vertAlign w:val="subscript"/>
                      <w:lang w:val="en-US" w:eastAsia="zh-CN" w:bidi="ar"/>
                    </w:rPr>
                    <w:t>10</w:t>
                  </w:r>
                  <w:r>
                    <w:rPr>
                      <w:rFonts w:hint="default" w:ascii="Times New Roman" w:hAnsi="Times New Roman" w:eastAsia="宋体" w:cs="Times New Roman"/>
                      <w:color w:val="auto"/>
                      <w:kern w:val="0"/>
                      <w:sz w:val="21"/>
                      <w:szCs w:val="21"/>
                      <w:highlight w:val="none"/>
                      <w:lang w:val="en-US" w:eastAsia="zh-CN" w:bidi="ar"/>
                    </w:rPr>
                    <w:t>小时平均浓度值大于150µg/m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时，以150µg/m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 xml:space="preserve">计。 </w:t>
                  </w:r>
                </w:p>
              </w:tc>
            </w:tr>
          </w:tbl>
          <w:p w14:paraId="1ED7893D">
            <w:pPr>
              <w:spacing w:line="500" w:lineRule="exact"/>
              <w:ind w:firstLine="480" w:firstLineChars="200"/>
              <w:rPr>
                <w:color w:val="auto"/>
                <w:sz w:val="24"/>
              </w:rPr>
            </w:pPr>
            <w:r>
              <w:rPr>
                <w:rFonts w:hint="eastAsia"/>
                <w:color w:val="auto"/>
                <w:sz w:val="24"/>
              </w:rPr>
              <w:t>（2）运营期</w:t>
            </w:r>
          </w:p>
          <w:p w14:paraId="5545CDC0">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rFonts w:hint="default" w:eastAsia="宋体"/>
                <w:color w:val="auto"/>
                <w:spacing w:val="4"/>
                <w:kern w:val="0"/>
                <w:sz w:val="24"/>
                <w:lang w:val="en-US" w:eastAsia="zh-CN"/>
              </w:rPr>
            </w:pPr>
            <w:r>
              <w:rPr>
                <w:rFonts w:hint="eastAsia"/>
                <w:sz w:val="24"/>
                <w:szCs w:val="32"/>
                <w:lang w:eastAsia="zh-CN"/>
              </w:rPr>
              <w:t>运营期无组织颗粒物排放执行</w:t>
            </w:r>
            <w:r>
              <w:rPr>
                <w:snapToGrid w:val="0"/>
                <w:color w:val="auto"/>
                <w:kern w:val="0"/>
                <w:sz w:val="24"/>
              </w:rPr>
              <w:t>《</w:t>
            </w:r>
            <w:r>
              <w:rPr>
                <w:color w:val="auto"/>
                <w:sz w:val="24"/>
                <w:szCs w:val="24"/>
              </w:rPr>
              <w:t>煤炭工业污染物排放标准》（GB20426-2006）中表5煤炭工业无组织排放限值</w:t>
            </w:r>
            <w:r>
              <w:rPr>
                <w:color w:val="auto"/>
                <w:sz w:val="24"/>
              </w:rPr>
              <w:t>1.0mg/m</w:t>
            </w:r>
            <w:r>
              <w:rPr>
                <w:color w:val="auto"/>
                <w:sz w:val="24"/>
                <w:vertAlign w:val="superscript"/>
              </w:rPr>
              <w:t>3</w:t>
            </w:r>
            <w:r>
              <w:rPr>
                <w:rFonts w:hint="eastAsia" w:ascii="Times New Roman" w:hAnsi="Times New Roman" w:eastAsia="宋体" w:cs="Times New Roman"/>
                <w:color w:val="auto"/>
                <w:spacing w:val="2"/>
                <w:kern w:val="0"/>
                <w:sz w:val="24"/>
                <w:szCs w:val="24"/>
                <w:highlight w:val="none"/>
                <w:lang w:val="en-US" w:eastAsia="zh-CN"/>
              </w:rPr>
              <w:t>。</w:t>
            </w:r>
          </w:p>
          <w:p w14:paraId="4B7A04C7">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b/>
                <w:color w:val="auto"/>
                <w:sz w:val="24"/>
              </w:rPr>
            </w:pPr>
            <w:r>
              <w:rPr>
                <w:b/>
                <w:color w:val="auto"/>
                <w:sz w:val="24"/>
              </w:rPr>
              <w:t>表</w:t>
            </w:r>
            <w:r>
              <w:rPr>
                <w:rFonts w:hint="eastAsia"/>
                <w:b/>
                <w:color w:val="auto"/>
                <w:sz w:val="24"/>
                <w:lang w:val="en-US" w:eastAsia="zh-CN"/>
              </w:rPr>
              <w:t>17</w:t>
            </w:r>
            <w:r>
              <w:rPr>
                <w:rFonts w:hint="eastAsia"/>
                <w:b/>
                <w:color w:val="auto"/>
                <w:sz w:val="24"/>
              </w:rPr>
              <w:t xml:space="preserve">  </w:t>
            </w:r>
            <w:r>
              <w:rPr>
                <w:b/>
                <w:color w:val="auto"/>
                <w:sz w:val="24"/>
              </w:rPr>
              <w:t xml:space="preserve">    无组织废气污染物排放标准</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1056"/>
              <w:gridCol w:w="1293"/>
              <w:gridCol w:w="5027"/>
            </w:tblGrid>
            <w:tr w14:paraId="5BA04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459" w:type="pct"/>
                  <w:noWrap w:val="0"/>
                  <w:vAlign w:val="center"/>
                </w:tcPr>
                <w:p w14:paraId="50DCA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控制项目</w:t>
                  </w:r>
                </w:p>
              </w:tc>
              <w:tc>
                <w:tcPr>
                  <w:tcW w:w="650" w:type="pct"/>
                  <w:noWrap w:val="0"/>
                  <w:vAlign w:val="center"/>
                </w:tcPr>
                <w:p w14:paraId="229E1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Cs w:val="21"/>
                    </w:rPr>
                  </w:pPr>
                  <w:r>
                    <w:rPr>
                      <w:rFonts w:hint="eastAsia"/>
                      <w:b/>
                      <w:color w:val="auto"/>
                      <w:szCs w:val="21"/>
                    </w:rPr>
                    <w:t>位置</w:t>
                  </w:r>
                </w:p>
              </w:tc>
              <w:tc>
                <w:tcPr>
                  <w:tcW w:w="796" w:type="pct"/>
                  <w:noWrap w:val="0"/>
                  <w:vAlign w:val="center"/>
                </w:tcPr>
                <w:p w14:paraId="256769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最高允许排放浓度</w:t>
                  </w:r>
                </w:p>
              </w:tc>
              <w:tc>
                <w:tcPr>
                  <w:tcW w:w="3094" w:type="pct"/>
                  <w:noWrap w:val="0"/>
                  <w:vAlign w:val="center"/>
                </w:tcPr>
                <w:p w14:paraId="508E3E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auto"/>
                      <w:szCs w:val="21"/>
                    </w:rPr>
                  </w:pPr>
                  <w:r>
                    <w:rPr>
                      <w:b/>
                      <w:color w:val="auto"/>
                      <w:szCs w:val="21"/>
                    </w:rPr>
                    <w:t>标准名称</w:t>
                  </w:r>
                </w:p>
              </w:tc>
            </w:tr>
            <w:tr w14:paraId="06F0F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459" w:type="pct"/>
                  <w:noWrap w:val="0"/>
                  <w:vAlign w:val="center"/>
                </w:tcPr>
                <w:p w14:paraId="72A31C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color w:val="auto"/>
                      <w:szCs w:val="21"/>
                    </w:rPr>
                  </w:pPr>
                  <w:r>
                    <w:rPr>
                      <w:bCs/>
                      <w:color w:val="auto"/>
                      <w:szCs w:val="21"/>
                    </w:rPr>
                    <w:t>颗粒物</w:t>
                  </w:r>
                </w:p>
              </w:tc>
              <w:tc>
                <w:tcPr>
                  <w:tcW w:w="650" w:type="pct"/>
                  <w:noWrap w:val="0"/>
                  <w:vAlign w:val="center"/>
                </w:tcPr>
                <w:p w14:paraId="775B9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olor w:val="auto"/>
                      <w:szCs w:val="21"/>
                    </w:rPr>
                    <w:t>厂界无组织</w:t>
                  </w:r>
                </w:p>
              </w:tc>
              <w:tc>
                <w:tcPr>
                  <w:tcW w:w="796" w:type="pct"/>
                  <w:noWrap w:val="0"/>
                  <w:vAlign w:val="center"/>
                </w:tcPr>
                <w:p w14:paraId="7BFA19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rPr>
                  </w:pPr>
                  <w:r>
                    <w:rPr>
                      <w:rFonts w:hint="eastAsia"/>
                      <w:color w:val="auto"/>
                      <w:szCs w:val="21"/>
                    </w:rPr>
                    <w:t>1.0</w:t>
                  </w:r>
                  <w:r>
                    <w:rPr>
                      <w:color w:val="auto"/>
                      <w:szCs w:val="21"/>
                    </w:rPr>
                    <w:t>mg/m</w:t>
                  </w:r>
                  <w:r>
                    <w:rPr>
                      <w:color w:val="auto"/>
                      <w:szCs w:val="21"/>
                      <w:vertAlign w:val="superscript"/>
                    </w:rPr>
                    <w:t>3</w:t>
                  </w:r>
                </w:p>
              </w:tc>
              <w:tc>
                <w:tcPr>
                  <w:tcW w:w="3094" w:type="pct"/>
                  <w:noWrap w:val="0"/>
                  <w:vAlign w:val="center"/>
                </w:tcPr>
                <w:p w14:paraId="51090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《煤炭工业污染物排放标准》（GB20426-2006）中表5煤炭工业无组织排放限值</w:t>
                  </w:r>
                </w:p>
              </w:tc>
            </w:tr>
          </w:tbl>
          <w:p w14:paraId="00FC807D">
            <w:pPr>
              <w:adjustRightInd w:val="0"/>
              <w:snapToGrid w:val="0"/>
              <w:spacing w:line="500" w:lineRule="exact"/>
              <w:ind w:firstLine="482" w:firstLineChars="200"/>
              <w:textAlignment w:val="baseline"/>
              <w:rPr>
                <w:color w:val="auto"/>
                <w:sz w:val="24"/>
              </w:rPr>
            </w:pPr>
            <w:r>
              <w:rPr>
                <w:b/>
                <w:color w:val="auto"/>
                <w:sz w:val="24"/>
              </w:rPr>
              <w:t>2</w:t>
            </w:r>
            <w:r>
              <w:rPr>
                <w:rFonts w:hint="eastAsia"/>
                <w:b/>
                <w:color w:val="auto"/>
                <w:sz w:val="24"/>
              </w:rPr>
              <w:t>、</w:t>
            </w:r>
            <w:r>
              <w:rPr>
                <w:b/>
                <w:color w:val="auto"/>
                <w:sz w:val="24"/>
              </w:rPr>
              <w:t>噪声</w:t>
            </w:r>
          </w:p>
          <w:p w14:paraId="7318C786">
            <w:pPr>
              <w:spacing w:line="500" w:lineRule="exact"/>
              <w:ind w:firstLine="480" w:firstLineChars="200"/>
              <w:rPr>
                <w:color w:val="auto"/>
                <w:sz w:val="24"/>
              </w:rPr>
            </w:pPr>
            <w:r>
              <w:rPr>
                <w:rFonts w:hint="eastAsia"/>
                <w:color w:val="auto"/>
                <w:sz w:val="24"/>
              </w:rPr>
              <w:t>（1）施工期</w:t>
            </w:r>
          </w:p>
          <w:p w14:paraId="2E0B49A4">
            <w:pPr>
              <w:autoSpaceDE w:val="0"/>
              <w:autoSpaceDN w:val="0"/>
              <w:adjustRightInd w:val="0"/>
              <w:spacing w:line="500" w:lineRule="exact"/>
              <w:ind w:firstLine="480" w:firstLineChars="200"/>
              <w:rPr>
                <w:b/>
                <w:bCs/>
                <w:color w:val="auto"/>
                <w:sz w:val="24"/>
              </w:rPr>
            </w:pPr>
            <w:r>
              <w:rPr>
                <w:rFonts w:hint="eastAsia"/>
                <w:color w:val="auto"/>
                <w:sz w:val="24"/>
              </w:rPr>
              <w:t>施工期噪声执行《建筑施工厂界环境噪声排放标准》（GB12523-2011）表1中的相应标准。</w:t>
            </w:r>
          </w:p>
          <w:p w14:paraId="04ADCA7F">
            <w:pPr>
              <w:numPr>
                <w:ilvl w:val="0"/>
                <w:numId w:val="0"/>
              </w:numPr>
              <w:tabs>
                <w:tab w:val="left" w:pos="0"/>
              </w:tabs>
              <w:autoSpaceDE w:val="0"/>
              <w:autoSpaceDN w:val="0"/>
              <w:adjustRightInd w:val="0"/>
              <w:spacing w:line="500" w:lineRule="exact"/>
              <w:ind w:left="3373" w:leftChars="0" w:hanging="3373" w:hangingChars="1400"/>
              <w:jc w:val="center"/>
              <w:rPr>
                <w:color w:val="auto"/>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18</w:t>
            </w:r>
            <w:r>
              <w:rPr>
                <w:rFonts w:hint="eastAsia"/>
                <w:b/>
                <w:bCs/>
                <w:color w:val="auto"/>
                <w:sz w:val="24"/>
                <w:lang w:val="en-US" w:eastAsia="zh-CN"/>
              </w:rPr>
              <w:t xml:space="preserve"> </w:t>
            </w:r>
            <w:r>
              <w:rPr>
                <w:rFonts w:hint="eastAsia"/>
                <w:b/>
                <w:bCs/>
                <w:color w:val="auto"/>
                <w:sz w:val="24"/>
              </w:rPr>
              <w:t xml:space="preserve">  施工期污染物排放标准一览表</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059"/>
              <w:gridCol w:w="1082"/>
              <w:gridCol w:w="1015"/>
              <w:gridCol w:w="4105"/>
            </w:tblGrid>
            <w:tr w14:paraId="4C6C5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Align w:val="center"/>
                </w:tcPr>
                <w:p w14:paraId="2340E2A8">
                  <w:pPr>
                    <w:autoSpaceDE w:val="0"/>
                    <w:autoSpaceDN w:val="0"/>
                    <w:adjustRightInd w:val="0"/>
                    <w:spacing w:line="320" w:lineRule="exact"/>
                    <w:jc w:val="center"/>
                    <w:rPr>
                      <w:color w:val="auto"/>
                    </w:rPr>
                  </w:pPr>
                  <w:r>
                    <w:rPr>
                      <w:rFonts w:hint="eastAsia"/>
                      <w:color w:val="auto"/>
                    </w:rPr>
                    <w:t>环境要素</w:t>
                  </w:r>
                </w:p>
              </w:tc>
              <w:tc>
                <w:tcPr>
                  <w:tcW w:w="652" w:type="pct"/>
                  <w:vAlign w:val="center"/>
                </w:tcPr>
                <w:p w14:paraId="214A56F5">
                  <w:pPr>
                    <w:autoSpaceDE w:val="0"/>
                    <w:autoSpaceDN w:val="0"/>
                    <w:adjustRightInd w:val="0"/>
                    <w:spacing w:line="320" w:lineRule="exact"/>
                    <w:jc w:val="center"/>
                    <w:rPr>
                      <w:rFonts w:hint="eastAsia" w:eastAsia="宋体"/>
                      <w:color w:val="auto"/>
                      <w:highlight w:val="none"/>
                      <w:lang w:eastAsia="zh-CN"/>
                    </w:rPr>
                  </w:pPr>
                  <w:r>
                    <w:rPr>
                      <w:rFonts w:hint="eastAsia"/>
                      <w:highlight w:val="none"/>
                      <w:lang w:eastAsia="zh-CN"/>
                    </w:rPr>
                    <w:t>时段</w:t>
                  </w:r>
                </w:p>
              </w:tc>
              <w:tc>
                <w:tcPr>
                  <w:tcW w:w="666" w:type="pct"/>
                  <w:vAlign w:val="center"/>
                </w:tcPr>
                <w:p w14:paraId="4842E1A0">
                  <w:pPr>
                    <w:autoSpaceDE w:val="0"/>
                    <w:autoSpaceDN w:val="0"/>
                    <w:adjustRightInd w:val="0"/>
                    <w:spacing w:line="320" w:lineRule="exact"/>
                    <w:jc w:val="center"/>
                    <w:rPr>
                      <w:color w:val="auto"/>
                    </w:rPr>
                  </w:pPr>
                  <w:r>
                    <w:rPr>
                      <w:rFonts w:hint="eastAsia"/>
                      <w:color w:val="auto"/>
                    </w:rPr>
                    <w:t>标准限值</w:t>
                  </w:r>
                </w:p>
              </w:tc>
              <w:tc>
                <w:tcPr>
                  <w:tcW w:w="625" w:type="pct"/>
                  <w:vAlign w:val="center"/>
                </w:tcPr>
                <w:p w14:paraId="09E7E39C">
                  <w:pPr>
                    <w:autoSpaceDE w:val="0"/>
                    <w:autoSpaceDN w:val="0"/>
                    <w:adjustRightInd w:val="0"/>
                    <w:spacing w:line="320" w:lineRule="exact"/>
                    <w:jc w:val="center"/>
                    <w:rPr>
                      <w:color w:val="auto"/>
                    </w:rPr>
                  </w:pPr>
                  <w:r>
                    <w:rPr>
                      <w:rFonts w:hint="eastAsia"/>
                      <w:color w:val="auto"/>
                    </w:rPr>
                    <w:t>单位</w:t>
                  </w:r>
                </w:p>
              </w:tc>
              <w:tc>
                <w:tcPr>
                  <w:tcW w:w="2527" w:type="pct"/>
                  <w:vAlign w:val="center"/>
                </w:tcPr>
                <w:p w14:paraId="54090DC4">
                  <w:pPr>
                    <w:autoSpaceDE w:val="0"/>
                    <w:autoSpaceDN w:val="0"/>
                    <w:adjustRightInd w:val="0"/>
                    <w:spacing w:line="320" w:lineRule="exact"/>
                    <w:jc w:val="center"/>
                    <w:rPr>
                      <w:color w:val="auto"/>
                    </w:rPr>
                  </w:pPr>
                  <w:r>
                    <w:rPr>
                      <w:rFonts w:hint="eastAsia"/>
                      <w:color w:val="auto"/>
                    </w:rPr>
                    <w:t>标准来源</w:t>
                  </w:r>
                </w:p>
              </w:tc>
            </w:tr>
            <w:tr w14:paraId="0E827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Merge w:val="restart"/>
                  <w:vAlign w:val="center"/>
                </w:tcPr>
                <w:p w14:paraId="0E9B0DB1">
                  <w:pPr>
                    <w:autoSpaceDE w:val="0"/>
                    <w:autoSpaceDN w:val="0"/>
                    <w:adjustRightInd w:val="0"/>
                    <w:spacing w:line="320" w:lineRule="exact"/>
                    <w:jc w:val="center"/>
                    <w:rPr>
                      <w:color w:val="auto"/>
                    </w:rPr>
                  </w:pPr>
                  <w:r>
                    <w:rPr>
                      <w:rFonts w:hint="eastAsia"/>
                      <w:color w:val="auto"/>
                    </w:rPr>
                    <w:t>噪声</w:t>
                  </w:r>
                </w:p>
              </w:tc>
              <w:tc>
                <w:tcPr>
                  <w:tcW w:w="652" w:type="pct"/>
                  <w:vAlign w:val="center"/>
                </w:tcPr>
                <w:p w14:paraId="4166BA5C">
                  <w:pPr>
                    <w:autoSpaceDE w:val="0"/>
                    <w:autoSpaceDN w:val="0"/>
                    <w:adjustRightInd w:val="0"/>
                    <w:spacing w:line="320" w:lineRule="exact"/>
                    <w:jc w:val="center"/>
                    <w:rPr>
                      <w:color w:val="auto"/>
                      <w:highlight w:val="none"/>
                    </w:rPr>
                  </w:pPr>
                  <w:r>
                    <w:rPr>
                      <w:rFonts w:hint="eastAsia"/>
                      <w:color w:val="auto"/>
                      <w:highlight w:val="none"/>
                    </w:rPr>
                    <w:t>昼间</w:t>
                  </w:r>
                </w:p>
              </w:tc>
              <w:tc>
                <w:tcPr>
                  <w:tcW w:w="666" w:type="pct"/>
                  <w:vAlign w:val="center"/>
                </w:tcPr>
                <w:p w14:paraId="42BFA1FB">
                  <w:pPr>
                    <w:autoSpaceDE w:val="0"/>
                    <w:autoSpaceDN w:val="0"/>
                    <w:adjustRightInd w:val="0"/>
                    <w:spacing w:line="320" w:lineRule="exact"/>
                    <w:jc w:val="center"/>
                    <w:rPr>
                      <w:color w:val="auto"/>
                    </w:rPr>
                  </w:pPr>
                  <w:r>
                    <w:rPr>
                      <w:rFonts w:hint="eastAsia"/>
                      <w:color w:val="auto"/>
                    </w:rPr>
                    <w:t>70</w:t>
                  </w:r>
                </w:p>
              </w:tc>
              <w:tc>
                <w:tcPr>
                  <w:tcW w:w="625" w:type="pct"/>
                  <w:vMerge w:val="restart"/>
                  <w:vAlign w:val="center"/>
                </w:tcPr>
                <w:p w14:paraId="60DDAD81">
                  <w:pPr>
                    <w:autoSpaceDE w:val="0"/>
                    <w:autoSpaceDN w:val="0"/>
                    <w:adjustRightInd w:val="0"/>
                    <w:spacing w:line="320" w:lineRule="exact"/>
                    <w:jc w:val="center"/>
                    <w:rPr>
                      <w:color w:val="auto"/>
                    </w:rPr>
                  </w:pPr>
                  <w:r>
                    <w:rPr>
                      <w:rFonts w:hint="eastAsia"/>
                      <w:color w:val="auto"/>
                    </w:rPr>
                    <w:t>dB（A）</w:t>
                  </w:r>
                </w:p>
              </w:tc>
              <w:tc>
                <w:tcPr>
                  <w:tcW w:w="2527" w:type="pct"/>
                  <w:vMerge w:val="restart"/>
                  <w:vAlign w:val="center"/>
                </w:tcPr>
                <w:p w14:paraId="33EB2996">
                  <w:pPr>
                    <w:autoSpaceDE w:val="0"/>
                    <w:autoSpaceDN w:val="0"/>
                    <w:adjustRightInd w:val="0"/>
                    <w:spacing w:line="320" w:lineRule="exact"/>
                    <w:jc w:val="center"/>
                    <w:rPr>
                      <w:color w:val="auto"/>
                    </w:rPr>
                  </w:pPr>
                  <w:r>
                    <w:rPr>
                      <w:rFonts w:hint="eastAsia"/>
                      <w:color w:val="auto"/>
                    </w:rPr>
                    <w:t>《建筑施工厂界环境噪声排放标准》（GB12523-2011）</w:t>
                  </w:r>
                </w:p>
              </w:tc>
            </w:tr>
            <w:tr w14:paraId="39DCE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vMerge w:val="continue"/>
                  <w:vAlign w:val="center"/>
                </w:tcPr>
                <w:p w14:paraId="116079F1">
                  <w:pPr>
                    <w:autoSpaceDE w:val="0"/>
                    <w:autoSpaceDN w:val="0"/>
                    <w:adjustRightInd w:val="0"/>
                    <w:spacing w:line="320" w:lineRule="exact"/>
                    <w:jc w:val="center"/>
                    <w:rPr>
                      <w:color w:val="auto"/>
                    </w:rPr>
                  </w:pPr>
                </w:p>
              </w:tc>
              <w:tc>
                <w:tcPr>
                  <w:tcW w:w="652" w:type="pct"/>
                  <w:vAlign w:val="center"/>
                </w:tcPr>
                <w:p w14:paraId="4671D087">
                  <w:pPr>
                    <w:autoSpaceDE w:val="0"/>
                    <w:autoSpaceDN w:val="0"/>
                    <w:adjustRightInd w:val="0"/>
                    <w:spacing w:line="320" w:lineRule="exact"/>
                    <w:jc w:val="center"/>
                    <w:rPr>
                      <w:color w:val="auto"/>
                      <w:highlight w:val="none"/>
                    </w:rPr>
                  </w:pPr>
                  <w:r>
                    <w:rPr>
                      <w:rFonts w:hint="eastAsia"/>
                      <w:color w:val="auto"/>
                      <w:highlight w:val="none"/>
                    </w:rPr>
                    <w:t>夜间</w:t>
                  </w:r>
                </w:p>
              </w:tc>
              <w:tc>
                <w:tcPr>
                  <w:tcW w:w="666" w:type="pct"/>
                  <w:vAlign w:val="center"/>
                </w:tcPr>
                <w:p w14:paraId="56277C46">
                  <w:pPr>
                    <w:autoSpaceDE w:val="0"/>
                    <w:autoSpaceDN w:val="0"/>
                    <w:adjustRightInd w:val="0"/>
                    <w:spacing w:line="320" w:lineRule="exact"/>
                    <w:jc w:val="center"/>
                    <w:rPr>
                      <w:color w:val="auto"/>
                    </w:rPr>
                  </w:pPr>
                  <w:r>
                    <w:rPr>
                      <w:rFonts w:hint="eastAsia"/>
                      <w:color w:val="auto"/>
                    </w:rPr>
                    <w:t>55</w:t>
                  </w:r>
                </w:p>
              </w:tc>
              <w:tc>
                <w:tcPr>
                  <w:tcW w:w="625" w:type="pct"/>
                  <w:vMerge w:val="continue"/>
                  <w:vAlign w:val="center"/>
                </w:tcPr>
                <w:p w14:paraId="7406EA01">
                  <w:pPr>
                    <w:autoSpaceDE w:val="0"/>
                    <w:autoSpaceDN w:val="0"/>
                    <w:adjustRightInd w:val="0"/>
                    <w:spacing w:line="320" w:lineRule="exact"/>
                    <w:jc w:val="center"/>
                    <w:rPr>
                      <w:color w:val="auto"/>
                    </w:rPr>
                  </w:pPr>
                </w:p>
              </w:tc>
              <w:tc>
                <w:tcPr>
                  <w:tcW w:w="2527" w:type="pct"/>
                  <w:vMerge w:val="continue"/>
                  <w:vAlign w:val="center"/>
                </w:tcPr>
                <w:p w14:paraId="6F01DDE7">
                  <w:pPr>
                    <w:autoSpaceDE w:val="0"/>
                    <w:autoSpaceDN w:val="0"/>
                    <w:adjustRightInd w:val="0"/>
                    <w:spacing w:line="320" w:lineRule="exact"/>
                    <w:jc w:val="center"/>
                    <w:rPr>
                      <w:color w:val="auto"/>
                    </w:rPr>
                  </w:pPr>
                </w:p>
              </w:tc>
            </w:tr>
          </w:tbl>
          <w:p w14:paraId="398F1007">
            <w:pPr>
              <w:spacing w:line="500" w:lineRule="exact"/>
              <w:ind w:firstLine="480" w:firstLineChars="200"/>
              <w:rPr>
                <w:color w:val="auto"/>
                <w:sz w:val="24"/>
              </w:rPr>
            </w:pPr>
            <w:r>
              <w:rPr>
                <w:rFonts w:hint="eastAsia"/>
                <w:color w:val="auto"/>
                <w:sz w:val="24"/>
              </w:rPr>
              <w:t>（2）运营期</w:t>
            </w:r>
          </w:p>
          <w:p w14:paraId="72F35BAC">
            <w:pPr>
              <w:spacing w:line="500" w:lineRule="exact"/>
              <w:ind w:firstLine="480" w:firstLineChars="200"/>
              <w:rPr>
                <w:color w:val="auto"/>
                <w:sz w:val="24"/>
              </w:rPr>
            </w:pPr>
            <w:r>
              <w:rPr>
                <w:color w:val="auto"/>
                <w:sz w:val="24"/>
              </w:rPr>
              <w:t>营运期噪声执行《工业企业厂界环境噪声排放标准》（GB12348-2008）中</w:t>
            </w:r>
            <w:r>
              <w:rPr>
                <w:rFonts w:hint="eastAsia"/>
                <w:color w:val="auto"/>
                <w:sz w:val="24"/>
                <w:lang w:val="en-US" w:eastAsia="zh-CN"/>
              </w:rPr>
              <w:t>3、4</w:t>
            </w:r>
            <w:r>
              <w:rPr>
                <w:color w:val="auto"/>
                <w:sz w:val="24"/>
              </w:rPr>
              <w:t>类标准</w:t>
            </w:r>
            <w:r>
              <w:rPr>
                <w:rFonts w:hint="eastAsia"/>
                <w:color w:val="auto"/>
                <w:sz w:val="24"/>
              </w:rPr>
              <w:t>。</w:t>
            </w:r>
          </w:p>
          <w:p w14:paraId="3CA9BE0B">
            <w:pPr>
              <w:numPr>
                <w:ilvl w:val="0"/>
                <w:numId w:val="0"/>
              </w:numPr>
              <w:tabs>
                <w:tab w:val="left" w:pos="0"/>
              </w:tabs>
              <w:spacing w:line="500" w:lineRule="exact"/>
              <w:ind w:left="3373" w:leftChars="0" w:hanging="3373" w:hangingChars="1400"/>
              <w:jc w:val="center"/>
              <w:rPr>
                <w:rFonts w:hint="default" w:ascii="Times New Roman" w:hAnsi="Times New Roman" w:eastAsia="宋体" w:cs="Times New Roman"/>
                <w:b/>
                <w:bCs/>
                <w:color w:val="auto"/>
                <w:kern w:val="2"/>
                <w:sz w:val="24"/>
                <w:szCs w:val="24"/>
                <w:lang w:val="en-US" w:eastAsia="zh-CN" w:bidi="ar-SA"/>
              </w:rPr>
            </w:pPr>
          </w:p>
          <w:p w14:paraId="18A20699">
            <w:pPr>
              <w:numPr>
                <w:ilvl w:val="0"/>
                <w:numId w:val="0"/>
              </w:numPr>
              <w:tabs>
                <w:tab w:val="left" w:pos="0"/>
              </w:tabs>
              <w:spacing w:line="500" w:lineRule="exact"/>
              <w:ind w:left="3373" w:leftChars="0" w:hanging="3373" w:hangingChars="1400"/>
              <w:jc w:val="center"/>
              <w:rPr>
                <w:rFonts w:hint="default" w:ascii="Times New Roman" w:hAnsi="Times New Roman" w:eastAsia="宋体" w:cs="Times New Roman"/>
                <w:b/>
                <w:bCs/>
                <w:color w:val="auto"/>
                <w:kern w:val="2"/>
                <w:sz w:val="24"/>
                <w:szCs w:val="24"/>
                <w:lang w:val="en-US" w:eastAsia="zh-CN" w:bidi="ar-SA"/>
              </w:rPr>
            </w:pPr>
          </w:p>
          <w:p w14:paraId="4E15517E">
            <w:pPr>
              <w:numPr>
                <w:ilvl w:val="0"/>
                <w:numId w:val="0"/>
              </w:numPr>
              <w:tabs>
                <w:tab w:val="left" w:pos="0"/>
              </w:tabs>
              <w:spacing w:line="500" w:lineRule="exact"/>
              <w:ind w:left="3373" w:leftChars="0" w:hanging="3373" w:hangingChars="1400"/>
              <w:jc w:val="center"/>
              <w:rPr>
                <w:b/>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19</w:t>
            </w:r>
            <w:r>
              <w:rPr>
                <w:rFonts w:hint="eastAsia"/>
                <w:b/>
                <w:color w:val="auto"/>
                <w:sz w:val="24"/>
                <w:lang w:val="en-US" w:eastAsia="zh-CN"/>
              </w:rPr>
              <w:t xml:space="preserve"> </w:t>
            </w:r>
            <w:r>
              <w:rPr>
                <w:b/>
                <w:color w:val="auto"/>
                <w:sz w:val="24"/>
              </w:rPr>
              <w:t xml:space="preserve">  噪声污染物排放标准    单位：dB（A）</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726"/>
              <w:gridCol w:w="935"/>
              <w:gridCol w:w="1101"/>
              <w:gridCol w:w="937"/>
              <w:gridCol w:w="2143"/>
              <w:gridCol w:w="2156"/>
            </w:tblGrid>
            <w:tr w14:paraId="16C9A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70" w:hRule="atLeast"/>
                <w:jc w:val="center"/>
              </w:trPr>
              <w:tc>
                <w:tcPr>
                  <w:tcW w:w="726" w:type="dxa"/>
                  <w:noWrap w:val="0"/>
                  <w:vAlign w:val="center"/>
                </w:tcPr>
                <w:p w14:paraId="7276416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类别</w:t>
                  </w:r>
                </w:p>
              </w:tc>
              <w:tc>
                <w:tcPr>
                  <w:tcW w:w="935" w:type="dxa"/>
                  <w:noWrap w:val="0"/>
                  <w:vAlign w:val="center"/>
                </w:tcPr>
                <w:p w14:paraId="2C79DFC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污染源</w:t>
                  </w:r>
                </w:p>
              </w:tc>
              <w:tc>
                <w:tcPr>
                  <w:tcW w:w="1101" w:type="dxa"/>
                  <w:noWrap w:val="0"/>
                  <w:vAlign w:val="center"/>
                </w:tcPr>
                <w:p w14:paraId="5AC194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污染物</w:t>
                  </w:r>
                </w:p>
              </w:tc>
              <w:tc>
                <w:tcPr>
                  <w:tcW w:w="937" w:type="dxa"/>
                  <w:noWrap w:val="0"/>
                  <w:vAlign w:val="center"/>
                </w:tcPr>
                <w:p w14:paraId="3F3C4E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级别</w:t>
                  </w:r>
                </w:p>
              </w:tc>
              <w:tc>
                <w:tcPr>
                  <w:tcW w:w="2143" w:type="dxa"/>
                  <w:noWrap w:val="0"/>
                  <w:vAlign w:val="center"/>
                </w:tcPr>
                <w:p w14:paraId="4ADC08C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浓度标准值</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p>
              </w:tc>
              <w:tc>
                <w:tcPr>
                  <w:tcW w:w="2156" w:type="dxa"/>
                  <w:noWrap w:val="0"/>
                  <w:vAlign w:val="center"/>
                </w:tcPr>
                <w:p w14:paraId="56D48DB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标准名称</w:t>
                  </w:r>
                </w:p>
              </w:tc>
            </w:tr>
            <w:tr w14:paraId="046C1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26" w:type="dxa"/>
                  <w:vMerge w:val="restart"/>
                  <w:noWrap w:val="0"/>
                  <w:vAlign w:val="center"/>
                </w:tcPr>
                <w:p w14:paraId="40E0C80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噪声</w:t>
                  </w:r>
                </w:p>
              </w:tc>
              <w:tc>
                <w:tcPr>
                  <w:tcW w:w="935" w:type="dxa"/>
                  <w:vMerge w:val="restart"/>
                  <w:noWrap w:val="0"/>
                  <w:vAlign w:val="center"/>
                </w:tcPr>
                <w:p w14:paraId="097B141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生产设备</w:t>
                  </w:r>
                </w:p>
              </w:tc>
              <w:tc>
                <w:tcPr>
                  <w:tcW w:w="1101" w:type="dxa"/>
                  <w:vMerge w:val="restart"/>
                  <w:noWrap w:val="0"/>
                  <w:vAlign w:val="center"/>
                </w:tcPr>
                <w:p w14:paraId="088A01E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Leq（A）</w:t>
                  </w:r>
                </w:p>
              </w:tc>
              <w:tc>
                <w:tcPr>
                  <w:tcW w:w="937" w:type="dxa"/>
                  <w:noWrap w:val="0"/>
                  <w:vAlign w:val="center"/>
                </w:tcPr>
                <w:p w14:paraId="53F4A3D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类</w:t>
                  </w:r>
                </w:p>
              </w:tc>
              <w:tc>
                <w:tcPr>
                  <w:tcW w:w="2143" w:type="dxa"/>
                  <w:noWrap w:val="0"/>
                  <w:vAlign w:val="center"/>
                </w:tcPr>
                <w:p w14:paraId="7FDE837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昼间：</w:t>
                  </w:r>
                  <w:r>
                    <w:rPr>
                      <w:rFonts w:hint="eastAsia" w:ascii="Times New Roman" w:hAnsi="Times New Roman" w:eastAsia="宋体" w:cs="Times New Roman"/>
                      <w:color w:val="auto"/>
                      <w:sz w:val="21"/>
                      <w:szCs w:val="21"/>
                      <w:highlight w:val="none"/>
                      <w:lang w:val="en-US" w:eastAsia="zh-CN"/>
                    </w:rPr>
                    <w:t>65</w:t>
                  </w:r>
                  <w:r>
                    <w:rPr>
                      <w:rFonts w:hint="default" w:ascii="Times New Roman" w:hAnsi="Times New Roman" w:eastAsia="宋体" w:cs="Times New Roman"/>
                      <w:color w:val="auto"/>
                      <w:sz w:val="21"/>
                      <w:szCs w:val="21"/>
                      <w:highlight w:val="none"/>
                      <w:lang w:val="zh-CN"/>
                    </w:rPr>
                    <w:t>dB（A）</w:t>
                  </w:r>
                </w:p>
                <w:p w14:paraId="562B14E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夜间：</w:t>
                  </w:r>
                  <w:r>
                    <w:rPr>
                      <w:rFonts w:hint="eastAsia" w:ascii="Times New Roman" w:hAnsi="Times New Roman" w:eastAsia="宋体" w:cs="Times New Roman"/>
                      <w:color w:val="auto"/>
                      <w:sz w:val="21"/>
                      <w:szCs w:val="21"/>
                      <w:highlight w:val="none"/>
                      <w:lang w:val="en-US" w:eastAsia="zh-CN"/>
                    </w:rPr>
                    <w:t>55</w:t>
                  </w:r>
                  <w:r>
                    <w:rPr>
                      <w:rFonts w:hint="default" w:ascii="Times New Roman" w:hAnsi="Times New Roman" w:eastAsia="宋体" w:cs="Times New Roman"/>
                      <w:color w:val="auto"/>
                      <w:sz w:val="21"/>
                      <w:szCs w:val="21"/>
                      <w:highlight w:val="none"/>
                      <w:lang w:val="zh-CN"/>
                    </w:rPr>
                    <w:t>dB（A）</w:t>
                  </w:r>
                </w:p>
              </w:tc>
              <w:tc>
                <w:tcPr>
                  <w:tcW w:w="2156" w:type="dxa"/>
                  <w:vMerge w:val="restart"/>
                  <w:noWrap w:val="0"/>
                  <w:vAlign w:val="center"/>
                </w:tcPr>
                <w:p w14:paraId="144CCF3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《工业企业厂界环境噪声排放标准》（GB12348-2008)</w:t>
                  </w:r>
                </w:p>
              </w:tc>
            </w:tr>
            <w:tr w14:paraId="087B3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39" w:hRule="atLeast"/>
                <w:jc w:val="center"/>
              </w:trPr>
              <w:tc>
                <w:tcPr>
                  <w:tcW w:w="726" w:type="dxa"/>
                  <w:vMerge w:val="continue"/>
                  <w:noWrap w:val="0"/>
                  <w:vAlign w:val="center"/>
                </w:tcPr>
                <w:p w14:paraId="7F19285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935" w:type="dxa"/>
                  <w:vMerge w:val="continue"/>
                  <w:noWrap w:val="0"/>
                  <w:vAlign w:val="center"/>
                </w:tcPr>
                <w:p w14:paraId="5EDF197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1101" w:type="dxa"/>
                  <w:vMerge w:val="continue"/>
                  <w:noWrap w:val="0"/>
                  <w:vAlign w:val="center"/>
                </w:tcPr>
                <w:p w14:paraId="38DDE9C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c>
                <w:tcPr>
                  <w:tcW w:w="937" w:type="dxa"/>
                  <w:noWrap w:val="0"/>
                  <w:vAlign w:val="center"/>
                </w:tcPr>
                <w:p w14:paraId="1C9079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4类</w:t>
                  </w:r>
                </w:p>
              </w:tc>
              <w:tc>
                <w:tcPr>
                  <w:tcW w:w="2143" w:type="dxa"/>
                  <w:noWrap w:val="0"/>
                  <w:vAlign w:val="center"/>
                </w:tcPr>
                <w:p w14:paraId="56D9D1B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昼间：</w:t>
                  </w:r>
                  <w:r>
                    <w:rPr>
                      <w:rFonts w:hint="default" w:ascii="Times New Roman" w:hAnsi="Times New Roman" w:eastAsia="宋体" w:cs="Times New Roman"/>
                      <w:color w:val="auto"/>
                      <w:sz w:val="21"/>
                      <w:szCs w:val="21"/>
                      <w:highlight w:val="none"/>
                      <w:lang w:val="en-US" w:eastAsia="zh-CN"/>
                    </w:rPr>
                    <w:t>70</w:t>
                  </w:r>
                  <w:r>
                    <w:rPr>
                      <w:rFonts w:hint="default" w:ascii="Times New Roman" w:hAnsi="Times New Roman" w:eastAsia="宋体" w:cs="Times New Roman"/>
                      <w:color w:val="auto"/>
                      <w:sz w:val="21"/>
                      <w:szCs w:val="21"/>
                      <w:highlight w:val="none"/>
                      <w:lang w:val="zh-CN"/>
                    </w:rPr>
                    <w:t>dB（A）</w:t>
                  </w:r>
                </w:p>
                <w:p w14:paraId="55BAFD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夜间：5</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dB（A）</w:t>
                  </w:r>
                </w:p>
              </w:tc>
              <w:tc>
                <w:tcPr>
                  <w:tcW w:w="2156" w:type="dxa"/>
                  <w:vMerge w:val="continue"/>
                  <w:noWrap w:val="0"/>
                  <w:vAlign w:val="center"/>
                </w:tcPr>
                <w:p w14:paraId="14948B7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zh-CN"/>
                    </w:rPr>
                  </w:pPr>
                </w:p>
              </w:tc>
            </w:tr>
          </w:tbl>
          <w:p w14:paraId="21542BFE">
            <w:pPr>
              <w:adjustRightInd w:val="0"/>
              <w:snapToGrid w:val="0"/>
              <w:spacing w:line="500" w:lineRule="exact"/>
              <w:ind w:firstLine="482" w:firstLineChars="200"/>
              <w:textAlignment w:val="baseline"/>
              <w:rPr>
                <w:b/>
                <w:bCs/>
                <w:color w:val="auto"/>
                <w:kern w:val="0"/>
                <w:sz w:val="24"/>
              </w:rPr>
            </w:pPr>
            <w:r>
              <w:rPr>
                <w:rFonts w:hint="eastAsia"/>
                <w:b/>
                <w:bCs/>
                <w:color w:val="auto"/>
                <w:kern w:val="0"/>
                <w:sz w:val="24"/>
              </w:rPr>
              <w:t>3、</w:t>
            </w:r>
            <w:r>
              <w:rPr>
                <w:b/>
                <w:bCs/>
                <w:color w:val="auto"/>
                <w:kern w:val="0"/>
                <w:sz w:val="24"/>
              </w:rPr>
              <w:t>固废</w:t>
            </w:r>
          </w:p>
          <w:p w14:paraId="52E34B8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本项目危险废物执行《危险废物</w:t>
            </w:r>
            <w:r>
              <w:rPr>
                <w:rFonts w:hint="eastAsia" w:cs="Times New Roman"/>
                <w:b w:val="0"/>
                <w:bCs w:val="0"/>
                <w:color w:val="000000"/>
                <w:kern w:val="0"/>
                <w:sz w:val="24"/>
                <w:szCs w:val="24"/>
                <w:highlight w:val="none"/>
                <w:lang w:eastAsia="zh-CN"/>
              </w:rPr>
              <w:t>贮存</w:t>
            </w:r>
            <w:r>
              <w:rPr>
                <w:rFonts w:hint="default" w:ascii="Times New Roman" w:hAnsi="Times New Roman" w:eastAsia="宋体" w:cs="Times New Roman"/>
                <w:b w:val="0"/>
                <w:bCs w:val="0"/>
                <w:color w:val="000000"/>
                <w:kern w:val="0"/>
                <w:sz w:val="24"/>
                <w:szCs w:val="24"/>
                <w:highlight w:val="none"/>
              </w:rPr>
              <w:t>污染控制标准》（GB18597-2023）。</w:t>
            </w:r>
          </w:p>
          <w:p w14:paraId="046B68FF">
            <w:pPr>
              <w:spacing w:line="480" w:lineRule="exact"/>
              <w:ind w:firstLine="480" w:firstLineChars="200"/>
              <w:rPr>
                <w:rFonts w:hint="eastAsia" w:ascii="Times New Roman" w:hAnsi="Times New Roman" w:eastAsia="宋体"/>
                <w:caps w:val="0"/>
                <w:color w:val="auto"/>
                <w:kern w:val="0"/>
                <w:sz w:val="24"/>
                <w:szCs w:val="24"/>
                <w:highlight w:val="none"/>
                <w:lang w:eastAsia="zh-CN"/>
              </w:rPr>
            </w:pPr>
            <w:r>
              <w:rPr>
                <w:rFonts w:hint="default" w:ascii="Times New Roman" w:hAnsi="Times New Roman" w:eastAsia="宋体" w:cs="Times New Roman"/>
                <w:b w:val="0"/>
                <w:bCs w:val="0"/>
                <w:color w:val="000000"/>
                <w:kern w:val="0"/>
                <w:sz w:val="24"/>
                <w:szCs w:val="24"/>
                <w:highlight w:val="none"/>
              </w:rPr>
              <w:t>一般固体废物</w:t>
            </w:r>
            <w:r>
              <w:rPr>
                <w:rFonts w:hint="eastAsia" w:ascii="Times New Roman" w:hAnsi="Times New Roman" w:eastAsia="宋体" w:cs="Times New Roman"/>
                <w:b w:val="0"/>
                <w:bCs w:val="0"/>
                <w:color w:val="000000"/>
                <w:kern w:val="0"/>
                <w:sz w:val="24"/>
                <w:szCs w:val="24"/>
                <w:highlight w:val="none"/>
                <w:lang w:eastAsia="zh-CN"/>
              </w:rPr>
              <w:t>执行</w:t>
            </w:r>
            <w:r>
              <w:rPr>
                <w:rFonts w:hint="default" w:ascii="Times New Roman" w:hAnsi="Times New Roman" w:eastAsia="宋体" w:cs="Times New Roman"/>
                <w:b w:val="0"/>
                <w:bCs w:val="0"/>
                <w:color w:val="000000"/>
                <w:kern w:val="0"/>
                <w:sz w:val="24"/>
                <w:szCs w:val="24"/>
                <w:highlight w:val="none"/>
              </w:rPr>
              <w:t>《排污许可证申请与核发技术规范 工业固体废物（试行）》（HJ 1200—2021）相关要求</w:t>
            </w:r>
            <w:r>
              <w:rPr>
                <w:rFonts w:hint="eastAsia"/>
                <w:highlight w:val="none"/>
                <w:lang w:eastAsia="zh-CN"/>
              </w:rPr>
              <w:t>。</w:t>
            </w:r>
          </w:p>
          <w:p w14:paraId="5C6737CC">
            <w:pPr>
              <w:pStyle w:val="2"/>
              <w:rPr>
                <w:rFonts w:hint="default" w:ascii="Times New Roman" w:hAnsi="Times New Roman" w:eastAsia="宋体"/>
                <w:caps w:val="0"/>
                <w:color w:val="auto"/>
                <w:kern w:val="0"/>
                <w:sz w:val="24"/>
                <w:szCs w:val="24"/>
                <w:highlight w:val="none"/>
              </w:rPr>
            </w:pPr>
          </w:p>
        </w:tc>
      </w:tr>
      <w:tr w14:paraId="23B41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9" w:hRule="atLeast"/>
          <w:jc w:val="center"/>
        </w:trPr>
        <w:tc>
          <w:tcPr>
            <w:tcW w:w="493" w:type="pct"/>
            <w:vAlign w:val="center"/>
          </w:tcPr>
          <w:p w14:paraId="698ED315">
            <w:pPr>
              <w:adjustRightInd w:val="0"/>
              <w:snapToGrid w:val="0"/>
              <w:spacing w:line="480" w:lineRule="exact"/>
              <w:jc w:val="center"/>
              <w:rPr>
                <w:color w:val="auto"/>
                <w:kern w:val="0"/>
                <w:sz w:val="24"/>
                <w:szCs w:val="21"/>
              </w:rPr>
            </w:pPr>
            <w:r>
              <w:rPr>
                <w:rFonts w:hint="eastAsia"/>
                <w:color w:val="auto"/>
                <w:kern w:val="0"/>
                <w:sz w:val="24"/>
                <w:lang w:eastAsia="zh-CN"/>
              </w:rPr>
              <w:t>0</w:t>
            </w:r>
            <w:r>
              <w:rPr>
                <w:color w:val="auto"/>
                <w:kern w:val="0"/>
                <w:sz w:val="24"/>
              </w:rPr>
              <w:t>总量控制指标</w:t>
            </w:r>
          </w:p>
        </w:tc>
        <w:tc>
          <w:tcPr>
            <w:tcW w:w="4506" w:type="pct"/>
            <w:vAlign w:val="center"/>
          </w:tcPr>
          <w:p w14:paraId="453C0E1C">
            <w:pPr>
              <w:adjustRightInd w:val="0"/>
              <w:snapToGrid w:val="0"/>
              <w:spacing w:line="500" w:lineRule="exact"/>
              <w:ind w:firstLine="480" w:firstLineChars="200"/>
              <w:rPr>
                <w:color w:val="auto"/>
                <w:sz w:val="24"/>
              </w:rPr>
            </w:pPr>
            <w:r>
              <w:rPr>
                <w:color w:val="auto"/>
                <w:sz w:val="24"/>
              </w:rPr>
              <w:t>根据环境保护部《关于印发&lt;建设项目主要污染物排放总量指标审核及管理暂行办法&gt;的通知》（环发[2014]197号），总量控制指标按国家或地方污染物排放标准核定。</w:t>
            </w:r>
          </w:p>
          <w:p w14:paraId="489B3BAF">
            <w:pPr>
              <w:pStyle w:val="6"/>
              <w:spacing w:line="500" w:lineRule="exact"/>
              <w:ind w:firstLine="480"/>
              <w:rPr>
                <w:rFonts w:ascii="Times New Roman" w:hAnsi="Times New Roman"/>
                <w:color w:val="auto"/>
                <w:sz w:val="24"/>
              </w:rPr>
            </w:pPr>
            <w:r>
              <w:rPr>
                <w:rFonts w:ascii="Times New Roman" w:hAnsi="Times New Roman"/>
                <w:color w:val="auto"/>
                <w:sz w:val="24"/>
              </w:rPr>
              <w:t>1、废水：项目无生产废水</w:t>
            </w:r>
            <w:r>
              <w:rPr>
                <w:rFonts w:hint="eastAsia" w:ascii="Times New Roman" w:hAnsi="Times New Roman"/>
                <w:color w:val="auto"/>
                <w:sz w:val="24"/>
              </w:rPr>
              <w:t>外排，</w:t>
            </w:r>
            <w:r>
              <w:rPr>
                <w:rFonts w:hint="eastAsia"/>
                <w:b w:val="0"/>
                <w:bCs/>
                <w:color w:val="auto"/>
                <w:spacing w:val="4"/>
                <w:kern w:val="0"/>
                <w:sz w:val="24"/>
                <w:szCs w:val="24"/>
                <w:highlight w:val="none"/>
              </w:rPr>
              <w:t>本项目</w:t>
            </w:r>
            <w:r>
              <w:rPr>
                <w:rFonts w:hint="eastAsia" w:ascii="Times New Roman" w:hAnsi="Times New Roman" w:eastAsia="宋体" w:cs="Times New Roman"/>
                <w:b w:val="0"/>
                <w:bCs/>
                <w:caps/>
                <w:color w:val="auto"/>
                <w:sz w:val="24"/>
                <w:szCs w:val="24"/>
                <w:highlight w:val="none"/>
                <w:lang w:val="en-US" w:eastAsia="zh-CN"/>
              </w:rPr>
              <w:t>生活废水经园区管网排入园区东部污水处理厂，洗车废水循环使用，喷淋用水蒸发，</w:t>
            </w:r>
            <w:r>
              <w:rPr>
                <w:rFonts w:ascii="Times New Roman" w:hAnsi="Times New Roman"/>
                <w:color w:val="auto"/>
                <w:sz w:val="24"/>
              </w:rPr>
              <w:t>因此，COD、氨氮总量均为0t</w:t>
            </w:r>
            <w:r>
              <w:rPr>
                <w:rFonts w:hint="eastAsia" w:ascii="Times New Roman" w:hAnsi="Times New Roman"/>
                <w:color w:val="auto"/>
                <w:sz w:val="24"/>
              </w:rPr>
              <w:t>/a</w:t>
            </w:r>
            <w:r>
              <w:rPr>
                <w:rFonts w:ascii="Times New Roman" w:hAnsi="Times New Roman"/>
                <w:color w:val="auto"/>
                <w:sz w:val="24"/>
              </w:rPr>
              <w:t>。</w:t>
            </w:r>
          </w:p>
          <w:p w14:paraId="03DFA4FE">
            <w:pPr>
              <w:spacing w:line="500" w:lineRule="exact"/>
              <w:ind w:firstLine="480" w:firstLineChars="200"/>
              <w:rPr>
                <w:color w:val="auto"/>
                <w:sz w:val="24"/>
              </w:rPr>
            </w:pPr>
            <w:r>
              <w:rPr>
                <w:color w:val="auto"/>
                <w:sz w:val="24"/>
              </w:rPr>
              <w:t>2、废气：</w:t>
            </w:r>
          </w:p>
          <w:p w14:paraId="07CE6CA5">
            <w:pPr>
              <w:spacing w:line="500" w:lineRule="exact"/>
              <w:ind w:firstLine="480" w:firstLineChars="200"/>
              <w:rPr>
                <w:color w:val="auto"/>
                <w:sz w:val="24"/>
                <w:vertAlign w:val="subscript"/>
              </w:rPr>
            </w:pPr>
            <w:r>
              <w:rPr>
                <w:color w:val="auto"/>
                <w:sz w:val="24"/>
              </w:rPr>
              <w:t>项目不设锅炉，无</w:t>
            </w:r>
            <w:r>
              <w:rPr>
                <w:rFonts w:hint="eastAsia"/>
                <w:color w:val="auto"/>
                <w:sz w:val="24"/>
              </w:rPr>
              <w:t>SO</w:t>
            </w:r>
            <w:r>
              <w:rPr>
                <w:rFonts w:hint="eastAsia"/>
                <w:color w:val="auto"/>
                <w:sz w:val="24"/>
                <w:vertAlign w:val="subscript"/>
              </w:rPr>
              <w:t>2</w:t>
            </w:r>
            <w:r>
              <w:rPr>
                <w:color w:val="auto"/>
                <w:sz w:val="24"/>
              </w:rPr>
              <w:t>、NO</w:t>
            </w:r>
            <w:r>
              <w:rPr>
                <w:rFonts w:hint="eastAsia"/>
                <w:color w:val="auto"/>
                <w:sz w:val="24"/>
                <w:vertAlign w:val="subscript"/>
              </w:rPr>
              <w:t>x</w:t>
            </w:r>
            <w:r>
              <w:rPr>
                <w:color w:val="auto"/>
                <w:sz w:val="24"/>
              </w:rPr>
              <w:t>排放，</w:t>
            </w:r>
            <w:r>
              <w:rPr>
                <w:rFonts w:hint="eastAsia"/>
                <w:color w:val="auto"/>
                <w:sz w:val="24"/>
              </w:rPr>
              <w:t>故SO</w:t>
            </w:r>
            <w:r>
              <w:rPr>
                <w:rFonts w:hint="eastAsia"/>
                <w:color w:val="auto"/>
                <w:sz w:val="24"/>
                <w:vertAlign w:val="subscript"/>
              </w:rPr>
              <w:t>2</w:t>
            </w:r>
            <w:r>
              <w:rPr>
                <w:color w:val="auto"/>
                <w:sz w:val="24"/>
              </w:rPr>
              <w:t>、NO</w:t>
            </w:r>
            <w:r>
              <w:rPr>
                <w:rFonts w:hint="eastAsia"/>
                <w:color w:val="auto"/>
                <w:sz w:val="24"/>
                <w:vertAlign w:val="subscript"/>
              </w:rPr>
              <w:t>x</w:t>
            </w:r>
            <w:r>
              <w:rPr>
                <w:rFonts w:hint="eastAsia"/>
                <w:color w:val="auto"/>
                <w:sz w:val="24"/>
              </w:rPr>
              <w:t>的总量控制指标均为0t/a。</w:t>
            </w:r>
          </w:p>
          <w:p w14:paraId="1D16C6D5">
            <w:pPr>
              <w:spacing w:line="500" w:lineRule="exact"/>
              <w:ind w:firstLine="480" w:firstLineChars="200"/>
              <w:rPr>
                <w:color w:val="auto"/>
              </w:rPr>
            </w:pPr>
            <w:r>
              <w:rPr>
                <w:color w:val="auto"/>
                <w:sz w:val="24"/>
              </w:rPr>
              <w:t>综上所述，建议本项目总量控制指标为COD：0t/a；氨氮：0t/a；SO</w:t>
            </w:r>
            <w:r>
              <w:rPr>
                <w:color w:val="auto"/>
                <w:sz w:val="24"/>
                <w:vertAlign w:val="subscript"/>
              </w:rPr>
              <w:t>2</w:t>
            </w:r>
            <w:r>
              <w:rPr>
                <w:color w:val="auto"/>
                <w:sz w:val="24"/>
              </w:rPr>
              <w:t>：0t/a；NOx：0t/a</w:t>
            </w:r>
            <w:r>
              <w:rPr>
                <w:rFonts w:hint="eastAsia"/>
                <w:color w:val="auto"/>
                <w:sz w:val="24"/>
              </w:rPr>
              <w:t>。</w:t>
            </w:r>
          </w:p>
        </w:tc>
      </w:tr>
    </w:tbl>
    <w:p w14:paraId="38DC3CB8">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549D4448">
      <w:pPr>
        <w:pStyle w:val="19"/>
        <w:jc w:val="center"/>
        <w:outlineLvl w:val="0"/>
        <w:rPr>
          <w:rFonts w:ascii="Times New Roman" w:hAnsi="Times New Roman" w:eastAsia="黑体"/>
          <w:color w:val="auto"/>
          <w:sz w:val="30"/>
          <w:szCs w:val="30"/>
        </w:rPr>
      </w:pPr>
      <w:bookmarkStart w:id="10" w:name="_Toc131506419"/>
      <w:bookmarkStart w:id="11" w:name="_Toc9540"/>
      <w:r>
        <w:rPr>
          <w:rFonts w:hint="eastAsia" w:ascii="Times New Roman" w:hAnsi="Times New Roman" w:eastAsia="黑体"/>
          <w:color w:val="auto"/>
          <w:sz w:val="30"/>
          <w:szCs w:val="30"/>
        </w:rPr>
        <w:t>四、主要环境影响和保护措施</w:t>
      </w:r>
      <w:bookmarkEnd w:id="10"/>
      <w:bookmarkEnd w:id="11"/>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8703"/>
      </w:tblGrid>
      <w:tr w14:paraId="15EA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5" w:hRule="atLeast"/>
          <w:jc w:val="center"/>
        </w:trPr>
        <w:tc>
          <w:tcPr>
            <w:tcW w:w="313" w:type="pct"/>
            <w:vAlign w:val="center"/>
          </w:tcPr>
          <w:p w14:paraId="028F30DA">
            <w:pPr>
              <w:spacing w:line="500" w:lineRule="exact"/>
              <w:jc w:val="center"/>
              <w:rPr>
                <w:color w:val="auto"/>
                <w:sz w:val="24"/>
              </w:rPr>
            </w:pPr>
            <w:r>
              <w:rPr>
                <w:color w:val="auto"/>
                <w:sz w:val="24"/>
              </w:rPr>
              <w:t>施工期环境保护措施</w:t>
            </w:r>
          </w:p>
        </w:tc>
        <w:tc>
          <w:tcPr>
            <w:tcW w:w="4686" w:type="pct"/>
            <w:vAlign w:val="center"/>
          </w:tcPr>
          <w:p w14:paraId="7BBCA7B5">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项目不设施工营地，</w:t>
            </w:r>
            <w:r>
              <w:rPr>
                <w:rFonts w:hint="eastAsia" w:ascii="Times New Roman" w:hAnsi="Times New Roman" w:cs="Times New Roman"/>
                <w:color w:val="auto"/>
                <w:sz w:val="24"/>
                <w:szCs w:val="24"/>
                <w:highlight w:val="none"/>
                <w:lang w:eastAsia="zh-CN"/>
              </w:rPr>
              <w:t>施工期主要建设初期雨水收集池和消防水池。</w:t>
            </w:r>
            <w:r>
              <w:rPr>
                <w:rFonts w:hint="default" w:ascii="Times New Roman" w:hAnsi="Times New Roman" w:eastAsia="宋体" w:cs="Times New Roman"/>
                <w:color w:val="auto"/>
                <w:sz w:val="24"/>
                <w:szCs w:val="24"/>
                <w:highlight w:val="none"/>
              </w:rPr>
              <w:t>施工期对周边环境产生的影响主要为：废水、废气、噪声、固体废物。</w:t>
            </w:r>
          </w:p>
          <w:p w14:paraId="1CC24F67">
            <w:pPr>
              <w:keepNext w:val="0"/>
              <w:keepLines w:val="0"/>
              <w:pageBreakBefore w:val="0"/>
              <w:widowControl w:val="0"/>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bookmarkStart w:id="12" w:name="_Toc26541"/>
            <w:bookmarkStart w:id="13" w:name="_Toc354475502"/>
            <w:bookmarkStart w:id="14" w:name="_Toc360022921"/>
            <w:bookmarkStart w:id="15" w:name="_Toc390844591"/>
            <w:bookmarkStart w:id="16" w:name="_Toc359587527"/>
            <w:bookmarkStart w:id="17" w:name="_Toc360717313"/>
            <w:bookmarkStart w:id="18" w:name="_Toc360022615"/>
            <w:bookmarkStart w:id="19" w:name="_Toc359588248"/>
            <w:r>
              <w:rPr>
                <w:rFonts w:hint="default" w:ascii="Times New Roman" w:hAnsi="Times New Roman" w:eastAsia="宋体" w:cs="Times New Roman"/>
                <w:b/>
                <w:color w:val="auto"/>
                <w:sz w:val="24"/>
                <w:szCs w:val="24"/>
                <w:highlight w:val="none"/>
              </w:rPr>
              <w:t>1 废水影响</w:t>
            </w:r>
            <w:bookmarkEnd w:id="12"/>
            <w:bookmarkEnd w:id="13"/>
            <w:bookmarkEnd w:id="14"/>
            <w:bookmarkEnd w:id="15"/>
            <w:bookmarkEnd w:id="16"/>
            <w:bookmarkEnd w:id="17"/>
            <w:bookmarkEnd w:id="18"/>
            <w:bookmarkEnd w:id="19"/>
          </w:p>
          <w:p w14:paraId="3C6672ED">
            <w:pPr>
              <w:keepNext w:val="0"/>
              <w:keepLines w:val="0"/>
              <w:pageBreakBefore w:val="0"/>
              <w:widowControl w:val="0"/>
              <w:tabs>
                <w:tab w:val="left" w:pos="36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pacing w:val="-2"/>
                <w:kern w:val="0"/>
                <w:sz w:val="24"/>
                <w:szCs w:val="24"/>
                <w:highlight w:val="none"/>
                <w:lang w:val="zh-CN"/>
              </w:rPr>
            </w:pPr>
            <w:r>
              <w:rPr>
                <w:rFonts w:hint="eastAsia" w:ascii="Times New Roman" w:hAnsi="Times New Roman" w:eastAsia="宋体" w:cs="Times New Roman"/>
                <w:color w:val="auto"/>
                <w:sz w:val="24"/>
                <w:szCs w:val="24"/>
                <w:highlight w:val="none"/>
                <w:lang w:eastAsia="zh-CN"/>
              </w:rPr>
              <w:t>施工人员废水：施工场地工作人员产生的生活废水直接泼洒抑尘。</w:t>
            </w:r>
          </w:p>
          <w:p w14:paraId="21D674EB">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pacing w:val="-2"/>
                <w:kern w:val="0"/>
                <w:sz w:val="24"/>
                <w:szCs w:val="24"/>
                <w:highlight w:val="none"/>
                <w:lang w:val="zh-CN"/>
              </w:rPr>
            </w:pPr>
            <w:r>
              <w:rPr>
                <w:rFonts w:hint="default" w:ascii="Times New Roman" w:hAnsi="Times New Roman" w:eastAsia="宋体" w:cs="Times New Roman"/>
                <w:color w:val="auto"/>
                <w:sz w:val="24"/>
                <w:szCs w:val="24"/>
                <w:highlight w:val="none"/>
              </w:rPr>
              <w:t>混凝土养护废水：封闭混凝土中水分不蒸发外逸，水泥依靠混凝土中水分完成水化作用，因水量较小，故废水排放量小，可以不需专门处理。</w:t>
            </w:r>
            <w:r>
              <w:rPr>
                <w:rFonts w:hint="default" w:ascii="Times New Roman" w:hAnsi="Times New Roman" w:eastAsia="宋体" w:cs="Times New Roman"/>
                <w:color w:val="auto"/>
                <w:spacing w:val="-2"/>
                <w:kern w:val="0"/>
                <w:sz w:val="24"/>
                <w:szCs w:val="24"/>
                <w:highlight w:val="none"/>
                <w:lang w:val="zh-CN"/>
              </w:rPr>
              <w:t>对周边环境无影响。</w:t>
            </w:r>
          </w:p>
          <w:p w14:paraId="22F0880B">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2 废气影响</w:t>
            </w:r>
          </w:p>
          <w:p w14:paraId="7EE4A26C">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施工期大气污染源主要为施工扬尘。主要来源有：场地平整、土方挖掘、建筑垃圾和建筑材料的运输。</w:t>
            </w:r>
          </w:p>
          <w:p w14:paraId="574FFFCD">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施工严格按照《河北省扬尘污染防治办法》(河北省人民政府令[2020]第1号)</w:t>
            </w:r>
            <w:r>
              <w:rPr>
                <w:rFonts w:hint="eastAsia" w:ascii="Times New Roman" w:hAnsi="Times New Roman" w:eastAsia="宋体" w:cs="Times New Roman"/>
                <w:color w:val="auto"/>
                <w:sz w:val="24"/>
                <w:szCs w:val="24"/>
                <w:highlight w:val="none"/>
                <w:lang w:val="en-US" w:eastAsia="zh-CN"/>
              </w:rPr>
              <w:t>、《关于印发&lt;河北省2024年建筑施工扬尘污染防治工作方案&gt;的通知》（</w:t>
            </w:r>
            <w:r>
              <w:rPr>
                <w:rFonts w:hint="default" w:ascii="Times New Roman" w:hAnsi="Times New Roman" w:eastAsia="宋体" w:cs="Times New Roman"/>
                <w:color w:val="auto"/>
                <w:sz w:val="24"/>
                <w:szCs w:val="24"/>
                <w:highlight w:val="none"/>
              </w:rPr>
              <w:t>冀建质安函〔2023〕105号</w:t>
            </w:r>
            <w:r>
              <w:rPr>
                <w:rFonts w:hint="eastAsia"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同类施工场地采取的抑尘措施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采取如下防尘和抑尘措施</w:t>
            </w:r>
            <w:r>
              <w:rPr>
                <w:rFonts w:hint="default" w:ascii="Times New Roman" w:hAnsi="Times New Roman" w:eastAsia="宋体" w:cs="Times New Roman"/>
                <w:color w:val="auto"/>
                <w:sz w:val="24"/>
                <w:szCs w:val="24"/>
                <w:highlight w:val="none"/>
                <w:lang w:eastAsia="zh-CN"/>
              </w:rPr>
              <w:t>：</w:t>
            </w:r>
          </w:p>
          <w:p w14:paraId="53D0A73E">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①必须在施工现场出入口明显位置设置扬尘防治公示牌，内容包括建设、施工、监理及监管等单位名称、扬尘防治负责人的名称、联系电话、举报电话等。</w:t>
            </w:r>
          </w:p>
          <w:p w14:paraId="64E935F9">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②施工现场连续设置硬质围挡，围挡应坚固、美观，严禁围挡不严或敞开式施工。</w:t>
            </w:r>
          </w:p>
          <w:p w14:paraId="74A28537">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③施工现场出入口配备车辆冲洗设施，设置排水、泥浆</w:t>
            </w:r>
            <w:r>
              <w:rPr>
                <w:rFonts w:hint="eastAsia" w:ascii="Times New Roman" w:hAnsi="Times New Roman" w:eastAsia="宋体" w:cs="Times New Roman"/>
                <w:color w:val="auto"/>
                <w:sz w:val="24"/>
                <w:szCs w:val="24"/>
                <w:highlight w:val="none"/>
                <w:lang w:eastAsia="zh-CN"/>
              </w:rPr>
              <w:t>污水罐</w:t>
            </w:r>
            <w:r>
              <w:rPr>
                <w:rFonts w:hint="default" w:ascii="Times New Roman" w:hAnsi="Times New Roman" w:eastAsia="宋体" w:cs="Times New Roman"/>
                <w:color w:val="auto"/>
                <w:sz w:val="24"/>
                <w:szCs w:val="24"/>
                <w:highlight w:val="none"/>
              </w:rPr>
              <w:t>等设施，建立冲洗制度并设专人管理，严禁车辆带泥上路。</w:t>
            </w:r>
          </w:p>
          <w:p w14:paraId="2A99BFCE">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④施工现场集中堆放的土方和裸露场地必须采取覆盖、固化或绿化等防尘措施，严禁裸露。</w:t>
            </w:r>
          </w:p>
          <w:p w14:paraId="2452D458">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⑤基坑开挖作业过程中，四周应采取洒水、喷淋等降尘措施。</w:t>
            </w:r>
          </w:p>
          <w:p w14:paraId="14B54499">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⑥施工现场易飞扬的细颗粒建筑材料必须密闭存放或严密覆盖，严禁露天放置；搬运时应有降尘措施，余料及时回收。</w:t>
            </w:r>
          </w:p>
          <w:p w14:paraId="219B3C2B">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⑦施工现场运送土方、渣土的车辆必须封闭或遮盖严密，严禁使用未办理相关手续的渣土等运输车辆，严禁沿路遗撒和随意倾倒。</w:t>
            </w:r>
          </w:p>
          <w:p w14:paraId="6587028D">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⑧建筑物内应保持干净整洁，清扫垃圾时要洒水抑尘。</w:t>
            </w:r>
          </w:p>
          <w:p w14:paraId="2CCB8EA1">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⑨施工现场的建筑垃圾必须设置垃圾存放点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集中堆放并严密覆盖，及时清运。生活垃圾应用封闭式容器存放，日产日清，严禁随意丢弃。</w:t>
            </w:r>
          </w:p>
          <w:p w14:paraId="06F3D1EC">
            <w:pPr>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⑩建筑工程主体外侧脚手架及临边防护栏杆必须使用符合标准的密目式安全网封闭施工，并保持整洁、牢固、无破损。</w:t>
            </w:r>
          </w:p>
          <w:p w14:paraId="656AC322">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施工场地扬尘排放应符合《施工场地扬尘排放标准》（DB13/2934—2019）</w:t>
            </w:r>
            <w:r>
              <w:rPr>
                <w:rFonts w:hint="default" w:ascii="Times New Roman" w:hAnsi="Times New Roman" w:eastAsia="宋体" w:cs="Times New Roman"/>
                <w:color w:val="auto"/>
                <w:sz w:val="24"/>
                <w:szCs w:val="24"/>
                <w:highlight w:val="none"/>
                <w:lang w:eastAsia="zh-CN"/>
              </w:rPr>
              <w:t>中</w:t>
            </w:r>
            <w:r>
              <w:rPr>
                <w:rFonts w:hint="default" w:ascii="Times New Roman" w:hAnsi="Times New Roman" w:eastAsia="宋体" w:cs="Times New Roman"/>
                <w:color w:val="auto"/>
                <w:sz w:val="24"/>
                <w:szCs w:val="24"/>
                <w:highlight w:val="none"/>
              </w:rPr>
              <w:t>规定的浓度限值。</w:t>
            </w:r>
          </w:p>
          <w:p w14:paraId="19D95C40">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根据河北省《扬尘在线监测系统建设及运行技术规范》（DB 13/T 2935—2019）</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设置于施工区域围栏安全范围内，可直接监控施工场地主要施工活动。监测点位不宜轻易变动，以保证监测的连续性和数据的可比性；监测点位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避开在相邻边界处设置监测点；采样口离地面的高度</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在3m～5m范围内。施工场地扬尘监测点数量宜符合</w:t>
            </w:r>
            <w:r>
              <w:rPr>
                <w:rFonts w:hint="default"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表要求。</w:t>
            </w:r>
          </w:p>
          <w:p w14:paraId="445E6836">
            <w:pPr>
              <w:pStyle w:val="11"/>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20</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施工场地扬尘监测点数量设置</w:t>
            </w:r>
          </w:p>
          <w:tbl>
            <w:tblPr>
              <w:tblStyle w:val="24"/>
              <w:tblW w:w="83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6453"/>
            </w:tblGrid>
            <w:tr w14:paraId="76BD2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6" w:hRule="atLeast"/>
                <w:jc w:val="center"/>
              </w:trPr>
              <w:tc>
                <w:tcPr>
                  <w:tcW w:w="1851" w:type="dxa"/>
                  <w:tcBorders>
                    <w:tl2br w:val="nil"/>
                    <w:tr2bl w:val="nil"/>
                  </w:tcBorders>
                  <w:noWrap w:val="0"/>
                  <w:vAlign w:val="center"/>
                </w:tcPr>
                <w:p w14:paraId="64FF5ABE">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占地面积S（m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6453" w:type="dxa"/>
                  <w:tcBorders>
                    <w:tl2br w:val="nil"/>
                    <w:tr2bl w:val="nil"/>
                  </w:tcBorders>
                  <w:noWrap w:val="0"/>
                  <w:vAlign w:val="center"/>
                </w:tcPr>
                <w:p w14:paraId="673BB13A">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监测点数量(个)</w:t>
                  </w:r>
                </w:p>
              </w:tc>
            </w:tr>
            <w:tr w14:paraId="3E8B6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017790B8">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S≤5000</w:t>
                  </w:r>
                </w:p>
              </w:tc>
              <w:tc>
                <w:tcPr>
                  <w:tcW w:w="6453" w:type="dxa"/>
                  <w:tcBorders>
                    <w:tl2br w:val="nil"/>
                    <w:tr2bl w:val="nil"/>
                  </w:tcBorders>
                  <w:noWrap w:val="0"/>
                  <w:vAlign w:val="center"/>
                </w:tcPr>
                <w:p w14:paraId="7AC2BED4">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E9B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00643CE9">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5000＜S≤10000</w:t>
                  </w:r>
                </w:p>
              </w:tc>
              <w:tc>
                <w:tcPr>
                  <w:tcW w:w="6453" w:type="dxa"/>
                  <w:tcBorders>
                    <w:tl2br w:val="nil"/>
                    <w:tr2bl w:val="nil"/>
                  </w:tcBorders>
                  <w:noWrap w:val="0"/>
                  <w:vAlign w:val="center"/>
                </w:tcPr>
                <w:p w14:paraId="65783A8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14:paraId="6D96C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51" w:type="dxa"/>
                  <w:tcBorders>
                    <w:tl2br w:val="nil"/>
                    <w:tr2bl w:val="nil"/>
                  </w:tcBorders>
                  <w:noWrap w:val="0"/>
                  <w:vAlign w:val="center"/>
                </w:tcPr>
                <w:p w14:paraId="71DCCF0F">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10000＜S≤100000</w:t>
                  </w:r>
                </w:p>
              </w:tc>
              <w:tc>
                <w:tcPr>
                  <w:tcW w:w="6453" w:type="dxa"/>
                  <w:tcBorders>
                    <w:tl2br w:val="nil"/>
                    <w:tr2bl w:val="nil"/>
                  </w:tcBorders>
                  <w:noWrap w:val="0"/>
                  <w:vAlign w:val="center"/>
                </w:tcPr>
                <w:p w14:paraId="0FA137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2A214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51" w:type="dxa"/>
                  <w:tcBorders>
                    <w:tl2br w:val="nil"/>
                    <w:tr2bl w:val="nil"/>
                  </w:tcBorders>
                  <w:noWrap w:val="0"/>
                  <w:vAlign w:val="center"/>
                </w:tcPr>
                <w:p w14:paraId="090F18C5">
                  <w:pPr>
                    <w:pStyle w:val="11"/>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S＞100000</w:t>
                  </w:r>
                </w:p>
              </w:tc>
              <w:tc>
                <w:tcPr>
                  <w:tcW w:w="6453" w:type="dxa"/>
                  <w:tcBorders>
                    <w:tl2br w:val="nil"/>
                    <w:tr2bl w:val="nil"/>
                  </w:tcBorders>
                  <w:noWrap w:val="0"/>
                  <w:vAlign w:val="center"/>
                </w:tcPr>
                <w:p w14:paraId="03823F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在10万平方米最少设置4个监测点的基础上，每增加10万平方米最少增设1个监测点（不足10万平方米的部分按10万平方米计）。</w:t>
                  </w:r>
                </w:p>
              </w:tc>
            </w:tr>
          </w:tbl>
          <w:p w14:paraId="6A53AEF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本项目</w:t>
            </w:r>
            <w:r>
              <w:rPr>
                <w:rFonts w:hint="eastAsia" w:ascii="Times New Roman" w:hAnsi="Times New Roman" w:cs="Times New Roman"/>
                <w:i w:val="0"/>
                <w:iCs w:val="0"/>
                <w:color w:val="auto"/>
                <w:sz w:val="24"/>
                <w:szCs w:val="24"/>
                <w:highlight w:val="none"/>
                <w:lang w:eastAsia="zh-CN"/>
              </w:rPr>
              <w:t>新增建设</w:t>
            </w:r>
            <w:r>
              <w:rPr>
                <w:rFonts w:hint="default" w:ascii="Times New Roman" w:hAnsi="Times New Roman" w:eastAsia="宋体" w:cs="Times New Roman"/>
                <w:i w:val="0"/>
                <w:iCs w:val="0"/>
                <w:color w:val="auto"/>
                <w:sz w:val="24"/>
                <w:szCs w:val="24"/>
                <w:highlight w:val="none"/>
                <w:lang w:eastAsia="zh-CN"/>
              </w:rPr>
              <w:t>面积为</w:t>
            </w:r>
            <w:r>
              <w:rPr>
                <w:rFonts w:hint="eastAsia" w:ascii="Times New Roman"/>
                <w:color w:val="auto"/>
                <w:sz w:val="24"/>
                <w:szCs w:val="24"/>
                <w:highlight w:val="none"/>
                <w:lang w:val="en-US" w:eastAsia="zh-CN"/>
              </w:rPr>
              <w:t>75</w:t>
            </w:r>
            <w:r>
              <w:rPr>
                <w:rFonts w:hint="default" w:ascii="Times New Roman" w:hAnsi="Times New Roman" w:eastAsia="宋体" w:cs="Times New Roman"/>
                <w:i w:val="0"/>
                <w:iCs w:val="0"/>
                <w:color w:val="auto"/>
                <w:sz w:val="24"/>
                <w:szCs w:val="24"/>
                <w:highlight w:val="none"/>
                <w:lang w:val="en-US" w:eastAsia="zh-CN"/>
              </w:rPr>
              <w:t>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rPr>
              <w:t>，根据河北省《扬尘在线监测系统建设及运行技术规范》（DB 13/T 2935—2019），项目施工期场区设置</w:t>
            </w:r>
            <w:r>
              <w:rPr>
                <w:rFonts w:hint="eastAsia" w:ascii="Times New Roman" w:hAnsi="Times New Roman" w:cs="Times New Roman"/>
                <w:i w:val="0"/>
                <w:iCs w:val="0"/>
                <w:color w:val="auto"/>
                <w:sz w:val="24"/>
                <w:szCs w:val="24"/>
                <w:highlight w:val="none"/>
                <w:lang w:val="en-US" w:eastAsia="zh-CN"/>
              </w:rPr>
              <w:t>1</w:t>
            </w:r>
            <w:r>
              <w:rPr>
                <w:rFonts w:hint="default" w:ascii="Times New Roman" w:hAnsi="Times New Roman" w:eastAsia="宋体" w:cs="Times New Roman"/>
                <w:i w:val="0"/>
                <w:iCs w:val="0"/>
                <w:color w:val="auto"/>
                <w:sz w:val="24"/>
                <w:szCs w:val="24"/>
                <w:highlight w:val="none"/>
              </w:rPr>
              <w:t>个废气监测点位监测施工扬尘，于</w:t>
            </w:r>
            <w:r>
              <w:rPr>
                <w:rFonts w:hint="eastAsia" w:ascii="Times New Roman" w:hAnsi="Times New Roman" w:eastAsia="宋体" w:cs="Times New Roman"/>
                <w:i w:val="0"/>
                <w:iCs w:val="0"/>
                <w:color w:val="auto"/>
                <w:sz w:val="24"/>
                <w:szCs w:val="24"/>
                <w:highlight w:val="none"/>
                <w:lang w:eastAsia="zh-CN"/>
              </w:rPr>
              <w:t>厂区</w:t>
            </w:r>
            <w:r>
              <w:rPr>
                <w:rFonts w:hint="eastAsia" w:ascii="Times New Roman" w:hAnsi="Times New Roman" w:cs="Times New Roman"/>
                <w:i w:val="0"/>
                <w:iCs w:val="0"/>
                <w:color w:val="auto"/>
                <w:sz w:val="24"/>
                <w:szCs w:val="24"/>
                <w:highlight w:val="none"/>
                <w:lang w:val="en-US" w:eastAsia="zh-CN"/>
              </w:rPr>
              <w:t>南</w:t>
            </w:r>
            <w:r>
              <w:rPr>
                <w:rFonts w:hint="default" w:ascii="Times New Roman" w:hAnsi="Times New Roman" w:eastAsia="宋体" w:cs="Times New Roman"/>
                <w:i w:val="0"/>
                <w:iCs w:val="0"/>
                <w:color w:val="auto"/>
                <w:sz w:val="24"/>
                <w:szCs w:val="24"/>
                <w:highlight w:val="none"/>
                <w:lang w:val="en-US" w:eastAsia="zh-CN"/>
              </w:rPr>
              <w:t>侧</w:t>
            </w:r>
            <w:r>
              <w:rPr>
                <w:rFonts w:hint="eastAsia" w:ascii="Times New Roman" w:hAnsi="Times New Roman" w:eastAsia="宋体" w:cs="Times New Roman"/>
                <w:i w:val="0"/>
                <w:iCs w:val="0"/>
                <w:color w:val="auto"/>
                <w:sz w:val="24"/>
                <w:szCs w:val="24"/>
                <w:highlight w:val="none"/>
                <w:lang w:val="en-US" w:eastAsia="zh-CN"/>
              </w:rPr>
              <w:t>出入口设置一个监测点</w:t>
            </w:r>
            <w:r>
              <w:rPr>
                <w:rFonts w:hint="eastAsia" w:ascii="Times New Roman" w:hAnsi="Times New Roman" w:cs="Times New Roman"/>
                <w:i w:val="0"/>
                <w:iCs w:val="0"/>
                <w:color w:val="auto"/>
                <w:sz w:val="24"/>
                <w:szCs w:val="24"/>
                <w:highlight w:val="none"/>
                <w:lang w:val="en-US" w:eastAsia="zh-CN"/>
              </w:rPr>
              <w:t>。</w:t>
            </w:r>
          </w:p>
          <w:p w14:paraId="62623C42">
            <w:pPr>
              <w:keepNext w:val="0"/>
              <w:keepLines w:val="0"/>
              <w:pageBreakBefore w:val="0"/>
              <w:widowControl w:val="0"/>
              <w:kinsoku/>
              <w:wordWrap/>
              <w:overflowPunct/>
              <w:topLinePunct w:val="0"/>
              <w:autoSpaceDE/>
              <w:autoSpaceDN/>
              <w:bidi w:val="0"/>
              <w:adjustRightInd/>
              <w:snapToGrid/>
              <w:spacing w:line="480" w:lineRule="exact"/>
              <w:ind w:left="0" w:right="0" w:firstLine="482"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val="0"/>
                <w:color w:val="auto"/>
                <w:sz w:val="24"/>
                <w:szCs w:val="24"/>
                <w:highlight w:val="none"/>
              </w:rPr>
              <w:t>3</w:t>
            </w:r>
            <w:r>
              <w:rPr>
                <w:rFonts w:hint="eastAsia" w:cs="Times New Roman"/>
                <w:b/>
                <w:bCs w:val="0"/>
                <w:color w:val="auto"/>
                <w:sz w:val="24"/>
                <w:szCs w:val="24"/>
                <w:highlight w:val="none"/>
                <w:lang w:val="en-US" w:eastAsia="zh-CN"/>
              </w:rPr>
              <w:t xml:space="preserve"> </w:t>
            </w:r>
            <w:r>
              <w:rPr>
                <w:rFonts w:hint="default" w:ascii="Times New Roman" w:hAnsi="Times New Roman" w:eastAsia="宋体" w:cs="Times New Roman"/>
                <w:b/>
                <w:bCs w:val="0"/>
                <w:color w:val="auto"/>
                <w:sz w:val="24"/>
                <w:szCs w:val="24"/>
                <w:highlight w:val="none"/>
              </w:rPr>
              <w:t>噪声</w:t>
            </w:r>
            <w:r>
              <w:rPr>
                <w:rFonts w:hint="default" w:ascii="Times New Roman" w:hAnsi="Times New Roman" w:eastAsia="宋体" w:cs="Times New Roman"/>
                <w:b/>
                <w:bCs w:val="0"/>
                <w:color w:val="auto"/>
                <w:kern w:val="0"/>
                <w:sz w:val="24"/>
                <w:szCs w:val="24"/>
                <w:highlight w:val="none"/>
              </w:rPr>
              <w:t>影响分析</w:t>
            </w:r>
            <w:r>
              <w:rPr>
                <w:rFonts w:hint="default" w:ascii="Times New Roman" w:hAnsi="Times New Roman" w:eastAsia="宋体" w:cs="Times New Roman"/>
                <w:b/>
                <w:bCs w:val="0"/>
                <w:color w:val="auto"/>
                <w:kern w:val="0"/>
                <w:sz w:val="24"/>
                <w:szCs w:val="24"/>
                <w:highlight w:val="none"/>
                <w:lang w:eastAsia="zh-CN"/>
              </w:rPr>
              <w:t>及降噪措施</w:t>
            </w:r>
          </w:p>
          <w:p w14:paraId="532A609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为最大限度避免和减轻施工和交通噪声对施工场地周围环境的影响，本评价对施工噪声的控制提出以下要求和建议：</w:t>
            </w:r>
          </w:p>
          <w:p w14:paraId="1828B2AF">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施工期</w:t>
            </w:r>
            <w:r>
              <w:rPr>
                <w:rFonts w:hint="default" w:ascii="Times New Roman" w:hAnsi="Times New Roman" w:eastAsia="宋体" w:cs="Times New Roman"/>
                <w:color w:val="auto"/>
                <w:kern w:val="0"/>
                <w:sz w:val="24"/>
                <w:szCs w:val="24"/>
                <w:highlight w:val="none"/>
              </w:rPr>
              <w:t>建设单位合理</w:t>
            </w:r>
            <w:r>
              <w:rPr>
                <w:rFonts w:hint="default" w:ascii="Times New Roman" w:hAnsi="Times New Roman" w:eastAsia="宋体" w:cs="Times New Roman"/>
                <w:color w:val="auto"/>
                <w:sz w:val="24"/>
                <w:szCs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r>
              <w:rPr>
                <w:rFonts w:hint="default" w:ascii="Times New Roman" w:hAnsi="Times New Roman" w:eastAsia="宋体" w:cs="Times New Roman"/>
                <w:color w:val="auto"/>
                <w:sz w:val="24"/>
                <w:szCs w:val="24"/>
                <w:highlight w:val="none"/>
                <w:lang w:eastAsia="zh-CN"/>
              </w:rPr>
              <w:t>。</w:t>
            </w:r>
          </w:p>
          <w:p w14:paraId="3271494E">
            <w:pPr>
              <w:pStyle w:val="9"/>
              <w:keepNext w:val="0"/>
              <w:keepLines w:val="0"/>
              <w:pageBreakBefore w:val="0"/>
              <w:widowControl w:val="0"/>
              <w:kinsoku/>
              <w:wordWrap/>
              <w:overflowPunct/>
              <w:topLinePunct w:val="0"/>
              <w:bidi w:val="0"/>
              <w:spacing w:before="0" w:after="0"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①建设招标单位将投标方的低噪声、低振动施工设备和相应技术作为中标的重要内容考虑，将施工过程所用各类机械及其噪声值列入招标文件中；</w:t>
            </w:r>
          </w:p>
          <w:p w14:paraId="020A2124">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②合理安排施工</w:t>
            </w:r>
            <w:r>
              <w:rPr>
                <w:rFonts w:hint="default" w:ascii="Times New Roman" w:hAnsi="Times New Roman" w:eastAsia="宋体" w:cs="Times New Roman"/>
                <w:color w:val="auto"/>
                <w:sz w:val="24"/>
                <w:szCs w:val="24"/>
                <w:highlight w:val="none"/>
                <w:lang w:eastAsia="zh-CN"/>
              </w:rPr>
              <w:t>时间，中午和夜间禁止施工</w:t>
            </w:r>
            <w:r>
              <w:rPr>
                <w:rFonts w:hint="default" w:ascii="Times New Roman" w:hAnsi="Times New Roman" w:eastAsia="宋体" w:cs="Times New Roman"/>
                <w:color w:val="auto"/>
                <w:sz w:val="24"/>
                <w:szCs w:val="24"/>
                <w:highlight w:val="none"/>
              </w:rPr>
              <w:t>；</w:t>
            </w:r>
          </w:p>
          <w:p w14:paraId="234F8E8F">
            <w:pPr>
              <w:pStyle w:val="9"/>
              <w:keepNext w:val="0"/>
              <w:keepLines w:val="0"/>
              <w:pageBreakBefore w:val="0"/>
              <w:widowControl w:val="0"/>
              <w:kinsoku/>
              <w:wordWrap/>
              <w:overflowPunct/>
              <w:topLinePunct w:val="0"/>
              <w:bidi w:val="0"/>
              <w:spacing w:before="0" w:after="0"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③使用商品混凝土及商品砂浆，避免混凝土及砂浆生产时噪声的影响；</w:t>
            </w:r>
          </w:p>
          <w:p w14:paraId="572F4EAC">
            <w:pPr>
              <w:keepNext w:val="0"/>
              <w:keepLines w:val="0"/>
              <w:pageBreakBefore w:val="0"/>
              <w:widowControl w:val="0"/>
              <w:kinsoku/>
              <w:wordWrap/>
              <w:overflowPunct/>
              <w:topLinePunct w:val="0"/>
              <w:autoSpaceDE w:val="0"/>
              <w:autoSpaceDN w:val="0"/>
              <w:bidi w:val="0"/>
              <w:adjustRightInd w:val="0"/>
              <w:snapToGrid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④运载建筑材料及建筑垃圾的车辆要选择合适的时间路线进行运输，运输车辆行驶路线应尽量避开沿途可能的居民点和环境敏感点。</w:t>
            </w:r>
          </w:p>
          <w:p w14:paraId="545EAC49">
            <w:pPr>
              <w:keepNext w:val="0"/>
              <w:keepLines w:val="0"/>
              <w:pageBreakBefore w:val="0"/>
              <w:widowControl w:val="0"/>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sz w:val="24"/>
                <w:szCs w:val="24"/>
                <w:highlight w:val="none"/>
              </w:rPr>
              <w:t>采取以上措施后</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color w:val="auto"/>
                <w:sz w:val="24"/>
                <w:szCs w:val="24"/>
                <w:highlight w:val="none"/>
                <w:lang w:eastAsia="zh-CN"/>
              </w:rPr>
              <w:t>施工噪声对周围环境影响较小，且将随着施工期的结束而消失，</w:t>
            </w:r>
            <w:r>
              <w:rPr>
                <w:rFonts w:hint="default" w:ascii="Times New Roman" w:hAnsi="Times New Roman" w:eastAsia="宋体" w:cs="Times New Roman"/>
                <w:color w:val="auto"/>
                <w:kern w:val="24"/>
                <w:sz w:val="24"/>
                <w:szCs w:val="24"/>
                <w:highlight w:val="none"/>
              </w:rPr>
              <w:t>对敏感点</w:t>
            </w:r>
            <w:r>
              <w:rPr>
                <w:rFonts w:hint="default" w:ascii="Times New Roman" w:hAnsi="Times New Roman" w:eastAsia="宋体" w:cs="Times New Roman"/>
                <w:color w:val="auto"/>
                <w:kern w:val="24"/>
                <w:sz w:val="24"/>
                <w:szCs w:val="24"/>
                <w:highlight w:val="none"/>
                <w:lang w:eastAsia="zh-CN"/>
              </w:rPr>
              <w:t>影响</w:t>
            </w:r>
            <w:r>
              <w:rPr>
                <w:rFonts w:hint="default" w:ascii="Times New Roman" w:hAnsi="Times New Roman" w:eastAsia="宋体" w:cs="Times New Roman"/>
                <w:color w:val="auto"/>
                <w:sz w:val="24"/>
                <w:szCs w:val="24"/>
                <w:highlight w:val="none"/>
                <w:lang w:eastAsia="zh-CN"/>
              </w:rPr>
              <w:t>较小</w:t>
            </w:r>
            <w:r>
              <w:rPr>
                <w:rFonts w:hint="default" w:ascii="Times New Roman" w:hAnsi="Times New Roman" w:eastAsia="宋体" w:cs="Times New Roman"/>
                <w:color w:val="auto"/>
                <w:kern w:val="24"/>
                <w:sz w:val="24"/>
                <w:szCs w:val="24"/>
                <w:highlight w:val="none"/>
              </w:rPr>
              <w:t>。</w:t>
            </w:r>
          </w:p>
          <w:p w14:paraId="0C19D3E5">
            <w:pPr>
              <w:keepNext w:val="0"/>
              <w:keepLines w:val="0"/>
              <w:pageBreakBefore w:val="0"/>
              <w:widowControl w:val="0"/>
              <w:kinsoku/>
              <w:wordWrap/>
              <w:overflowPunct/>
              <w:topLinePunct w:val="0"/>
              <w:bidi w:val="0"/>
              <w:spacing w:line="460" w:lineRule="exact"/>
              <w:ind w:left="0" w:right="0" w:firstLine="482" w:firstLineChars="200"/>
              <w:textAlignment w:val="auto"/>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 固体废物影响分析</w:t>
            </w:r>
          </w:p>
          <w:p w14:paraId="4825E1F1">
            <w:pPr>
              <w:keepNext w:val="0"/>
              <w:keepLines w:val="0"/>
              <w:pageBreakBefore w:val="0"/>
              <w:widowControl w:val="0"/>
              <w:tabs>
                <w:tab w:val="left" w:pos="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施工期固体废物主要为</w:t>
            </w:r>
            <w:r>
              <w:rPr>
                <w:rFonts w:hint="eastAsia" w:ascii="Times New Roman" w:hAnsi="Times New Roman" w:eastAsia="宋体" w:cs="Times New Roman"/>
                <w:color w:val="auto"/>
                <w:sz w:val="24"/>
                <w:szCs w:val="24"/>
                <w:highlight w:val="none"/>
                <w:lang w:eastAsia="zh-CN"/>
              </w:rPr>
              <w:t>新建厂房</w:t>
            </w:r>
            <w:r>
              <w:rPr>
                <w:rFonts w:hint="default" w:ascii="Times New Roman" w:hAnsi="Times New Roman" w:eastAsia="宋体" w:cs="Times New Roman"/>
                <w:color w:val="auto"/>
                <w:sz w:val="24"/>
                <w:szCs w:val="24"/>
                <w:highlight w:val="none"/>
              </w:rPr>
              <w:t>施工</w:t>
            </w:r>
            <w:r>
              <w:rPr>
                <w:rFonts w:hint="eastAsia" w:ascii="Times New Roman" w:hAnsi="Times New Roman" w:eastAsia="宋体" w:cs="Times New Roman"/>
                <w:color w:val="auto"/>
                <w:sz w:val="24"/>
                <w:szCs w:val="24"/>
                <w:highlight w:val="none"/>
                <w:lang w:eastAsia="zh-CN"/>
              </w:rPr>
              <w:t>建筑</w:t>
            </w:r>
            <w:r>
              <w:rPr>
                <w:rFonts w:hint="default" w:ascii="Times New Roman" w:hAnsi="Times New Roman" w:eastAsia="宋体" w:cs="Times New Roman"/>
                <w:color w:val="auto"/>
                <w:sz w:val="24"/>
                <w:szCs w:val="24"/>
                <w:highlight w:val="none"/>
              </w:rPr>
              <w:t>垃圾。</w:t>
            </w:r>
          </w:p>
          <w:p w14:paraId="1F07E6C6">
            <w:pPr>
              <w:keepNext w:val="0"/>
              <w:keepLines w:val="0"/>
              <w:pageBreakBefore w:val="0"/>
              <w:widowControl w:val="0"/>
              <w:tabs>
                <w:tab w:val="left" w:pos="36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施工期建筑垃圾主要包括施工中的下脚料，如废弃的堆土、砖瓦、混凝土块等，对于这些废物，应集中处理，分类收集并尽可能的回收再利用，不能回收再利用的则应及时清理出施工现场。</w:t>
            </w:r>
            <w:r>
              <w:rPr>
                <w:rFonts w:hint="default" w:ascii="Times New Roman" w:hAnsi="Times New Roman" w:eastAsia="宋体" w:cs="Times New Roman"/>
                <w:color w:val="auto"/>
                <w:sz w:val="24"/>
                <w:szCs w:val="24"/>
                <w:highlight w:val="none"/>
              </w:rPr>
              <w:t>本次评价提出措施如下：</w:t>
            </w:r>
          </w:p>
          <w:p w14:paraId="7998AECB">
            <w:pPr>
              <w:keepNext w:val="0"/>
              <w:keepLines w:val="0"/>
              <w:pageBreakBefore w:val="0"/>
              <w:widowControl w:val="0"/>
              <w:tabs>
                <w:tab w:val="left" w:pos="360"/>
                <w:tab w:val="left" w:pos="6720"/>
              </w:tabs>
              <w:kinsoku/>
              <w:wordWrap/>
              <w:overflowPunct/>
              <w:topLinePunct w:val="0"/>
              <w:bidi w:val="0"/>
              <w:spacing w:line="460" w:lineRule="exact"/>
              <w:ind w:left="0" w:right="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①对混凝土废料、含砖、石、砂的杂土应集中堆放，定时清运到城市建设监管部门指定的地点。</w:t>
            </w:r>
          </w:p>
          <w:p w14:paraId="6D66DA76">
            <w:pPr>
              <w:tabs>
                <w:tab w:val="left" w:pos="0"/>
                <w:tab w:val="left" w:pos="6720"/>
              </w:tabs>
              <w:spacing w:line="500" w:lineRule="exact"/>
              <w:ind w:firstLine="480" w:firstLineChars="200"/>
              <w:jc w:val="left"/>
              <w:rPr>
                <w:color w:val="auto"/>
                <w:sz w:val="24"/>
              </w:rPr>
            </w:pPr>
            <w:r>
              <w:rPr>
                <w:rFonts w:hint="default" w:ascii="Times New Roman" w:hAnsi="Times New Roman" w:eastAsia="宋体" w:cs="Times New Roman"/>
                <w:color w:val="auto"/>
                <w:sz w:val="24"/>
                <w:szCs w:val="24"/>
                <w:highlight w:val="none"/>
              </w:rPr>
              <w:t>采取上述措施，施工期产生的固废都可得到合理处置，对外界环境影响较小</w:t>
            </w:r>
            <w:r>
              <w:rPr>
                <w:rFonts w:hint="default" w:ascii="Times New Roman" w:hAnsi="Times New Roman" w:eastAsia="宋体" w:cs="Times New Roman"/>
                <w:color w:val="auto"/>
                <w:sz w:val="24"/>
                <w:szCs w:val="24"/>
                <w:highlight w:val="none"/>
                <w:lang w:eastAsia="zh-CN"/>
              </w:rPr>
              <w:t>。</w:t>
            </w:r>
          </w:p>
        </w:tc>
      </w:tr>
    </w:tbl>
    <w:p w14:paraId="51BCE80C">
      <w:pPr>
        <w:rPr>
          <w:color w:val="auto"/>
        </w:rPr>
      </w:pPr>
      <w:r>
        <w:rPr>
          <w:color w:val="auto"/>
        </w:rPr>
        <w:br w:type="page"/>
      </w:r>
    </w:p>
    <w:p w14:paraId="679A5064">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3267"/>
      </w:tblGrid>
      <w:tr w14:paraId="2E92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5" w:hRule="atLeast"/>
          <w:jc w:val="center"/>
        </w:trPr>
        <w:tc>
          <w:tcPr>
            <w:tcW w:w="334" w:type="pct"/>
            <w:vAlign w:val="center"/>
          </w:tcPr>
          <w:p w14:paraId="2E47A948">
            <w:pPr>
              <w:adjustRightInd w:val="0"/>
              <w:snapToGrid w:val="0"/>
              <w:spacing w:line="500" w:lineRule="exact"/>
              <w:jc w:val="center"/>
              <w:rPr>
                <w:bCs/>
                <w:color w:val="auto"/>
                <w:sz w:val="24"/>
              </w:rPr>
            </w:pPr>
            <w:r>
              <w:rPr>
                <w:bCs/>
                <w:color w:val="auto"/>
                <w:sz w:val="24"/>
              </w:rPr>
              <w:t>运营期环境影响和保护施</w:t>
            </w:r>
          </w:p>
        </w:tc>
        <w:tc>
          <w:tcPr>
            <w:tcW w:w="4665" w:type="pct"/>
          </w:tcPr>
          <w:p w14:paraId="450BBB58">
            <w:pPr>
              <w:pStyle w:val="6"/>
              <w:spacing w:line="500" w:lineRule="exact"/>
              <w:ind w:firstLine="482"/>
              <w:rPr>
                <w:rFonts w:ascii="Times New Roman" w:hAnsi="Times New Roman" w:cs="宋体" w:eastAsiaTheme="minorEastAsia"/>
                <w:color w:val="auto"/>
                <w:sz w:val="24"/>
                <w:szCs w:val="24"/>
              </w:rPr>
            </w:pPr>
            <w:r>
              <w:rPr>
                <w:rFonts w:hint="eastAsia" w:ascii="Times New Roman" w:hAnsi="Times New Roman" w:cs="宋体" w:eastAsiaTheme="minorEastAsia"/>
                <w:b/>
                <w:bCs/>
                <w:color w:val="auto"/>
                <w:sz w:val="24"/>
                <w:szCs w:val="24"/>
              </w:rPr>
              <w:t>1.废气</w:t>
            </w:r>
          </w:p>
          <w:p w14:paraId="37DD6CC6">
            <w:pPr>
              <w:spacing w:line="500" w:lineRule="exact"/>
              <w:ind w:firstLine="480" w:firstLineChars="200"/>
              <w:rPr>
                <w:bCs/>
                <w:color w:val="auto"/>
                <w:sz w:val="24"/>
              </w:rPr>
            </w:pPr>
            <w:r>
              <w:rPr>
                <w:bCs/>
                <w:color w:val="auto"/>
                <w:sz w:val="24"/>
              </w:rPr>
              <w:t>1.1废气排放情况</w:t>
            </w:r>
          </w:p>
          <w:p w14:paraId="08EEDE6F">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21  </w:t>
            </w:r>
            <w:r>
              <w:rPr>
                <w:rFonts w:hint="eastAsia"/>
                <w:b/>
                <w:bCs/>
                <w:color w:val="auto"/>
                <w:sz w:val="24"/>
              </w:rPr>
              <w:t xml:space="preserve">  废气污染物排放源情况一览表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135"/>
              <w:gridCol w:w="516"/>
              <w:gridCol w:w="802"/>
              <w:gridCol w:w="755"/>
              <w:gridCol w:w="422"/>
              <w:gridCol w:w="1653"/>
              <w:gridCol w:w="1015"/>
              <w:gridCol w:w="776"/>
              <w:gridCol w:w="643"/>
              <w:gridCol w:w="578"/>
              <w:gridCol w:w="779"/>
              <w:gridCol w:w="599"/>
              <w:gridCol w:w="664"/>
              <w:gridCol w:w="807"/>
              <w:gridCol w:w="1872"/>
            </w:tblGrid>
            <w:tr w14:paraId="72A42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6" w:type="pct"/>
                  <w:vMerge w:val="restart"/>
                  <w:vAlign w:val="center"/>
                </w:tcPr>
                <w:p w14:paraId="23A09600">
                  <w:pPr>
                    <w:snapToGrid w:val="0"/>
                    <w:spacing w:line="320" w:lineRule="exact"/>
                    <w:jc w:val="center"/>
                    <w:rPr>
                      <w:b/>
                      <w:color w:val="auto"/>
                      <w:szCs w:val="21"/>
                    </w:rPr>
                  </w:pPr>
                  <w:r>
                    <w:rPr>
                      <w:b/>
                      <w:color w:val="auto"/>
                      <w:szCs w:val="21"/>
                    </w:rPr>
                    <w:t>产污环节</w:t>
                  </w:r>
                </w:p>
              </w:tc>
              <w:tc>
                <w:tcPr>
                  <w:tcW w:w="198" w:type="pct"/>
                  <w:vMerge w:val="restart"/>
                  <w:vAlign w:val="center"/>
                </w:tcPr>
                <w:p w14:paraId="1B2F4433">
                  <w:pPr>
                    <w:adjustRightInd w:val="0"/>
                    <w:snapToGrid w:val="0"/>
                    <w:spacing w:line="320" w:lineRule="exact"/>
                    <w:jc w:val="center"/>
                    <w:rPr>
                      <w:b/>
                      <w:color w:val="auto"/>
                      <w:szCs w:val="21"/>
                    </w:rPr>
                  </w:pPr>
                  <w:r>
                    <w:rPr>
                      <w:b/>
                      <w:color w:val="auto"/>
                      <w:szCs w:val="21"/>
                    </w:rPr>
                    <w:t>污染物种类</w:t>
                  </w:r>
                </w:p>
              </w:tc>
              <w:tc>
                <w:tcPr>
                  <w:tcW w:w="598" w:type="pct"/>
                  <w:gridSpan w:val="2"/>
                  <w:vAlign w:val="center"/>
                </w:tcPr>
                <w:p w14:paraId="0734C26E">
                  <w:pPr>
                    <w:adjustRightInd w:val="0"/>
                    <w:snapToGrid w:val="0"/>
                    <w:spacing w:line="320" w:lineRule="exact"/>
                    <w:jc w:val="center"/>
                    <w:rPr>
                      <w:b/>
                      <w:color w:val="auto"/>
                      <w:szCs w:val="21"/>
                    </w:rPr>
                  </w:pPr>
                  <w:r>
                    <w:rPr>
                      <w:b/>
                      <w:color w:val="auto"/>
                      <w:szCs w:val="21"/>
                    </w:rPr>
                    <w:t>产生情况</w:t>
                  </w:r>
                </w:p>
              </w:tc>
              <w:tc>
                <w:tcPr>
                  <w:tcW w:w="162" w:type="pct"/>
                  <w:vMerge w:val="restart"/>
                  <w:vAlign w:val="center"/>
                </w:tcPr>
                <w:p w14:paraId="32653ECC">
                  <w:pPr>
                    <w:adjustRightInd w:val="0"/>
                    <w:snapToGrid w:val="0"/>
                    <w:spacing w:line="320" w:lineRule="exact"/>
                    <w:jc w:val="center"/>
                    <w:rPr>
                      <w:b/>
                      <w:color w:val="auto"/>
                      <w:szCs w:val="21"/>
                    </w:rPr>
                  </w:pPr>
                  <w:r>
                    <w:rPr>
                      <w:b/>
                      <w:color w:val="auto"/>
                      <w:kern w:val="0"/>
                      <w:szCs w:val="21"/>
                      <w:lang w:bidi="ar"/>
                    </w:rPr>
                    <w:t>排放形式</w:t>
                  </w:r>
                </w:p>
              </w:tc>
              <w:tc>
                <w:tcPr>
                  <w:tcW w:w="1792" w:type="pct"/>
                  <w:gridSpan w:val="5"/>
                  <w:vAlign w:val="center"/>
                </w:tcPr>
                <w:p w14:paraId="340ADCBA">
                  <w:pPr>
                    <w:adjustRightInd w:val="0"/>
                    <w:snapToGrid w:val="0"/>
                    <w:spacing w:line="320" w:lineRule="exact"/>
                    <w:jc w:val="center"/>
                    <w:rPr>
                      <w:b/>
                      <w:color w:val="auto"/>
                      <w:kern w:val="0"/>
                      <w:szCs w:val="21"/>
                      <w:lang w:bidi="ar"/>
                    </w:rPr>
                  </w:pPr>
                  <w:r>
                    <w:rPr>
                      <w:b/>
                      <w:color w:val="auto"/>
                      <w:kern w:val="0"/>
                      <w:szCs w:val="21"/>
                      <w:lang w:bidi="ar"/>
                    </w:rPr>
                    <w:t>污染治理设施</w:t>
                  </w:r>
                </w:p>
              </w:tc>
              <w:tc>
                <w:tcPr>
                  <w:tcW w:w="784" w:type="pct"/>
                  <w:gridSpan w:val="3"/>
                  <w:vAlign w:val="center"/>
                </w:tcPr>
                <w:p w14:paraId="24995B50">
                  <w:pPr>
                    <w:adjustRightInd w:val="0"/>
                    <w:snapToGrid w:val="0"/>
                    <w:spacing w:line="320" w:lineRule="exact"/>
                    <w:jc w:val="center"/>
                    <w:rPr>
                      <w:b/>
                      <w:color w:val="auto"/>
                      <w:szCs w:val="21"/>
                    </w:rPr>
                  </w:pPr>
                  <w:r>
                    <w:rPr>
                      <w:b/>
                      <w:color w:val="auto"/>
                      <w:szCs w:val="21"/>
                    </w:rPr>
                    <w:t>排放情况</w:t>
                  </w:r>
                </w:p>
              </w:tc>
              <w:tc>
                <w:tcPr>
                  <w:tcW w:w="310" w:type="pct"/>
                  <w:vMerge w:val="restart"/>
                  <w:vAlign w:val="center"/>
                </w:tcPr>
                <w:p w14:paraId="18EC47FE">
                  <w:pPr>
                    <w:adjustRightInd w:val="0"/>
                    <w:snapToGrid w:val="0"/>
                    <w:spacing w:line="320" w:lineRule="exact"/>
                    <w:jc w:val="center"/>
                    <w:rPr>
                      <w:b/>
                      <w:color w:val="auto"/>
                      <w:szCs w:val="21"/>
                    </w:rPr>
                  </w:pPr>
                  <w:r>
                    <w:rPr>
                      <w:b/>
                      <w:color w:val="auto"/>
                      <w:kern w:val="0"/>
                      <w:szCs w:val="21"/>
                      <w:lang w:bidi="ar"/>
                    </w:rPr>
                    <w:t>有组织排放口编号</w:t>
                  </w:r>
                </w:p>
              </w:tc>
              <w:tc>
                <w:tcPr>
                  <w:tcW w:w="719" w:type="pct"/>
                  <w:vMerge w:val="restart"/>
                  <w:vAlign w:val="center"/>
                </w:tcPr>
                <w:p w14:paraId="1F38B48D">
                  <w:pPr>
                    <w:adjustRightInd w:val="0"/>
                    <w:snapToGrid w:val="0"/>
                    <w:spacing w:line="320" w:lineRule="exact"/>
                    <w:jc w:val="center"/>
                    <w:rPr>
                      <w:b/>
                      <w:color w:val="auto"/>
                      <w:szCs w:val="21"/>
                    </w:rPr>
                  </w:pPr>
                  <w:r>
                    <w:rPr>
                      <w:b/>
                      <w:color w:val="auto"/>
                      <w:szCs w:val="21"/>
                    </w:rPr>
                    <w:t>排放标准</w:t>
                  </w:r>
                </w:p>
              </w:tc>
            </w:tr>
            <w:tr w14:paraId="44429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36" w:type="pct"/>
                  <w:vMerge w:val="continue"/>
                  <w:vAlign w:val="center"/>
                </w:tcPr>
                <w:p w14:paraId="4B22B150">
                  <w:pPr>
                    <w:snapToGrid w:val="0"/>
                    <w:spacing w:line="320" w:lineRule="exact"/>
                    <w:jc w:val="center"/>
                    <w:rPr>
                      <w:color w:val="auto"/>
                      <w:szCs w:val="21"/>
                    </w:rPr>
                  </w:pPr>
                </w:p>
              </w:tc>
              <w:tc>
                <w:tcPr>
                  <w:tcW w:w="198" w:type="pct"/>
                  <w:vMerge w:val="continue"/>
                  <w:vAlign w:val="center"/>
                </w:tcPr>
                <w:p w14:paraId="63AA43FD">
                  <w:pPr>
                    <w:adjustRightInd w:val="0"/>
                    <w:snapToGrid w:val="0"/>
                    <w:spacing w:line="320" w:lineRule="exact"/>
                    <w:jc w:val="center"/>
                    <w:rPr>
                      <w:color w:val="auto"/>
                      <w:szCs w:val="21"/>
                    </w:rPr>
                  </w:pPr>
                </w:p>
              </w:tc>
              <w:tc>
                <w:tcPr>
                  <w:tcW w:w="308" w:type="pct"/>
                  <w:vAlign w:val="center"/>
                </w:tcPr>
                <w:p w14:paraId="3F303276">
                  <w:pPr>
                    <w:adjustRightInd w:val="0"/>
                    <w:snapToGrid w:val="0"/>
                    <w:spacing w:line="320" w:lineRule="exact"/>
                    <w:jc w:val="center"/>
                    <w:rPr>
                      <w:b/>
                      <w:color w:val="auto"/>
                      <w:szCs w:val="21"/>
                    </w:rPr>
                  </w:pPr>
                  <w:r>
                    <w:rPr>
                      <w:b/>
                      <w:color w:val="auto"/>
                      <w:szCs w:val="21"/>
                    </w:rPr>
                    <w:t>产生浓度</w:t>
                  </w:r>
                </w:p>
                <w:p w14:paraId="5A5A7DC9">
                  <w:pPr>
                    <w:adjustRightInd w:val="0"/>
                    <w:snapToGrid w:val="0"/>
                    <w:spacing w:line="320" w:lineRule="exact"/>
                    <w:jc w:val="center"/>
                    <w:rPr>
                      <w:b/>
                      <w:color w:val="auto"/>
                      <w:szCs w:val="21"/>
                    </w:rPr>
                  </w:pPr>
                  <w:r>
                    <w:rPr>
                      <w:b/>
                      <w:color w:val="auto"/>
                      <w:szCs w:val="21"/>
                    </w:rPr>
                    <w:t>mg/m</w:t>
                  </w:r>
                  <w:r>
                    <w:rPr>
                      <w:b/>
                      <w:color w:val="auto"/>
                      <w:szCs w:val="21"/>
                      <w:vertAlign w:val="superscript"/>
                    </w:rPr>
                    <w:t>3</w:t>
                  </w:r>
                </w:p>
              </w:tc>
              <w:tc>
                <w:tcPr>
                  <w:tcW w:w="290" w:type="pct"/>
                  <w:vAlign w:val="center"/>
                </w:tcPr>
                <w:p w14:paraId="0F5E068A">
                  <w:pPr>
                    <w:adjustRightInd w:val="0"/>
                    <w:snapToGrid w:val="0"/>
                    <w:spacing w:line="320" w:lineRule="exact"/>
                    <w:jc w:val="center"/>
                    <w:rPr>
                      <w:b/>
                      <w:color w:val="auto"/>
                      <w:szCs w:val="21"/>
                    </w:rPr>
                  </w:pPr>
                  <w:r>
                    <w:rPr>
                      <w:b/>
                      <w:color w:val="auto"/>
                      <w:szCs w:val="21"/>
                    </w:rPr>
                    <w:t>产生量</w:t>
                  </w:r>
                </w:p>
                <w:p w14:paraId="21CE2901">
                  <w:pPr>
                    <w:adjustRightInd w:val="0"/>
                    <w:snapToGrid w:val="0"/>
                    <w:spacing w:line="320" w:lineRule="exact"/>
                    <w:jc w:val="center"/>
                    <w:rPr>
                      <w:b/>
                      <w:color w:val="auto"/>
                      <w:szCs w:val="21"/>
                    </w:rPr>
                  </w:pPr>
                  <w:r>
                    <w:rPr>
                      <w:b/>
                      <w:color w:val="auto"/>
                      <w:szCs w:val="21"/>
                    </w:rPr>
                    <w:t>t</w:t>
                  </w:r>
                </w:p>
              </w:tc>
              <w:tc>
                <w:tcPr>
                  <w:tcW w:w="162" w:type="pct"/>
                  <w:vMerge w:val="continue"/>
                  <w:vAlign w:val="center"/>
                </w:tcPr>
                <w:p w14:paraId="6A2356B5">
                  <w:pPr>
                    <w:adjustRightInd w:val="0"/>
                    <w:snapToGrid w:val="0"/>
                    <w:spacing w:line="320" w:lineRule="exact"/>
                    <w:jc w:val="center"/>
                    <w:rPr>
                      <w:b/>
                      <w:color w:val="auto"/>
                      <w:szCs w:val="21"/>
                    </w:rPr>
                  </w:pPr>
                </w:p>
              </w:tc>
              <w:tc>
                <w:tcPr>
                  <w:tcW w:w="635" w:type="pct"/>
                  <w:vAlign w:val="center"/>
                </w:tcPr>
                <w:p w14:paraId="1E3C2063">
                  <w:pPr>
                    <w:adjustRightInd w:val="0"/>
                    <w:snapToGrid w:val="0"/>
                    <w:spacing w:line="320" w:lineRule="exact"/>
                    <w:jc w:val="center"/>
                    <w:rPr>
                      <w:b/>
                      <w:color w:val="auto"/>
                      <w:szCs w:val="21"/>
                    </w:rPr>
                  </w:pPr>
                  <w:r>
                    <w:rPr>
                      <w:b/>
                      <w:color w:val="auto"/>
                      <w:kern w:val="0"/>
                      <w:szCs w:val="21"/>
                      <w:lang w:bidi="ar"/>
                    </w:rPr>
                    <w:t>治理设施名称</w:t>
                  </w:r>
                </w:p>
              </w:tc>
              <w:tc>
                <w:tcPr>
                  <w:tcW w:w="390" w:type="pct"/>
                  <w:vAlign w:val="center"/>
                </w:tcPr>
                <w:p w14:paraId="54D000FA">
                  <w:pPr>
                    <w:snapToGrid w:val="0"/>
                    <w:spacing w:line="320" w:lineRule="exact"/>
                    <w:jc w:val="center"/>
                    <w:rPr>
                      <w:b/>
                      <w:color w:val="auto"/>
                      <w:szCs w:val="21"/>
                    </w:rPr>
                  </w:pPr>
                  <w:r>
                    <w:rPr>
                      <w:rFonts w:hint="eastAsia"/>
                      <w:b/>
                      <w:color w:val="auto"/>
                      <w:szCs w:val="21"/>
                    </w:rPr>
                    <w:t>处理能力（m</w:t>
                  </w:r>
                  <w:r>
                    <w:rPr>
                      <w:rFonts w:hint="eastAsia"/>
                      <w:b/>
                      <w:color w:val="auto"/>
                      <w:szCs w:val="21"/>
                      <w:vertAlign w:val="superscript"/>
                    </w:rPr>
                    <w:t>3</w:t>
                  </w:r>
                  <w:r>
                    <w:rPr>
                      <w:rFonts w:hint="eastAsia"/>
                      <w:b/>
                      <w:color w:val="auto"/>
                      <w:szCs w:val="21"/>
                    </w:rPr>
                    <w:t>/h）</w:t>
                  </w:r>
                </w:p>
              </w:tc>
              <w:tc>
                <w:tcPr>
                  <w:tcW w:w="298" w:type="pct"/>
                  <w:vAlign w:val="center"/>
                </w:tcPr>
                <w:p w14:paraId="5B412986">
                  <w:pPr>
                    <w:snapToGrid w:val="0"/>
                    <w:spacing w:line="320" w:lineRule="exact"/>
                    <w:jc w:val="center"/>
                    <w:rPr>
                      <w:b/>
                      <w:color w:val="auto"/>
                      <w:szCs w:val="21"/>
                    </w:rPr>
                  </w:pPr>
                  <w:r>
                    <w:rPr>
                      <w:rFonts w:hint="eastAsia"/>
                      <w:b/>
                      <w:color w:val="auto"/>
                      <w:szCs w:val="21"/>
                    </w:rPr>
                    <w:t>收集</w:t>
                  </w:r>
                </w:p>
                <w:p w14:paraId="6BA21752">
                  <w:pPr>
                    <w:snapToGrid w:val="0"/>
                    <w:spacing w:line="320" w:lineRule="exact"/>
                    <w:jc w:val="center"/>
                    <w:rPr>
                      <w:b/>
                      <w:color w:val="auto"/>
                      <w:szCs w:val="21"/>
                    </w:rPr>
                  </w:pPr>
                  <w:r>
                    <w:rPr>
                      <w:rFonts w:hint="eastAsia"/>
                      <w:b/>
                      <w:color w:val="auto"/>
                      <w:szCs w:val="21"/>
                    </w:rPr>
                    <w:t>效率%</w:t>
                  </w:r>
                </w:p>
              </w:tc>
              <w:tc>
                <w:tcPr>
                  <w:tcW w:w="247" w:type="pct"/>
                  <w:vAlign w:val="center"/>
                </w:tcPr>
                <w:p w14:paraId="2AC6C5BC">
                  <w:pPr>
                    <w:adjustRightInd w:val="0"/>
                    <w:snapToGrid w:val="0"/>
                    <w:spacing w:line="320" w:lineRule="exact"/>
                    <w:jc w:val="center"/>
                    <w:rPr>
                      <w:b/>
                      <w:color w:val="auto"/>
                      <w:szCs w:val="21"/>
                    </w:rPr>
                  </w:pPr>
                  <w:r>
                    <w:rPr>
                      <w:b/>
                      <w:color w:val="auto"/>
                      <w:szCs w:val="21"/>
                    </w:rPr>
                    <w:t>治理工艺去除率</w:t>
                  </w:r>
                </w:p>
              </w:tc>
              <w:tc>
                <w:tcPr>
                  <w:tcW w:w="221" w:type="pct"/>
                  <w:vAlign w:val="center"/>
                </w:tcPr>
                <w:p w14:paraId="73810494">
                  <w:pPr>
                    <w:adjustRightInd w:val="0"/>
                    <w:snapToGrid w:val="0"/>
                    <w:spacing w:line="320" w:lineRule="exact"/>
                    <w:jc w:val="center"/>
                    <w:rPr>
                      <w:b/>
                      <w:color w:val="auto"/>
                      <w:szCs w:val="21"/>
                    </w:rPr>
                  </w:pPr>
                  <w:r>
                    <w:rPr>
                      <w:b/>
                      <w:color w:val="auto"/>
                      <w:kern w:val="0"/>
                      <w:szCs w:val="21"/>
                      <w:lang w:bidi="ar"/>
                    </w:rPr>
                    <w:t>是否可行技术</w:t>
                  </w:r>
                </w:p>
              </w:tc>
              <w:tc>
                <w:tcPr>
                  <w:tcW w:w="299" w:type="pct"/>
                  <w:vAlign w:val="center"/>
                </w:tcPr>
                <w:p w14:paraId="60DDF964">
                  <w:pPr>
                    <w:adjustRightInd w:val="0"/>
                    <w:snapToGrid w:val="0"/>
                    <w:spacing w:line="320" w:lineRule="exact"/>
                    <w:jc w:val="center"/>
                    <w:rPr>
                      <w:b/>
                      <w:color w:val="auto"/>
                      <w:szCs w:val="21"/>
                    </w:rPr>
                  </w:pPr>
                  <w:r>
                    <w:rPr>
                      <w:b/>
                      <w:color w:val="auto"/>
                      <w:szCs w:val="21"/>
                    </w:rPr>
                    <w:t>排放浓度mg/m</w:t>
                  </w:r>
                  <w:r>
                    <w:rPr>
                      <w:b/>
                      <w:color w:val="auto"/>
                      <w:szCs w:val="21"/>
                      <w:vertAlign w:val="superscript"/>
                    </w:rPr>
                    <w:t>3</w:t>
                  </w:r>
                </w:p>
              </w:tc>
              <w:tc>
                <w:tcPr>
                  <w:tcW w:w="230" w:type="pct"/>
                  <w:vAlign w:val="center"/>
                </w:tcPr>
                <w:p w14:paraId="6BEBF2BA">
                  <w:pPr>
                    <w:adjustRightInd w:val="0"/>
                    <w:snapToGrid w:val="0"/>
                    <w:spacing w:line="320" w:lineRule="exact"/>
                    <w:jc w:val="center"/>
                    <w:rPr>
                      <w:b/>
                      <w:color w:val="auto"/>
                      <w:szCs w:val="21"/>
                    </w:rPr>
                  </w:pPr>
                  <w:r>
                    <w:rPr>
                      <w:b/>
                      <w:color w:val="auto"/>
                      <w:szCs w:val="21"/>
                    </w:rPr>
                    <w:t>排放速率kg/h</w:t>
                  </w:r>
                </w:p>
              </w:tc>
              <w:tc>
                <w:tcPr>
                  <w:tcW w:w="255" w:type="pct"/>
                  <w:vAlign w:val="center"/>
                </w:tcPr>
                <w:p w14:paraId="6C3901DA">
                  <w:pPr>
                    <w:adjustRightInd w:val="0"/>
                    <w:snapToGrid w:val="0"/>
                    <w:spacing w:line="320" w:lineRule="exact"/>
                    <w:jc w:val="center"/>
                    <w:rPr>
                      <w:b/>
                      <w:color w:val="auto"/>
                      <w:szCs w:val="21"/>
                    </w:rPr>
                  </w:pPr>
                  <w:r>
                    <w:rPr>
                      <w:b/>
                      <w:color w:val="auto"/>
                      <w:szCs w:val="21"/>
                    </w:rPr>
                    <w:t>排放量t</w:t>
                  </w:r>
                </w:p>
              </w:tc>
              <w:tc>
                <w:tcPr>
                  <w:tcW w:w="310" w:type="pct"/>
                  <w:vMerge w:val="continue"/>
                  <w:vAlign w:val="center"/>
                </w:tcPr>
                <w:p w14:paraId="426FEF89">
                  <w:pPr>
                    <w:adjustRightInd w:val="0"/>
                    <w:snapToGrid w:val="0"/>
                    <w:spacing w:line="320" w:lineRule="exact"/>
                    <w:jc w:val="center"/>
                    <w:rPr>
                      <w:color w:val="auto"/>
                      <w:szCs w:val="21"/>
                    </w:rPr>
                  </w:pPr>
                </w:p>
              </w:tc>
              <w:tc>
                <w:tcPr>
                  <w:tcW w:w="719" w:type="pct"/>
                  <w:vMerge w:val="continue"/>
                  <w:vAlign w:val="center"/>
                </w:tcPr>
                <w:p w14:paraId="4059636A">
                  <w:pPr>
                    <w:adjustRightInd w:val="0"/>
                    <w:snapToGrid w:val="0"/>
                    <w:spacing w:line="320" w:lineRule="exact"/>
                    <w:jc w:val="center"/>
                    <w:rPr>
                      <w:color w:val="auto"/>
                      <w:szCs w:val="21"/>
                    </w:rPr>
                  </w:pPr>
                </w:p>
              </w:tc>
            </w:tr>
            <w:tr w14:paraId="63E7F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436" w:type="pct"/>
                  <w:vAlign w:val="center"/>
                </w:tcPr>
                <w:p w14:paraId="60C02C44">
                  <w:pPr>
                    <w:snapToGrid w:val="0"/>
                    <w:spacing w:line="320" w:lineRule="exact"/>
                    <w:jc w:val="center"/>
                    <w:rPr>
                      <w:color w:val="auto"/>
                      <w:szCs w:val="21"/>
                    </w:rPr>
                  </w:pPr>
                  <w:r>
                    <w:rPr>
                      <w:rFonts w:hint="eastAsia"/>
                      <w:color w:val="auto"/>
                      <w:szCs w:val="21"/>
                    </w:rPr>
                    <w:t>无组织</w:t>
                  </w:r>
                </w:p>
              </w:tc>
              <w:tc>
                <w:tcPr>
                  <w:tcW w:w="198" w:type="pct"/>
                  <w:vAlign w:val="center"/>
                </w:tcPr>
                <w:p w14:paraId="4D5C1C42">
                  <w:pPr>
                    <w:spacing w:line="320" w:lineRule="exact"/>
                    <w:jc w:val="center"/>
                    <w:rPr>
                      <w:color w:val="auto"/>
                      <w:szCs w:val="21"/>
                    </w:rPr>
                  </w:pPr>
                  <w:r>
                    <w:rPr>
                      <w:rFonts w:hint="eastAsia"/>
                      <w:color w:val="auto"/>
                      <w:szCs w:val="21"/>
                    </w:rPr>
                    <w:t>颗粒物</w:t>
                  </w:r>
                </w:p>
              </w:tc>
              <w:tc>
                <w:tcPr>
                  <w:tcW w:w="308" w:type="pct"/>
                  <w:vAlign w:val="center"/>
                </w:tcPr>
                <w:p w14:paraId="30F3C570">
                  <w:pPr>
                    <w:snapToGrid w:val="0"/>
                    <w:spacing w:line="320" w:lineRule="exact"/>
                    <w:jc w:val="center"/>
                    <w:rPr>
                      <w:color w:val="auto"/>
                      <w:szCs w:val="21"/>
                    </w:rPr>
                  </w:pPr>
                  <w:r>
                    <w:rPr>
                      <w:rFonts w:hint="eastAsia"/>
                      <w:color w:val="auto"/>
                      <w:szCs w:val="21"/>
                    </w:rPr>
                    <w:t>/</w:t>
                  </w:r>
                </w:p>
              </w:tc>
              <w:tc>
                <w:tcPr>
                  <w:tcW w:w="290" w:type="pct"/>
                  <w:vAlign w:val="center"/>
                </w:tcPr>
                <w:p w14:paraId="6CD2739B">
                  <w:pPr>
                    <w:snapToGrid w:val="0"/>
                    <w:spacing w:line="320" w:lineRule="exact"/>
                    <w:jc w:val="center"/>
                    <w:rPr>
                      <w:rFonts w:hint="default" w:eastAsia="宋体"/>
                      <w:color w:val="auto"/>
                      <w:szCs w:val="21"/>
                      <w:lang w:val="en-US" w:eastAsia="zh-CN"/>
                    </w:rPr>
                  </w:pPr>
                  <w:r>
                    <w:rPr>
                      <w:rFonts w:hint="eastAsia"/>
                      <w:color w:val="auto"/>
                      <w:szCs w:val="21"/>
                      <w:lang w:val="en-US" w:eastAsia="zh-CN"/>
                    </w:rPr>
                    <w:t>425.42</w:t>
                  </w:r>
                </w:p>
              </w:tc>
              <w:tc>
                <w:tcPr>
                  <w:tcW w:w="162" w:type="pct"/>
                  <w:vAlign w:val="center"/>
                </w:tcPr>
                <w:p w14:paraId="2026BFB2">
                  <w:pPr>
                    <w:spacing w:line="320" w:lineRule="exact"/>
                    <w:jc w:val="center"/>
                    <w:rPr>
                      <w:color w:val="auto"/>
                      <w:kern w:val="0"/>
                      <w:szCs w:val="21"/>
                      <w:lang w:bidi="ar"/>
                    </w:rPr>
                  </w:pPr>
                  <w:r>
                    <w:rPr>
                      <w:rFonts w:hint="eastAsia"/>
                      <w:color w:val="auto"/>
                      <w:kern w:val="0"/>
                      <w:szCs w:val="21"/>
                      <w:lang w:bidi="ar"/>
                    </w:rPr>
                    <w:t>无</w:t>
                  </w:r>
                  <w:r>
                    <w:rPr>
                      <w:color w:val="auto"/>
                      <w:kern w:val="0"/>
                      <w:szCs w:val="21"/>
                      <w:lang w:bidi="ar"/>
                    </w:rPr>
                    <w:t>组织</w:t>
                  </w:r>
                </w:p>
              </w:tc>
              <w:tc>
                <w:tcPr>
                  <w:tcW w:w="635" w:type="pct"/>
                  <w:vAlign w:val="center"/>
                </w:tcPr>
                <w:p w14:paraId="559B7CBF">
                  <w:pPr>
                    <w:spacing w:line="320" w:lineRule="exact"/>
                    <w:jc w:val="center"/>
                    <w:rPr>
                      <w:color w:val="auto"/>
                      <w:kern w:val="0"/>
                      <w:szCs w:val="21"/>
                      <w:lang w:bidi="ar"/>
                    </w:rPr>
                  </w:pPr>
                  <w:r>
                    <w:rPr>
                      <w:rFonts w:hint="eastAsia"/>
                      <w:color w:val="auto"/>
                      <w:szCs w:val="21"/>
                      <w:lang w:eastAsia="zh-CN"/>
                    </w:rPr>
                    <w:t>厂房</w:t>
                  </w:r>
                  <w:r>
                    <w:rPr>
                      <w:rFonts w:hint="eastAsia"/>
                      <w:color w:val="auto"/>
                      <w:szCs w:val="21"/>
                    </w:rPr>
                    <w:t>设置感应门，顶部设置喷淋抑尘设施</w:t>
                  </w:r>
                </w:p>
              </w:tc>
              <w:tc>
                <w:tcPr>
                  <w:tcW w:w="390" w:type="pct"/>
                  <w:vAlign w:val="center"/>
                </w:tcPr>
                <w:p w14:paraId="1DA1192B">
                  <w:pPr>
                    <w:snapToGrid w:val="0"/>
                    <w:spacing w:line="320" w:lineRule="exact"/>
                    <w:jc w:val="center"/>
                    <w:rPr>
                      <w:color w:val="auto"/>
                      <w:szCs w:val="21"/>
                    </w:rPr>
                  </w:pPr>
                  <w:r>
                    <w:rPr>
                      <w:rFonts w:hint="eastAsia"/>
                      <w:color w:val="auto"/>
                      <w:szCs w:val="21"/>
                    </w:rPr>
                    <w:t>/</w:t>
                  </w:r>
                </w:p>
              </w:tc>
              <w:tc>
                <w:tcPr>
                  <w:tcW w:w="298" w:type="pct"/>
                  <w:vAlign w:val="center"/>
                </w:tcPr>
                <w:p w14:paraId="386D140A">
                  <w:pPr>
                    <w:snapToGrid w:val="0"/>
                    <w:spacing w:line="320" w:lineRule="exact"/>
                    <w:jc w:val="center"/>
                    <w:rPr>
                      <w:color w:val="auto"/>
                      <w:szCs w:val="21"/>
                    </w:rPr>
                  </w:pPr>
                  <w:r>
                    <w:rPr>
                      <w:rFonts w:hint="eastAsia"/>
                      <w:color w:val="auto"/>
                      <w:szCs w:val="21"/>
                    </w:rPr>
                    <w:t>/</w:t>
                  </w:r>
                </w:p>
              </w:tc>
              <w:tc>
                <w:tcPr>
                  <w:tcW w:w="247" w:type="pct"/>
                  <w:vAlign w:val="center"/>
                </w:tcPr>
                <w:p w14:paraId="4AEA1E18">
                  <w:pPr>
                    <w:snapToGrid w:val="0"/>
                    <w:spacing w:line="320" w:lineRule="exact"/>
                    <w:jc w:val="center"/>
                    <w:rPr>
                      <w:color w:val="auto"/>
                      <w:szCs w:val="21"/>
                    </w:rPr>
                  </w:pPr>
                  <w:r>
                    <w:rPr>
                      <w:rFonts w:hint="eastAsia"/>
                      <w:color w:val="auto"/>
                      <w:szCs w:val="21"/>
                    </w:rPr>
                    <w:t>74%</w:t>
                  </w:r>
                </w:p>
              </w:tc>
              <w:tc>
                <w:tcPr>
                  <w:tcW w:w="221" w:type="pct"/>
                  <w:vAlign w:val="center"/>
                </w:tcPr>
                <w:p w14:paraId="0124781E">
                  <w:pPr>
                    <w:snapToGrid w:val="0"/>
                    <w:spacing w:line="320" w:lineRule="exact"/>
                    <w:jc w:val="center"/>
                    <w:rPr>
                      <w:color w:val="auto"/>
                      <w:szCs w:val="21"/>
                    </w:rPr>
                  </w:pPr>
                  <w:r>
                    <w:rPr>
                      <w:rFonts w:hint="eastAsia"/>
                      <w:color w:val="auto"/>
                      <w:szCs w:val="21"/>
                    </w:rPr>
                    <w:t>/</w:t>
                  </w:r>
                </w:p>
              </w:tc>
              <w:tc>
                <w:tcPr>
                  <w:tcW w:w="299" w:type="pct"/>
                  <w:vAlign w:val="center"/>
                </w:tcPr>
                <w:p w14:paraId="0BC984CF">
                  <w:pPr>
                    <w:spacing w:line="320" w:lineRule="exact"/>
                    <w:jc w:val="center"/>
                    <w:rPr>
                      <w:color w:val="auto"/>
                      <w:szCs w:val="21"/>
                    </w:rPr>
                  </w:pPr>
                  <w:r>
                    <w:rPr>
                      <w:rFonts w:hint="eastAsia"/>
                      <w:color w:val="auto"/>
                      <w:szCs w:val="21"/>
                    </w:rPr>
                    <w:t>/</w:t>
                  </w:r>
                </w:p>
              </w:tc>
              <w:tc>
                <w:tcPr>
                  <w:tcW w:w="230" w:type="pct"/>
                  <w:vAlign w:val="center"/>
                </w:tcPr>
                <w:p w14:paraId="5F895E7F">
                  <w:pPr>
                    <w:spacing w:line="320" w:lineRule="exact"/>
                    <w:jc w:val="center"/>
                    <w:rPr>
                      <w:rFonts w:hint="default" w:eastAsia="宋体"/>
                      <w:color w:val="auto"/>
                      <w:kern w:val="24"/>
                      <w:szCs w:val="21"/>
                      <w:lang w:val="en-US" w:eastAsia="zh-CN"/>
                    </w:rPr>
                  </w:pPr>
                  <w:r>
                    <w:rPr>
                      <w:rFonts w:hint="eastAsia"/>
                      <w:color w:val="auto"/>
                      <w:kern w:val="24"/>
                      <w:szCs w:val="21"/>
                    </w:rPr>
                    <w:t>0.</w:t>
                  </w:r>
                  <w:r>
                    <w:rPr>
                      <w:rFonts w:hint="eastAsia"/>
                      <w:color w:val="auto"/>
                      <w:kern w:val="24"/>
                      <w:szCs w:val="21"/>
                      <w:lang w:val="en-US" w:eastAsia="zh-CN"/>
                    </w:rPr>
                    <w:t>126</w:t>
                  </w:r>
                </w:p>
              </w:tc>
              <w:tc>
                <w:tcPr>
                  <w:tcW w:w="255" w:type="pct"/>
                  <w:vAlign w:val="center"/>
                </w:tcPr>
                <w:p w14:paraId="1E0E1D86">
                  <w:pPr>
                    <w:spacing w:line="320" w:lineRule="exact"/>
                    <w:jc w:val="center"/>
                    <w:rPr>
                      <w:rFonts w:hint="default" w:eastAsia="宋体"/>
                      <w:color w:val="auto"/>
                      <w:kern w:val="24"/>
                      <w:szCs w:val="21"/>
                      <w:lang w:val="en-US" w:eastAsia="zh-CN"/>
                    </w:rPr>
                  </w:pPr>
                  <w:r>
                    <w:rPr>
                      <w:rFonts w:hint="eastAsia"/>
                      <w:color w:val="auto"/>
                      <w:kern w:val="24"/>
                      <w:szCs w:val="21"/>
                      <w:lang w:val="en-US" w:eastAsia="zh-CN"/>
                    </w:rPr>
                    <w:t>1.1</w:t>
                  </w:r>
                </w:p>
              </w:tc>
              <w:tc>
                <w:tcPr>
                  <w:tcW w:w="310" w:type="pct"/>
                  <w:vAlign w:val="center"/>
                </w:tcPr>
                <w:p w14:paraId="060D8E0A">
                  <w:pPr>
                    <w:spacing w:line="320" w:lineRule="exact"/>
                    <w:jc w:val="center"/>
                    <w:rPr>
                      <w:color w:val="auto"/>
                      <w:szCs w:val="21"/>
                    </w:rPr>
                  </w:pPr>
                  <w:r>
                    <w:rPr>
                      <w:rFonts w:hint="eastAsia"/>
                      <w:color w:val="auto"/>
                      <w:szCs w:val="21"/>
                    </w:rPr>
                    <w:t>/</w:t>
                  </w:r>
                </w:p>
              </w:tc>
              <w:tc>
                <w:tcPr>
                  <w:tcW w:w="719" w:type="pct"/>
                  <w:vAlign w:val="center"/>
                </w:tcPr>
                <w:p w14:paraId="3B4454FC">
                  <w:pPr>
                    <w:spacing w:line="320" w:lineRule="exact"/>
                    <w:jc w:val="center"/>
                    <w:rPr>
                      <w:color w:val="auto"/>
                      <w:szCs w:val="21"/>
                    </w:rPr>
                  </w:pPr>
                  <w:r>
                    <w:rPr>
                      <w:rFonts w:hint="eastAsia" w:ascii="Times New Roman" w:hAnsi="Times New Roman" w:eastAsia="宋体" w:cs="Times New Roman"/>
                      <w:color w:val="auto"/>
                      <w:szCs w:val="21"/>
                    </w:rPr>
                    <w:t>《煤炭工业污染物排放标准》（GB20426-2006）</w:t>
                  </w:r>
                </w:p>
              </w:tc>
            </w:tr>
          </w:tbl>
          <w:p w14:paraId="612F16BF">
            <w:pPr>
              <w:pStyle w:val="11"/>
              <w:rPr>
                <w:color w:val="auto"/>
              </w:rPr>
            </w:pPr>
          </w:p>
        </w:tc>
      </w:tr>
    </w:tbl>
    <w:p w14:paraId="7610451C">
      <w:pPr>
        <w:pStyle w:val="6"/>
        <w:ind w:firstLine="560"/>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8276"/>
      </w:tblGrid>
      <w:tr w14:paraId="47FF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6" w:hRule="atLeast"/>
        </w:trPr>
        <w:tc>
          <w:tcPr>
            <w:tcW w:w="545" w:type="pct"/>
            <w:vAlign w:val="center"/>
          </w:tcPr>
          <w:p w14:paraId="34D3C74E">
            <w:pPr>
              <w:spacing w:line="500" w:lineRule="exact"/>
              <w:jc w:val="center"/>
              <w:rPr>
                <w:color w:val="auto"/>
                <w:sz w:val="24"/>
              </w:rPr>
            </w:pPr>
            <w:r>
              <w:rPr>
                <w:color w:val="auto"/>
                <w:sz w:val="24"/>
              </w:rPr>
              <w:t>运营期环境影响和保护措施</w:t>
            </w:r>
          </w:p>
        </w:tc>
        <w:tc>
          <w:tcPr>
            <w:tcW w:w="4454" w:type="pct"/>
          </w:tcPr>
          <w:p w14:paraId="26FC0D8E">
            <w:pPr>
              <w:spacing w:line="500" w:lineRule="exact"/>
              <w:ind w:firstLine="480" w:firstLineChars="200"/>
              <w:rPr>
                <w:bCs/>
                <w:color w:val="auto"/>
                <w:sz w:val="24"/>
              </w:rPr>
            </w:pPr>
            <w:r>
              <w:rPr>
                <w:bCs/>
                <w:color w:val="auto"/>
                <w:sz w:val="24"/>
              </w:rPr>
              <w:t>1.2废气影响分析</w:t>
            </w:r>
          </w:p>
          <w:p w14:paraId="2B263BC5">
            <w:pPr>
              <w:spacing w:line="500" w:lineRule="exact"/>
              <w:ind w:firstLine="480" w:firstLineChars="200"/>
              <w:rPr>
                <w:color w:val="auto"/>
                <w:sz w:val="24"/>
              </w:rPr>
            </w:pPr>
            <w:r>
              <w:rPr>
                <w:rFonts w:hint="eastAsia"/>
                <w:color w:val="auto"/>
                <w:sz w:val="24"/>
              </w:rPr>
              <w:t>本项目营运期污染主要为煤炭</w:t>
            </w:r>
            <w:r>
              <w:rPr>
                <w:rFonts w:hint="eastAsia"/>
                <w:color w:val="auto"/>
                <w:sz w:val="24"/>
                <w:lang w:eastAsia="zh-CN"/>
              </w:rPr>
              <w:t>、矿石、废钢的</w:t>
            </w:r>
            <w:r>
              <w:rPr>
                <w:rFonts w:hint="eastAsia"/>
                <w:color w:val="auto"/>
                <w:sz w:val="24"/>
              </w:rPr>
              <w:t>装卸、堆存及运输过程废气。</w:t>
            </w:r>
          </w:p>
          <w:p w14:paraId="74D44B51">
            <w:pPr>
              <w:pStyle w:val="22"/>
              <w:spacing w:after="0" w:line="500" w:lineRule="exact"/>
              <w:ind w:left="0" w:leftChars="0" w:firstLine="480"/>
              <w:rPr>
                <w:color w:val="auto"/>
                <w:sz w:val="24"/>
              </w:rPr>
            </w:pPr>
            <w:r>
              <w:rPr>
                <w:rFonts w:hint="eastAsia"/>
                <w:color w:val="auto"/>
                <w:sz w:val="24"/>
              </w:rPr>
              <w:t>本项目厂区道路硬化，厂区进出口设置洗车平台，</w:t>
            </w:r>
            <w:r>
              <w:rPr>
                <w:rFonts w:hint="eastAsia"/>
                <w:color w:val="auto"/>
                <w:sz w:val="24"/>
                <w:lang w:eastAsia="zh-CN"/>
              </w:rPr>
              <w:t>物料在集装箱内运输至厂区，</w:t>
            </w:r>
            <w:r>
              <w:rPr>
                <w:rFonts w:hint="eastAsia"/>
                <w:color w:val="auto"/>
                <w:sz w:val="24"/>
              </w:rPr>
              <w:t>运输车辆加盖苫布，</w:t>
            </w:r>
            <w:r>
              <w:rPr>
                <w:rFonts w:hint="eastAsia"/>
                <w:color w:val="auto"/>
                <w:sz w:val="24"/>
                <w:lang w:eastAsia="zh-CN"/>
              </w:rPr>
              <w:t>厂房</w:t>
            </w:r>
            <w:r>
              <w:rPr>
                <w:rFonts w:hint="eastAsia"/>
                <w:color w:val="auto"/>
                <w:sz w:val="24"/>
              </w:rPr>
              <w:t>封闭式处理并设置感应门，顶部设置喷淋装置。</w:t>
            </w:r>
          </w:p>
          <w:p w14:paraId="61133A85">
            <w:pPr>
              <w:numPr>
                <w:ilvl w:val="0"/>
                <w:numId w:val="0"/>
              </w:numPr>
              <w:tabs>
                <w:tab w:val="left" w:pos="0"/>
              </w:tabs>
              <w:autoSpaceDE w:val="0"/>
              <w:autoSpaceDN w:val="0"/>
              <w:adjustRightInd w:val="0"/>
              <w:snapToGrid w:val="0"/>
              <w:spacing w:line="480" w:lineRule="exact"/>
              <w:ind w:left="0" w:leftChars="0" w:firstLine="0" w:firstLineChars="0"/>
              <w:jc w:val="center"/>
              <w:rPr>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22</w:t>
            </w:r>
            <w:r>
              <w:rPr>
                <w:rFonts w:hint="eastAsia"/>
                <w:b/>
                <w:bCs/>
                <w:color w:val="auto"/>
                <w:sz w:val="24"/>
              </w:rPr>
              <w:t xml:space="preserve">   喷淋系统技术参数</w:t>
            </w:r>
            <w:r>
              <w:rPr>
                <w:b/>
                <w:bCs/>
                <w:color w:val="auto"/>
                <w:kern w:val="0"/>
                <w:sz w:val="24"/>
              </w:rPr>
              <w:t>一览表</w:t>
            </w:r>
          </w:p>
          <w:tbl>
            <w:tblPr>
              <w:tblStyle w:val="23"/>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07"/>
              <w:gridCol w:w="6520"/>
            </w:tblGrid>
            <w:tr w14:paraId="0149D6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939" w:type="pct"/>
                  <w:noWrap w:val="0"/>
                  <w:vAlign w:val="center"/>
                </w:tcPr>
                <w:p w14:paraId="0F3481C3">
                  <w:pPr>
                    <w:pStyle w:val="32"/>
                    <w:kinsoku w:val="0"/>
                    <w:overflowPunct w:val="0"/>
                    <w:spacing w:line="320" w:lineRule="exact"/>
                    <w:rPr>
                      <w:rFonts w:hint="eastAsia" w:ascii="Times New Roman" w:hAnsi="Times New Roman"/>
                      <w:b/>
                      <w:color w:val="auto"/>
                      <w:szCs w:val="21"/>
                      <w:lang w:val="en-US"/>
                    </w:rPr>
                  </w:pPr>
                  <w:r>
                    <w:rPr>
                      <w:rFonts w:hint="eastAsia"/>
                      <w:color w:val="auto"/>
                      <w:lang w:val="en-US"/>
                    </w:rPr>
                    <w:t>名称</w:t>
                  </w:r>
                </w:p>
              </w:tc>
              <w:tc>
                <w:tcPr>
                  <w:tcW w:w="4060" w:type="pct"/>
                  <w:noWrap w:val="0"/>
                  <w:vAlign w:val="center"/>
                </w:tcPr>
                <w:p w14:paraId="27E1DD3A">
                  <w:pPr>
                    <w:pStyle w:val="32"/>
                    <w:kinsoku w:val="0"/>
                    <w:overflowPunct w:val="0"/>
                    <w:spacing w:line="320" w:lineRule="exact"/>
                    <w:rPr>
                      <w:rFonts w:hint="eastAsia" w:ascii="Times New Roman" w:hAnsi="Times New Roman"/>
                      <w:b/>
                      <w:color w:val="auto"/>
                      <w:szCs w:val="21"/>
                    </w:rPr>
                  </w:pPr>
                  <w:r>
                    <w:rPr>
                      <w:rFonts w:hint="eastAsia" w:ascii="Times New Roman" w:hAnsi="Times New Roman"/>
                      <w:b/>
                      <w:color w:val="auto"/>
                      <w:szCs w:val="21"/>
                      <w:lang w:val="en-US"/>
                    </w:rPr>
                    <w:t>技术参数</w:t>
                  </w:r>
                </w:p>
              </w:tc>
            </w:tr>
            <w:tr w14:paraId="443078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39" w:type="pct"/>
                  <w:noWrap w:val="0"/>
                  <w:vAlign w:val="center"/>
                </w:tcPr>
                <w:p w14:paraId="1173F562">
                  <w:pPr>
                    <w:pStyle w:val="32"/>
                    <w:kinsoku w:val="0"/>
                    <w:overflowPunct w:val="0"/>
                    <w:spacing w:line="320" w:lineRule="exact"/>
                    <w:rPr>
                      <w:rFonts w:hint="eastAsia" w:ascii="Times New Roman" w:hAnsi="Times New Roman"/>
                      <w:color w:val="auto"/>
                      <w:szCs w:val="21"/>
                    </w:rPr>
                  </w:pPr>
                  <w:r>
                    <w:rPr>
                      <w:rFonts w:hint="eastAsia" w:ascii="Times New Roman" w:hAnsi="Times New Roman"/>
                      <w:color w:val="auto"/>
                      <w:szCs w:val="21"/>
                      <w:lang w:val="en-US"/>
                    </w:rPr>
                    <w:t>射程</w:t>
                  </w:r>
                </w:p>
              </w:tc>
              <w:tc>
                <w:tcPr>
                  <w:tcW w:w="4060" w:type="pct"/>
                  <w:noWrap w:val="0"/>
                  <w:vAlign w:val="center"/>
                </w:tcPr>
                <w:p w14:paraId="63F23001">
                  <w:pPr>
                    <w:pStyle w:val="32"/>
                    <w:kinsoku w:val="0"/>
                    <w:overflowPunct w:val="0"/>
                    <w:spacing w:line="320" w:lineRule="exact"/>
                    <w:rPr>
                      <w:rFonts w:hint="eastAsia" w:ascii="Times New Roman" w:hAnsi="Times New Roman" w:eastAsia="宋体"/>
                      <w:color w:val="auto"/>
                      <w:szCs w:val="21"/>
                      <w:lang w:val="en-US" w:eastAsia="zh-CN"/>
                    </w:rPr>
                  </w:pPr>
                  <w:r>
                    <w:rPr>
                      <w:rFonts w:hint="eastAsia" w:ascii="Times New Roman" w:hAnsi="Times New Roman"/>
                      <w:color w:val="auto"/>
                      <w:szCs w:val="21"/>
                      <w:lang w:val="en-US"/>
                    </w:rPr>
                    <w:t>大于35m，可调</w:t>
                  </w:r>
                  <w:r>
                    <w:rPr>
                      <w:rFonts w:hint="eastAsia" w:ascii="Times New Roman" w:hAnsi="Times New Roman"/>
                      <w:color w:val="auto"/>
                      <w:szCs w:val="21"/>
                      <w:lang w:val="en-US" w:eastAsia="zh-CN"/>
                    </w:rPr>
                    <w:t>，共设置</w:t>
                  </w:r>
                </w:p>
              </w:tc>
            </w:tr>
            <w:tr w14:paraId="40C21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9" w:type="pct"/>
                  <w:noWrap w:val="0"/>
                  <w:vAlign w:val="center"/>
                </w:tcPr>
                <w:p w14:paraId="6814C898">
                  <w:pPr>
                    <w:kinsoku w:val="0"/>
                    <w:overflowPunct w:val="0"/>
                    <w:autoSpaceDE w:val="0"/>
                    <w:autoSpaceDN w:val="0"/>
                    <w:adjustRightInd w:val="0"/>
                    <w:spacing w:line="320" w:lineRule="exact"/>
                    <w:jc w:val="center"/>
                    <w:rPr>
                      <w:color w:val="auto"/>
                      <w:szCs w:val="21"/>
                    </w:rPr>
                  </w:pPr>
                  <w:r>
                    <w:rPr>
                      <w:rFonts w:hint="eastAsia"/>
                      <w:color w:val="auto"/>
                    </w:rPr>
                    <w:t>工作压力</w:t>
                  </w:r>
                </w:p>
              </w:tc>
              <w:tc>
                <w:tcPr>
                  <w:tcW w:w="4060" w:type="pct"/>
                  <w:noWrap w:val="0"/>
                  <w:vAlign w:val="center"/>
                </w:tcPr>
                <w:p w14:paraId="40F27B9E">
                  <w:pPr>
                    <w:kinsoku w:val="0"/>
                    <w:overflowPunct w:val="0"/>
                    <w:autoSpaceDE w:val="0"/>
                    <w:autoSpaceDN w:val="0"/>
                    <w:adjustRightInd w:val="0"/>
                    <w:spacing w:line="320" w:lineRule="exact"/>
                    <w:jc w:val="center"/>
                    <w:rPr>
                      <w:color w:val="auto"/>
                      <w:szCs w:val="21"/>
                    </w:rPr>
                  </w:pPr>
                  <w:r>
                    <w:rPr>
                      <w:rFonts w:hint="eastAsia"/>
                      <w:color w:val="auto"/>
                      <w:szCs w:val="21"/>
                    </w:rPr>
                    <w:t>0.8-1.2Mpa</w:t>
                  </w:r>
                </w:p>
              </w:tc>
            </w:tr>
            <w:tr w14:paraId="02950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715DAC32">
                  <w:pPr>
                    <w:kinsoku w:val="0"/>
                    <w:overflowPunct w:val="0"/>
                    <w:autoSpaceDE w:val="0"/>
                    <w:autoSpaceDN w:val="0"/>
                    <w:adjustRightInd w:val="0"/>
                    <w:spacing w:line="320" w:lineRule="exact"/>
                    <w:jc w:val="center"/>
                    <w:rPr>
                      <w:color w:val="auto"/>
                    </w:rPr>
                  </w:pPr>
                  <w:r>
                    <w:rPr>
                      <w:rFonts w:hint="eastAsia"/>
                      <w:color w:val="auto"/>
                    </w:rPr>
                    <w:t>喷淋角度</w:t>
                  </w:r>
                </w:p>
              </w:tc>
              <w:tc>
                <w:tcPr>
                  <w:tcW w:w="4060" w:type="pct"/>
                  <w:noWrap w:val="0"/>
                  <w:vAlign w:val="center"/>
                </w:tcPr>
                <w:p w14:paraId="25CDFFBC">
                  <w:pPr>
                    <w:kinsoku w:val="0"/>
                    <w:overflowPunct w:val="0"/>
                    <w:autoSpaceDE w:val="0"/>
                    <w:autoSpaceDN w:val="0"/>
                    <w:adjustRightInd w:val="0"/>
                    <w:spacing w:line="320" w:lineRule="exact"/>
                    <w:jc w:val="center"/>
                    <w:rPr>
                      <w:color w:val="auto"/>
                    </w:rPr>
                  </w:pPr>
                  <w:r>
                    <w:rPr>
                      <w:rFonts w:hint="eastAsia"/>
                      <w:color w:val="auto"/>
                    </w:rPr>
                    <w:t>向下45度</w:t>
                  </w:r>
                </w:p>
              </w:tc>
            </w:tr>
            <w:tr w14:paraId="05505D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429A023B">
                  <w:pPr>
                    <w:kinsoku w:val="0"/>
                    <w:overflowPunct w:val="0"/>
                    <w:autoSpaceDE w:val="0"/>
                    <w:autoSpaceDN w:val="0"/>
                    <w:adjustRightInd w:val="0"/>
                    <w:spacing w:line="320" w:lineRule="exact"/>
                    <w:jc w:val="center"/>
                    <w:rPr>
                      <w:rFonts w:hint="eastAsia"/>
                      <w:color w:val="auto"/>
                    </w:rPr>
                  </w:pPr>
                  <w:r>
                    <w:rPr>
                      <w:rFonts w:hint="eastAsia"/>
                      <w:color w:val="auto"/>
                    </w:rPr>
                    <w:t>喷头摆头范围</w:t>
                  </w:r>
                </w:p>
              </w:tc>
              <w:tc>
                <w:tcPr>
                  <w:tcW w:w="4060" w:type="pct"/>
                  <w:noWrap w:val="0"/>
                  <w:vAlign w:val="center"/>
                </w:tcPr>
                <w:p w14:paraId="1D794277">
                  <w:pPr>
                    <w:kinsoku w:val="0"/>
                    <w:overflowPunct w:val="0"/>
                    <w:autoSpaceDE w:val="0"/>
                    <w:autoSpaceDN w:val="0"/>
                    <w:adjustRightInd w:val="0"/>
                    <w:spacing w:line="320" w:lineRule="exact"/>
                    <w:jc w:val="center"/>
                    <w:rPr>
                      <w:rFonts w:hint="eastAsia"/>
                      <w:color w:val="auto"/>
                    </w:rPr>
                  </w:pPr>
                  <w:r>
                    <w:rPr>
                      <w:rFonts w:hint="eastAsia"/>
                      <w:color w:val="auto"/>
                    </w:rPr>
                    <w:t>0-120度，可调</w:t>
                  </w:r>
                </w:p>
              </w:tc>
            </w:tr>
            <w:tr w14:paraId="57AF0C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939" w:type="pct"/>
                  <w:noWrap w:val="0"/>
                  <w:vAlign w:val="center"/>
                </w:tcPr>
                <w:p w14:paraId="32B163AB">
                  <w:pPr>
                    <w:kinsoku w:val="0"/>
                    <w:overflowPunct w:val="0"/>
                    <w:autoSpaceDE w:val="0"/>
                    <w:autoSpaceDN w:val="0"/>
                    <w:adjustRightInd w:val="0"/>
                    <w:spacing w:line="320" w:lineRule="exact"/>
                    <w:jc w:val="center"/>
                    <w:rPr>
                      <w:color w:val="auto"/>
                    </w:rPr>
                  </w:pPr>
                  <w:r>
                    <w:rPr>
                      <w:rFonts w:hint="eastAsia"/>
                      <w:color w:val="auto"/>
                    </w:rPr>
                    <w:t>喷射水状</w:t>
                  </w:r>
                </w:p>
              </w:tc>
              <w:tc>
                <w:tcPr>
                  <w:tcW w:w="4060" w:type="pct"/>
                  <w:noWrap w:val="0"/>
                  <w:vAlign w:val="center"/>
                </w:tcPr>
                <w:p w14:paraId="2DDC41E0">
                  <w:pPr>
                    <w:kinsoku w:val="0"/>
                    <w:overflowPunct w:val="0"/>
                    <w:autoSpaceDE w:val="0"/>
                    <w:autoSpaceDN w:val="0"/>
                    <w:adjustRightInd w:val="0"/>
                    <w:spacing w:line="320" w:lineRule="exact"/>
                    <w:jc w:val="center"/>
                    <w:rPr>
                      <w:color w:val="auto"/>
                    </w:rPr>
                  </w:pPr>
                  <w:r>
                    <w:rPr>
                      <w:rFonts w:hint="eastAsia"/>
                      <w:color w:val="auto"/>
                      <w:lang w:eastAsia="zh-CN"/>
                    </w:rPr>
                    <w:t>射</w:t>
                  </w:r>
                  <w:r>
                    <w:rPr>
                      <w:rFonts w:hint="eastAsia"/>
                      <w:color w:val="auto"/>
                    </w:rPr>
                    <w:t>束近1/3为柱状，射程中部1/3为散射状，其余外部1/3为雾化状，雾化密度与煤尘形成匹配。</w:t>
                  </w:r>
                </w:p>
              </w:tc>
            </w:tr>
          </w:tbl>
          <w:p w14:paraId="5283AF13">
            <w:pPr>
              <w:spacing w:line="240" w:lineRule="auto"/>
              <w:ind w:firstLine="480" w:firstLineChars="200"/>
              <w:rPr>
                <w:rFonts w:hint="eastAsia"/>
                <w:color w:val="auto"/>
                <w:sz w:val="24"/>
                <w:szCs w:val="24"/>
                <w:lang w:eastAsia="zh-CN"/>
              </w:rPr>
            </w:pPr>
            <w:r>
              <w:rPr>
                <w:rFonts w:hint="eastAsia"/>
                <w:color w:val="auto"/>
                <w:sz w:val="24"/>
                <w:szCs w:val="24"/>
                <w:lang w:eastAsia="zh-CN"/>
              </w:rPr>
              <w:object>
                <v:shape id="_x0000_i1026" o:spt="75" type="#_x0000_t75" style="height:180pt;width:344.2pt;" o:ole="t" filled="f" o:preferrelative="t" stroked="f" coordsize="21600,21600">
                  <v:path/>
                  <v:fill on="f" focussize="0,0"/>
                  <v:stroke on="f"/>
                  <v:imagedata r:id="rId25" o:title=""/>
                  <o:lock v:ext="edit" aspectratio="f"/>
                  <w10:wrap type="none"/>
                  <w10:anchorlock/>
                </v:shape>
                <o:OLEObject Type="Embed" ProgID="Visio.Drawing.11" ShapeID="_x0000_i1026" DrawAspect="Content" ObjectID="_1468075732" r:id="rId24">
                  <o:LockedField>false</o:LockedField>
                </o:OLEObject>
              </w:object>
            </w:r>
          </w:p>
          <w:p w14:paraId="5D269C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 xml:space="preserve">8 </w:t>
            </w:r>
            <w:r>
              <w:rPr>
                <w:rFonts w:hint="eastAsia"/>
                <w:b/>
                <w:bCs/>
                <w:color w:val="auto"/>
                <w:sz w:val="24"/>
                <w:szCs w:val="24"/>
                <w:highlight w:val="none"/>
                <w:lang w:val="en-US" w:eastAsia="zh-CN"/>
              </w:rPr>
              <w:t xml:space="preserve">  1#2#车间喷淋辐射范围示意图</w:t>
            </w:r>
          </w:p>
          <w:p w14:paraId="710C3C71">
            <w:pPr>
              <w:spacing w:line="240" w:lineRule="auto"/>
              <w:ind w:firstLine="480" w:firstLineChars="200"/>
              <w:rPr>
                <w:rFonts w:hint="eastAsia"/>
                <w:color w:val="auto"/>
                <w:sz w:val="24"/>
              </w:rPr>
            </w:pPr>
            <w:r>
              <w:rPr>
                <w:rFonts w:hint="eastAsia"/>
                <w:color w:val="auto"/>
                <w:sz w:val="24"/>
                <w:szCs w:val="24"/>
                <w:lang w:eastAsia="zh-CN"/>
              </w:rPr>
              <w:object>
                <v:shape id="_x0000_i1027" o:spt="75" type="#_x0000_t75" style="height:191.3pt;width:346.25pt;" o:ole="t" filled="f" o:preferrelative="t" stroked="f" coordsize="21600,21600">
                  <v:path/>
                  <v:fill on="f" focussize="0,0"/>
                  <v:stroke on="f"/>
                  <v:imagedata r:id="rId27" o:title=""/>
                  <o:lock v:ext="edit" aspectratio="f"/>
                  <w10:wrap type="none"/>
                  <w10:anchorlock/>
                </v:shape>
                <o:OLEObject Type="Embed" ProgID="Visio.Drawing.11" ShapeID="_x0000_i1027" DrawAspect="Content" ObjectID="_1468075733" r:id="rId26">
                  <o:LockedField>false</o:LockedField>
                </o:OLEObject>
              </w:object>
            </w:r>
          </w:p>
          <w:p w14:paraId="608B7D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napToGrid w:val="0"/>
                <w:color w:val="auto"/>
                <w:kern w:val="0"/>
                <w:sz w:val="24"/>
              </w:rPr>
            </w:pPr>
            <w:r>
              <w:rPr>
                <w:rFonts w:hint="eastAsia"/>
                <w:b/>
                <w:bCs/>
                <w:color w:val="auto"/>
                <w:sz w:val="24"/>
                <w:szCs w:val="24"/>
                <w:lang w:eastAsia="zh-CN"/>
              </w:rPr>
              <w:t>图</w:t>
            </w:r>
            <w:r>
              <w:rPr>
                <w:rFonts w:hint="eastAsia"/>
                <w:b/>
                <w:bCs/>
                <w:color w:val="auto"/>
                <w:sz w:val="24"/>
                <w:szCs w:val="24"/>
                <w:lang w:val="en-US" w:eastAsia="zh-CN"/>
              </w:rPr>
              <w:t xml:space="preserve">9 </w:t>
            </w:r>
            <w:r>
              <w:rPr>
                <w:rFonts w:hint="eastAsia"/>
                <w:b/>
                <w:bCs/>
                <w:color w:val="auto"/>
                <w:sz w:val="24"/>
                <w:szCs w:val="24"/>
                <w:highlight w:val="none"/>
                <w:lang w:val="en-US" w:eastAsia="zh-CN"/>
              </w:rPr>
              <w:t xml:space="preserve">  3#车间喷淋辐射范围示意图</w:t>
            </w:r>
          </w:p>
          <w:p w14:paraId="0320A9A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auto"/>
                <w:sz w:val="24"/>
              </w:rPr>
            </w:pPr>
            <w:r>
              <w:rPr>
                <w:rFonts w:hint="eastAsia" w:ascii="Times New Roman" w:hAnsi="Times New Roman" w:eastAsia="宋体" w:cs="Times New Roman"/>
                <w:snapToGrid w:val="0"/>
                <w:color w:val="auto"/>
                <w:kern w:val="0"/>
                <w:sz w:val="24"/>
              </w:rPr>
              <w:t>煤炭</w:t>
            </w:r>
            <w:r>
              <w:rPr>
                <w:rFonts w:hint="eastAsia" w:ascii="Times New Roman" w:hAnsi="Times New Roman" w:eastAsia="宋体" w:cs="Times New Roman"/>
                <w:snapToGrid w:val="0"/>
                <w:color w:val="auto"/>
                <w:kern w:val="0"/>
                <w:sz w:val="24"/>
                <w:lang w:eastAsia="zh-CN"/>
              </w:rPr>
              <w:t>、矿石</w:t>
            </w:r>
            <w:r>
              <w:rPr>
                <w:rFonts w:hint="eastAsia" w:cs="Times New Roman"/>
                <w:snapToGrid w:val="0"/>
                <w:color w:val="auto"/>
                <w:kern w:val="0"/>
                <w:sz w:val="24"/>
                <w:lang w:eastAsia="zh-CN"/>
              </w:rPr>
              <w:t>、废钢</w:t>
            </w:r>
            <w:r>
              <w:rPr>
                <w:rFonts w:hint="eastAsia" w:ascii="Times New Roman" w:hAnsi="Times New Roman" w:eastAsia="宋体" w:cs="Times New Roman"/>
                <w:snapToGrid w:val="0"/>
                <w:color w:val="auto"/>
                <w:kern w:val="0"/>
                <w:sz w:val="24"/>
              </w:rPr>
              <w:t>装卸储存过程产生的颗粒物根据《排放源统计调查产排污核算方法和系数手册》中《固体物料堆存颗粒物产排污核算系数手册》工业企业固体物料堆存颗粒物包括装卸场尘和风蚀扬尘，颗粒物产生量核算公式如下：</w:t>
            </w:r>
          </w:p>
          <w:p w14:paraId="081B638B">
            <w:pPr>
              <w:spacing w:before="100" w:beforeAutospacing="1" w:line="500" w:lineRule="exact"/>
              <w:ind w:firstLine="480" w:firstLineChars="200"/>
              <w:jc w:val="center"/>
              <w:rPr>
                <w:color w:val="auto"/>
                <w:sz w:val="24"/>
              </w:rPr>
            </w:pPr>
            <w:r>
              <w:rPr>
                <w:color w:val="auto"/>
                <w:sz w:val="24"/>
              </w:rPr>
              <w:drawing>
                <wp:inline distT="0" distB="0" distL="114300" distR="114300">
                  <wp:extent cx="4145280" cy="441960"/>
                  <wp:effectExtent l="0" t="0" r="7620" b="1524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8"/>
                          <a:stretch>
                            <a:fillRect/>
                          </a:stretch>
                        </pic:blipFill>
                        <pic:spPr>
                          <a:xfrm>
                            <a:off x="0" y="0"/>
                            <a:ext cx="4145280" cy="441960"/>
                          </a:xfrm>
                          <a:prstGeom prst="rect">
                            <a:avLst/>
                          </a:prstGeom>
                          <a:noFill/>
                          <a:ln>
                            <a:noFill/>
                          </a:ln>
                        </pic:spPr>
                      </pic:pic>
                    </a:graphicData>
                  </a:graphic>
                </wp:inline>
              </w:drawing>
            </w:r>
          </w:p>
          <w:p w14:paraId="0A814756">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式中：P指颗粒物产生量（单位：吨）；</w:t>
            </w:r>
          </w:p>
          <w:p w14:paraId="4ED63DBF">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ZC</w:t>
            </w:r>
            <w:r>
              <w:rPr>
                <w:snapToGrid w:val="0"/>
                <w:color w:val="auto"/>
                <w:kern w:val="0"/>
                <w:sz w:val="24"/>
                <w:vertAlign w:val="subscript"/>
              </w:rPr>
              <w:t>y</w:t>
            </w:r>
            <w:r>
              <w:rPr>
                <w:snapToGrid w:val="0"/>
                <w:color w:val="auto"/>
                <w:kern w:val="0"/>
                <w:sz w:val="24"/>
              </w:rPr>
              <w:t>指装卸扬尘产生量（单位：吨）；</w:t>
            </w:r>
          </w:p>
          <w:p w14:paraId="61E6B53B">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FC</w:t>
            </w:r>
            <w:r>
              <w:rPr>
                <w:snapToGrid w:val="0"/>
                <w:color w:val="auto"/>
                <w:kern w:val="0"/>
                <w:sz w:val="24"/>
                <w:vertAlign w:val="subscript"/>
              </w:rPr>
              <w:t>y</w:t>
            </w:r>
            <w:r>
              <w:rPr>
                <w:snapToGrid w:val="0"/>
                <w:color w:val="auto"/>
                <w:kern w:val="0"/>
                <w:sz w:val="24"/>
              </w:rPr>
              <w:t>指风蚀扬尘产生量（单位：吨）；</w:t>
            </w:r>
          </w:p>
          <w:p w14:paraId="41595F61">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N</w:t>
            </w:r>
            <w:r>
              <w:rPr>
                <w:snapToGrid w:val="0"/>
                <w:color w:val="auto"/>
                <w:kern w:val="0"/>
                <w:sz w:val="24"/>
                <w:vertAlign w:val="subscript"/>
              </w:rPr>
              <w:t>c</w:t>
            </w:r>
            <w:r>
              <w:rPr>
                <w:snapToGrid w:val="0"/>
                <w:color w:val="auto"/>
                <w:kern w:val="0"/>
                <w:sz w:val="24"/>
              </w:rPr>
              <w:t>指年物料运载车次（单位：车），年物料运载车次</w:t>
            </w:r>
            <w:r>
              <w:rPr>
                <w:color w:val="auto"/>
                <w:sz w:val="24"/>
              </w:rPr>
              <w:t>约为</w:t>
            </w:r>
            <w:r>
              <w:rPr>
                <w:rFonts w:hint="eastAsia"/>
                <w:color w:val="auto"/>
                <w:sz w:val="24"/>
                <w:lang w:val="en-US" w:eastAsia="zh-CN"/>
              </w:rPr>
              <w:t>50</w:t>
            </w:r>
            <w:r>
              <w:rPr>
                <w:rFonts w:hint="eastAsia"/>
                <w:color w:val="auto"/>
                <w:sz w:val="24"/>
              </w:rPr>
              <w:t>000</w:t>
            </w:r>
            <w:r>
              <w:rPr>
                <w:color w:val="auto"/>
                <w:sz w:val="24"/>
              </w:rPr>
              <w:t>车次</w:t>
            </w:r>
            <w:r>
              <w:rPr>
                <w:snapToGrid w:val="0"/>
                <w:color w:val="auto"/>
                <w:kern w:val="0"/>
                <w:sz w:val="24"/>
              </w:rPr>
              <w:t>；</w:t>
            </w:r>
          </w:p>
          <w:p w14:paraId="2CEF8379">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D指单车平均运载量（单位：吨/车）</w:t>
            </w:r>
            <w:r>
              <w:rPr>
                <w:color w:val="auto"/>
                <w:sz w:val="24"/>
              </w:rPr>
              <w:t>，项目运输车辆载重</w:t>
            </w:r>
            <w:r>
              <w:rPr>
                <w:rFonts w:hint="eastAsia"/>
                <w:color w:val="auto"/>
                <w:sz w:val="24"/>
              </w:rPr>
              <w:t>50</w:t>
            </w:r>
            <w:r>
              <w:rPr>
                <w:color w:val="auto"/>
                <w:sz w:val="24"/>
              </w:rPr>
              <w:t>t</w:t>
            </w:r>
            <w:r>
              <w:rPr>
                <w:snapToGrid w:val="0"/>
                <w:color w:val="auto"/>
                <w:kern w:val="0"/>
                <w:sz w:val="24"/>
              </w:rPr>
              <w:t>；</w:t>
            </w:r>
          </w:p>
          <w:p w14:paraId="0DF24BDA">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（a/b）指装卸扬尘概化系数（单位：千克/吨），a指各省风速概化系数，河北省为0.001；b</w:t>
            </w:r>
            <w:r>
              <w:rPr>
                <w:rFonts w:hint="eastAsia"/>
                <w:snapToGrid w:val="0"/>
                <w:color w:val="auto"/>
                <w:kern w:val="0"/>
                <w:sz w:val="24"/>
              </w:rPr>
              <w:t>指物料含水率概化系数，煤炭取0.0054，矿石参照混合矿石0.0084</w:t>
            </w:r>
            <w:r>
              <w:rPr>
                <w:rFonts w:hint="eastAsia"/>
                <w:snapToGrid w:val="0"/>
                <w:color w:val="auto"/>
                <w:kern w:val="0"/>
                <w:sz w:val="24"/>
                <w:lang w:eastAsia="zh-CN"/>
              </w:rPr>
              <w:t>，</w:t>
            </w:r>
            <w:r>
              <w:rPr>
                <w:rFonts w:hint="eastAsia"/>
                <w:snapToGrid w:val="0"/>
                <w:color w:val="auto"/>
                <w:kern w:val="0"/>
                <w:sz w:val="24"/>
                <w:lang w:val="en-US" w:eastAsia="zh-CN"/>
              </w:rPr>
              <w:t>废钢取0.0096</w:t>
            </w:r>
            <w:r>
              <w:rPr>
                <w:rFonts w:hint="eastAsia"/>
                <w:snapToGrid w:val="0"/>
                <w:color w:val="auto"/>
                <w:kern w:val="0"/>
                <w:sz w:val="24"/>
              </w:rPr>
              <w:t>；</w:t>
            </w:r>
          </w:p>
          <w:p w14:paraId="14FE5474">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E</w:t>
            </w:r>
            <w:r>
              <w:rPr>
                <w:snapToGrid w:val="0"/>
                <w:color w:val="auto"/>
                <w:kern w:val="0"/>
                <w:sz w:val="24"/>
                <w:vertAlign w:val="subscript"/>
              </w:rPr>
              <w:t>f</w:t>
            </w:r>
            <w:r>
              <w:rPr>
                <w:snapToGrid w:val="0"/>
                <w:color w:val="auto"/>
                <w:kern w:val="0"/>
                <w:sz w:val="24"/>
              </w:rPr>
              <w:t>指堆场风蚀扬尘概化系数，（单位：千克/平方米）；</w:t>
            </w:r>
          </w:p>
          <w:p w14:paraId="421FC0CE">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S指堆场占地面积（单位：平方米）。</w:t>
            </w:r>
          </w:p>
          <w:p w14:paraId="443BCF23">
            <w:pPr>
              <w:spacing w:line="500" w:lineRule="exact"/>
              <w:ind w:firstLine="480" w:firstLineChars="200"/>
              <w:rPr>
                <w:color w:val="auto"/>
                <w:sz w:val="24"/>
                <w:highlight w:val="none"/>
              </w:rPr>
            </w:pPr>
            <w:r>
              <w:rPr>
                <w:rFonts w:hint="eastAsia"/>
                <w:color w:val="auto"/>
                <w:sz w:val="24"/>
              </w:rPr>
              <w:t>煤炭</w:t>
            </w:r>
            <w:r>
              <w:rPr>
                <w:rFonts w:hint="eastAsia"/>
                <w:color w:val="auto"/>
                <w:sz w:val="24"/>
                <w:lang w:eastAsia="zh-CN"/>
              </w:rPr>
              <w:t>、矿石、废钢</w:t>
            </w:r>
            <w:r>
              <w:rPr>
                <w:color w:val="auto"/>
                <w:sz w:val="24"/>
              </w:rPr>
              <w:t>堆存于封闭</w:t>
            </w:r>
            <w:r>
              <w:rPr>
                <w:rFonts w:hint="eastAsia"/>
                <w:color w:val="auto"/>
                <w:sz w:val="24"/>
                <w:highlight w:val="none"/>
                <w:lang w:eastAsia="zh-CN"/>
              </w:rPr>
              <w:t>厂房</w:t>
            </w:r>
            <w:r>
              <w:rPr>
                <w:color w:val="auto"/>
                <w:sz w:val="24"/>
                <w:highlight w:val="none"/>
              </w:rPr>
              <w:t>内，故仅考虑</w:t>
            </w:r>
            <w:r>
              <w:rPr>
                <w:snapToGrid w:val="0"/>
                <w:color w:val="auto"/>
                <w:kern w:val="0"/>
                <w:sz w:val="24"/>
                <w:highlight w:val="none"/>
              </w:rPr>
              <w:t>装卸扬尘。</w:t>
            </w:r>
            <w:r>
              <w:rPr>
                <w:color w:val="auto"/>
                <w:sz w:val="24"/>
                <w:highlight w:val="none"/>
              </w:rPr>
              <w:t>根据上式计算，</w:t>
            </w:r>
            <w:r>
              <w:rPr>
                <w:rFonts w:hint="eastAsia"/>
                <w:color w:val="auto"/>
                <w:sz w:val="24"/>
                <w:highlight w:val="none"/>
              </w:rPr>
              <w:t>煤炭</w:t>
            </w:r>
            <w:r>
              <w:rPr>
                <w:rFonts w:hint="eastAsia"/>
                <w:color w:val="auto"/>
                <w:sz w:val="24"/>
                <w:highlight w:val="none"/>
                <w:lang w:eastAsia="zh-CN"/>
              </w:rPr>
              <w:t>、矿石</w:t>
            </w:r>
            <w:r>
              <w:rPr>
                <w:rFonts w:hint="eastAsia"/>
                <w:color w:val="auto"/>
                <w:sz w:val="24"/>
                <w:highlight w:val="none"/>
              </w:rPr>
              <w:t>装卸储存</w:t>
            </w:r>
            <w:r>
              <w:rPr>
                <w:color w:val="auto"/>
                <w:sz w:val="24"/>
                <w:highlight w:val="none"/>
              </w:rPr>
              <w:t>颗粒物产生量为</w:t>
            </w:r>
            <w:r>
              <w:rPr>
                <w:rFonts w:hint="eastAsia"/>
                <w:color w:val="auto"/>
                <w:sz w:val="24"/>
                <w:highlight w:val="none"/>
                <w:lang w:val="en-US" w:eastAsia="zh-CN"/>
              </w:rPr>
              <w:t>425.42</w:t>
            </w:r>
            <w:r>
              <w:rPr>
                <w:color w:val="auto"/>
                <w:sz w:val="24"/>
                <w:highlight w:val="none"/>
              </w:rPr>
              <w:t>t。</w:t>
            </w:r>
          </w:p>
          <w:p w14:paraId="606E8790">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工业企业固体物料堆场颗粒物排放量核算公式如下：</w:t>
            </w:r>
          </w:p>
          <w:p w14:paraId="70FC9B06">
            <w:pPr>
              <w:autoSpaceDE w:val="0"/>
              <w:autoSpaceDN w:val="0"/>
              <w:adjustRightInd w:val="0"/>
              <w:snapToGrid w:val="0"/>
              <w:spacing w:before="100" w:beforeAutospacing="1" w:line="500" w:lineRule="exact"/>
              <w:jc w:val="center"/>
              <w:rPr>
                <w:color w:val="auto"/>
                <w:sz w:val="24"/>
              </w:rPr>
            </w:pPr>
            <w:r>
              <w:rPr>
                <w:color w:val="auto"/>
                <w:sz w:val="24"/>
              </w:rPr>
              <w:drawing>
                <wp:inline distT="0" distB="0" distL="114300" distR="114300">
                  <wp:extent cx="2449195" cy="412750"/>
                  <wp:effectExtent l="0" t="0" r="8255" b="635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9"/>
                          <a:stretch>
                            <a:fillRect/>
                          </a:stretch>
                        </pic:blipFill>
                        <pic:spPr>
                          <a:xfrm>
                            <a:off x="0" y="0"/>
                            <a:ext cx="2449195" cy="412750"/>
                          </a:xfrm>
                          <a:prstGeom prst="rect">
                            <a:avLst/>
                          </a:prstGeom>
                          <a:noFill/>
                          <a:ln>
                            <a:noFill/>
                          </a:ln>
                        </pic:spPr>
                      </pic:pic>
                    </a:graphicData>
                  </a:graphic>
                </wp:inline>
              </w:drawing>
            </w:r>
          </w:p>
          <w:p w14:paraId="2315C9C9">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U</w:t>
            </w:r>
            <w:r>
              <w:rPr>
                <w:snapToGrid w:val="0"/>
                <w:color w:val="auto"/>
                <w:kern w:val="0"/>
                <w:sz w:val="24"/>
                <w:vertAlign w:val="subscript"/>
              </w:rPr>
              <w:t>c</w:t>
            </w:r>
            <w:r>
              <w:rPr>
                <w:rFonts w:hint="eastAsia"/>
                <w:snapToGrid w:val="0"/>
                <w:color w:val="auto"/>
                <w:kern w:val="0"/>
                <w:sz w:val="24"/>
              </w:rPr>
              <w:t>指颗粒物排放量</w:t>
            </w:r>
            <w:r>
              <w:rPr>
                <w:snapToGrid w:val="0"/>
                <w:color w:val="auto"/>
                <w:kern w:val="0"/>
                <w:sz w:val="24"/>
              </w:rPr>
              <w:t>（单位：吨）</w:t>
            </w:r>
            <w:r>
              <w:rPr>
                <w:rFonts w:hint="eastAsia"/>
                <w:snapToGrid w:val="0"/>
                <w:color w:val="auto"/>
                <w:kern w:val="0"/>
                <w:sz w:val="24"/>
              </w:rPr>
              <w:t>；</w:t>
            </w:r>
          </w:p>
          <w:p w14:paraId="215F516C">
            <w:pPr>
              <w:autoSpaceDE w:val="0"/>
              <w:autoSpaceDN w:val="0"/>
              <w:adjustRightInd w:val="0"/>
              <w:snapToGrid w:val="0"/>
              <w:spacing w:line="500" w:lineRule="exact"/>
              <w:ind w:firstLine="480" w:firstLineChars="200"/>
              <w:rPr>
                <w:snapToGrid w:val="0"/>
                <w:color w:val="auto"/>
                <w:kern w:val="0"/>
                <w:sz w:val="24"/>
              </w:rPr>
            </w:pPr>
            <w:r>
              <w:rPr>
                <w:snapToGrid w:val="0"/>
                <w:color w:val="auto"/>
                <w:kern w:val="0"/>
                <w:sz w:val="24"/>
              </w:rPr>
              <w:t>C</w:t>
            </w:r>
            <w:r>
              <w:rPr>
                <w:snapToGrid w:val="0"/>
                <w:color w:val="auto"/>
                <w:kern w:val="0"/>
                <w:sz w:val="24"/>
                <w:vertAlign w:val="subscript"/>
              </w:rPr>
              <w:t>m</w:t>
            </w:r>
            <w:r>
              <w:rPr>
                <w:rFonts w:hint="eastAsia"/>
                <w:snapToGrid w:val="0"/>
                <w:color w:val="auto"/>
                <w:kern w:val="0"/>
                <w:sz w:val="24"/>
              </w:rPr>
              <w:t>指颗粒物控制措施控制效率</w:t>
            </w:r>
            <w:r>
              <w:rPr>
                <w:snapToGrid w:val="0"/>
                <w:color w:val="auto"/>
                <w:kern w:val="0"/>
                <w:sz w:val="24"/>
              </w:rPr>
              <w:t>（单位：%）</w:t>
            </w:r>
            <w:r>
              <w:rPr>
                <w:rFonts w:hint="eastAsia"/>
                <w:snapToGrid w:val="0"/>
                <w:color w:val="auto"/>
                <w:kern w:val="0"/>
                <w:sz w:val="24"/>
              </w:rPr>
              <w:t>，本项目采取喷淋抑尘措施，取74%；</w:t>
            </w:r>
          </w:p>
          <w:p w14:paraId="27B32242">
            <w:pPr>
              <w:spacing w:line="500" w:lineRule="exact"/>
              <w:ind w:firstLine="480" w:firstLineChars="200"/>
              <w:rPr>
                <w:color w:val="auto"/>
                <w:sz w:val="24"/>
              </w:rPr>
            </w:pPr>
            <w:r>
              <w:rPr>
                <w:snapToGrid w:val="0"/>
                <w:color w:val="auto"/>
                <w:kern w:val="0"/>
                <w:sz w:val="24"/>
              </w:rPr>
              <w:t>T</w:t>
            </w:r>
            <w:r>
              <w:rPr>
                <w:snapToGrid w:val="0"/>
                <w:color w:val="auto"/>
                <w:kern w:val="0"/>
                <w:sz w:val="24"/>
                <w:vertAlign w:val="subscript"/>
              </w:rPr>
              <w:t>m</w:t>
            </w:r>
            <w:r>
              <w:rPr>
                <w:rFonts w:hint="eastAsia"/>
                <w:snapToGrid w:val="0"/>
                <w:color w:val="auto"/>
                <w:kern w:val="0"/>
                <w:sz w:val="24"/>
              </w:rPr>
              <w:t>指堆场类型控制效率</w:t>
            </w:r>
            <w:r>
              <w:rPr>
                <w:snapToGrid w:val="0"/>
                <w:color w:val="auto"/>
                <w:kern w:val="0"/>
                <w:sz w:val="24"/>
              </w:rPr>
              <w:t>（单位：%），</w:t>
            </w:r>
            <w:r>
              <w:rPr>
                <w:rFonts w:hint="eastAsia"/>
                <w:snapToGrid w:val="0"/>
                <w:color w:val="auto"/>
                <w:kern w:val="0"/>
                <w:sz w:val="24"/>
              </w:rPr>
              <w:t>本项目为封闭车间内的原料库，取99%。</w:t>
            </w:r>
          </w:p>
          <w:p w14:paraId="7AA7BD60">
            <w:pPr>
              <w:spacing w:line="500" w:lineRule="exact"/>
              <w:ind w:firstLine="480" w:firstLineChars="200"/>
              <w:rPr>
                <w:color w:val="auto"/>
                <w:sz w:val="24"/>
                <w:highlight w:val="none"/>
              </w:rPr>
            </w:pPr>
            <w:r>
              <w:rPr>
                <w:rFonts w:hint="eastAsia"/>
                <w:color w:val="auto"/>
                <w:sz w:val="24"/>
              </w:rPr>
              <w:t>根据上式计算，煤炭</w:t>
            </w:r>
            <w:r>
              <w:rPr>
                <w:rFonts w:hint="eastAsia"/>
                <w:color w:val="auto"/>
                <w:sz w:val="24"/>
                <w:lang w:eastAsia="zh-CN"/>
              </w:rPr>
              <w:t>、矿石、废钢</w:t>
            </w:r>
            <w:r>
              <w:rPr>
                <w:rFonts w:hint="eastAsia"/>
                <w:color w:val="auto"/>
                <w:sz w:val="24"/>
              </w:rPr>
              <w:t>装卸储存颗粒物无组织</w:t>
            </w:r>
            <w:r>
              <w:rPr>
                <w:rFonts w:hint="eastAsia"/>
                <w:color w:val="auto"/>
                <w:sz w:val="24"/>
                <w:highlight w:val="none"/>
              </w:rPr>
              <w:t>排放量为</w:t>
            </w:r>
            <w:r>
              <w:rPr>
                <w:rFonts w:hint="eastAsia"/>
                <w:color w:val="auto"/>
                <w:sz w:val="24"/>
                <w:highlight w:val="none"/>
                <w:lang w:val="en-US" w:eastAsia="zh-CN"/>
              </w:rPr>
              <w:t>1.1</w:t>
            </w:r>
            <w:r>
              <w:rPr>
                <w:rFonts w:hint="eastAsia"/>
                <w:color w:val="auto"/>
                <w:sz w:val="24"/>
                <w:highlight w:val="none"/>
              </w:rPr>
              <w:t>t</w:t>
            </w:r>
            <w:r>
              <w:rPr>
                <w:color w:val="auto"/>
                <w:sz w:val="24"/>
                <w:highlight w:val="none"/>
              </w:rPr>
              <w:t>。</w:t>
            </w:r>
          </w:p>
          <w:p w14:paraId="670988E3">
            <w:pPr>
              <w:keepNext w:val="0"/>
              <w:keepLines w:val="0"/>
              <w:pageBreakBefore w:val="0"/>
              <w:widowControl w:val="0"/>
              <w:kinsoku/>
              <w:wordWrap/>
              <w:overflowPunct/>
              <w:topLinePunct w:val="0"/>
              <w:bidi w:val="0"/>
              <w:adjustRightInd w:val="0"/>
              <w:snapToGrid w:val="0"/>
              <w:spacing w:line="480" w:lineRule="exact"/>
              <w:ind w:firstLine="480" w:firstLineChars="200"/>
              <w:jc w:val="both"/>
              <w:textAlignment w:val="auto"/>
              <w:rPr>
                <w:color w:val="auto"/>
                <w:sz w:val="24"/>
              </w:rPr>
            </w:pPr>
            <w:r>
              <w:rPr>
                <w:rFonts w:hint="eastAsia"/>
                <w:color w:val="auto"/>
                <w:sz w:val="24"/>
                <w:highlight w:val="none"/>
                <w:lang w:eastAsia="zh-CN"/>
              </w:rPr>
              <w:t>车间</w:t>
            </w:r>
            <w:r>
              <w:rPr>
                <w:color w:val="auto"/>
                <w:sz w:val="24"/>
                <w:highlight w:val="none"/>
              </w:rPr>
              <w:t>无组织颗粒物总排放量</w:t>
            </w:r>
            <w:r>
              <w:rPr>
                <w:rFonts w:hint="eastAsia"/>
                <w:color w:val="auto"/>
                <w:sz w:val="24"/>
                <w:highlight w:val="none"/>
                <w:lang w:val="en-US" w:eastAsia="zh-CN"/>
              </w:rPr>
              <w:t>1.1</w:t>
            </w:r>
            <w:r>
              <w:rPr>
                <w:color w:val="auto"/>
                <w:sz w:val="24"/>
                <w:highlight w:val="none"/>
              </w:rPr>
              <w:t>t，</w:t>
            </w:r>
            <w:r>
              <w:rPr>
                <w:rFonts w:hint="eastAsia"/>
                <w:color w:val="auto"/>
                <w:sz w:val="24"/>
                <w:highlight w:val="none"/>
              </w:rPr>
              <w:t>排放速率为0.</w:t>
            </w:r>
            <w:r>
              <w:rPr>
                <w:rFonts w:hint="eastAsia"/>
                <w:color w:val="auto"/>
                <w:sz w:val="24"/>
                <w:highlight w:val="none"/>
                <w:lang w:val="en-US" w:eastAsia="zh-CN"/>
              </w:rPr>
              <w:t>126</w:t>
            </w:r>
            <w:r>
              <w:rPr>
                <w:rFonts w:hint="eastAsia"/>
                <w:color w:val="auto"/>
                <w:sz w:val="24"/>
                <w:highlight w:val="none"/>
              </w:rPr>
              <w:t>kg/h。经预测，无组</w:t>
            </w:r>
            <w:r>
              <w:rPr>
                <w:rFonts w:hint="eastAsia"/>
                <w:color w:val="auto"/>
                <w:sz w:val="24"/>
              </w:rPr>
              <w:t>织颗粒物排放浓度</w:t>
            </w:r>
            <w:r>
              <w:rPr>
                <w:color w:val="auto"/>
                <w:sz w:val="24"/>
              </w:rPr>
              <w:t>满足</w:t>
            </w:r>
            <w:r>
              <w:rPr>
                <w:snapToGrid w:val="0"/>
                <w:color w:val="auto"/>
                <w:kern w:val="0"/>
                <w:sz w:val="24"/>
              </w:rPr>
              <w:t>《</w:t>
            </w:r>
            <w:r>
              <w:rPr>
                <w:color w:val="auto"/>
                <w:sz w:val="24"/>
                <w:szCs w:val="24"/>
              </w:rPr>
              <w:t>煤炭工业污染物排放标准》（GB20426-2006）中表5煤炭工业无组织排放限值</w:t>
            </w:r>
            <w:r>
              <w:rPr>
                <w:color w:val="auto"/>
                <w:sz w:val="24"/>
              </w:rPr>
              <w:t>1.0mg/m</w:t>
            </w:r>
            <w:r>
              <w:rPr>
                <w:color w:val="auto"/>
                <w:sz w:val="24"/>
                <w:vertAlign w:val="superscript"/>
              </w:rPr>
              <w:t>3</w:t>
            </w:r>
            <w:r>
              <w:rPr>
                <w:rFonts w:hint="eastAsia" w:ascii="Times New Roman" w:hAnsi="Times New Roman" w:eastAsia="宋体" w:cs="Times New Roman"/>
                <w:color w:val="auto"/>
                <w:spacing w:val="2"/>
                <w:kern w:val="0"/>
                <w:sz w:val="24"/>
                <w:szCs w:val="24"/>
                <w:highlight w:val="none"/>
                <w:lang w:val="en-US" w:eastAsia="zh-CN"/>
              </w:rPr>
              <w:t>。</w:t>
            </w:r>
          </w:p>
          <w:p w14:paraId="29795D94">
            <w:pPr>
              <w:numPr>
                <w:ilvl w:val="0"/>
                <w:numId w:val="0"/>
              </w:numPr>
              <w:tabs>
                <w:tab w:val="left" w:pos="0"/>
              </w:tabs>
              <w:spacing w:line="500" w:lineRule="exact"/>
              <w:ind w:left="0" w:leftChars="0" w:firstLine="0" w:firstLineChars="0"/>
              <w:jc w:val="center"/>
              <w:rPr>
                <w:b/>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23</w:t>
            </w:r>
            <w:r>
              <w:rPr>
                <w:rFonts w:hint="eastAsia"/>
                <w:b/>
                <w:color w:val="auto"/>
                <w:sz w:val="24"/>
                <w:lang w:val="en-US" w:eastAsia="zh-CN"/>
              </w:rPr>
              <w:t xml:space="preserve"> </w:t>
            </w:r>
            <w:r>
              <w:rPr>
                <w:b/>
                <w:color w:val="auto"/>
                <w:sz w:val="24"/>
              </w:rPr>
              <w:t xml:space="preserve"> 本项目大气环境监测计划一览表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2"/>
              <w:gridCol w:w="1193"/>
              <w:gridCol w:w="1117"/>
              <w:gridCol w:w="1044"/>
              <w:gridCol w:w="2889"/>
            </w:tblGrid>
            <w:tr w14:paraId="7A20E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110" w:type="pct"/>
                  <w:tcBorders>
                    <w:tl2br w:val="nil"/>
                    <w:tr2bl w:val="nil"/>
                  </w:tcBorders>
                  <w:vAlign w:val="center"/>
                </w:tcPr>
                <w:p w14:paraId="10D0250B">
                  <w:pPr>
                    <w:spacing w:line="320" w:lineRule="exact"/>
                    <w:jc w:val="center"/>
                    <w:rPr>
                      <w:b/>
                      <w:color w:val="auto"/>
                      <w:szCs w:val="21"/>
                      <w:highlight w:val="none"/>
                    </w:rPr>
                  </w:pPr>
                  <w:r>
                    <w:rPr>
                      <w:b/>
                      <w:color w:val="auto"/>
                      <w:szCs w:val="21"/>
                      <w:highlight w:val="none"/>
                    </w:rPr>
                    <w:t>监测点位</w:t>
                  </w:r>
                </w:p>
              </w:tc>
              <w:tc>
                <w:tcPr>
                  <w:tcW w:w="743" w:type="pct"/>
                  <w:tcBorders>
                    <w:tl2br w:val="nil"/>
                    <w:tr2bl w:val="nil"/>
                  </w:tcBorders>
                  <w:vAlign w:val="center"/>
                </w:tcPr>
                <w:p w14:paraId="67B8311B">
                  <w:pPr>
                    <w:spacing w:line="320" w:lineRule="exact"/>
                    <w:jc w:val="center"/>
                    <w:rPr>
                      <w:b/>
                      <w:color w:val="auto"/>
                      <w:szCs w:val="21"/>
                      <w:highlight w:val="none"/>
                    </w:rPr>
                  </w:pPr>
                  <w:r>
                    <w:rPr>
                      <w:b/>
                      <w:color w:val="auto"/>
                      <w:szCs w:val="21"/>
                      <w:highlight w:val="none"/>
                    </w:rPr>
                    <w:t>监测因子</w:t>
                  </w:r>
                </w:p>
              </w:tc>
              <w:tc>
                <w:tcPr>
                  <w:tcW w:w="696" w:type="pct"/>
                  <w:tcBorders>
                    <w:tl2br w:val="nil"/>
                    <w:tr2bl w:val="nil"/>
                  </w:tcBorders>
                  <w:vAlign w:val="center"/>
                </w:tcPr>
                <w:p w14:paraId="187E1284">
                  <w:pPr>
                    <w:spacing w:line="320" w:lineRule="exact"/>
                    <w:jc w:val="center"/>
                    <w:rPr>
                      <w:b/>
                      <w:color w:val="auto"/>
                      <w:szCs w:val="21"/>
                      <w:highlight w:val="none"/>
                    </w:rPr>
                  </w:pPr>
                  <w:r>
                    <w:rPr>
                      <w:rFonts w:hint="eastAsia"/>
                      <w:b/>
                      <w:color w:val="auto"/>
                      <w:szCs w:val="21"/>
                      <w:highlight w:val="none"/>
                    </w:rPr>
                    <w:t>标准</w:t>
                  </w:r>
                </w:p>
              </w:tc>
              <w:tc>
                <w:tcPr>
                  <w:tcW w:w="650" w:type="pct"/>
                  <w:tcBorders>
                    <w:tl2br w:val="nil"/>
                    <w:tr2bl w:val="nil"/>
                  </w:tcBorders>
                  <w:vAlign w:val="center"/>
                </w:tcPr>
                <w:p w14:paraId="024C7CCF">
                  <w:pPr>
                    <w:spacing w:line="320" w:lineRule="exact"/>
                    <w:jc w:val="center"/>
                    <w:rPr>
                      <w:b/>
                      <w:color w:val="auto"/>
                      <w:szCs w:val="21"/>
                      <w:highlight w:val="none"/>
                    </w:rPr>
                  </w:pPr>
                  <w:r>
                    <w:rPr>
                      <w:b/>
                      <w:color w:val="auto"/>
                      <w:szCs w:val="21"/>
                      <w:highlight w:val="none"/>
                    </w:rPr>
                    <w:t>监测频次</w:t>
                  </w:r>
                </w:p>
              </w:tc>
              <w:tc>
                <w:tcPr>
                  <w:tcW w:w="1799" w:type="pct"/>
                  <w:tcBorders>
                    <w:tl2br w:val="nil"/>
                    <w:tr2bl w:val="nil"/>
                  </w:tcBorders>
                  <w:vAlign w:val="center"/>
                </w:tcPr>
                <w:p w14:paraId="2F33613A">
                  <w:pPr>
                    <w:spacing w:line="320" w:lineRule="exact"/>
                    <w:jc w:val="center"/>
                    <w:rPr>
                      <w:b/>
                      <w:color w:val="auto"/>
                      <w:szCs w:val="21"/>
                      <w:highlight w:val="none"/>
                    </w:rPr>
                  </w:pPr>
                  <w:r>
                    <w:rPr>
                      <w:b/>
                      <w:color w:val="auto"/>
                      <w:szCs w:val="21"/>
                      <w:highlight w:val="none"/>
                    </w:rPr>
                    <w:t>执行排放标准</w:t>
                  </w:r>
                </w:p>
              </w:tc>
            </w:tr>
            <w:tr w14:paraId="587D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110" w:type="pct"/>
                  <w:tcBorders>
                    <w:tl2br w:val="nil"/>
                    <w:tr2bl w:val="nil"/>
                  </w:tcBorders>
                  <w:vAlign w:val="center"/>
                </w:tcPr>
                <w:p w14:paraId="6E956477">
                  <w:pPr>
                    <w:spacing w:line="320" w:lineRule="exact"/>
                    <w:jc w:val="center"/>
                    <w:rPr>
                      <w:color w:val="auto"/>
                      <w:szCs w:val="21"/>
                      <w:highlight w:val="none"/>
                    </w:rPr>
                  </w:pPr>
                  <w:r>
                    <w:rPr>
                      <w:rFonts w:hint="eastAsia"/>
                      <w:color w:val="auto"/>
                      <w:szCs w:val="21"/>
                      <w:highlight w:val="none"/>
                    </w:rPr>
                    <w:t>厂界</w:t>
                  </w:r>
                </w:p>
              </w:tc>
              <w:tc>
                <w:tcPr>
                  <w:tcW w:w="743" w:type="pct"/>
                  <w:tcBorders>
                    <w:tl2br w:val="nil"/>
                    <w:tr2bl w:val="nil"/>
                  </w:tcBorders>
                  <w:vAlign w:val="center"/>
                </w:tcPr>
                <w:p w14:paraId="24B0E55E">
                  <w:pPr>
                    <w:spacing w:line="320" w:lineRule="exact"/>
                    <w:jc w:val="center"/>
                    <w:rPr>
                      <w:color w:val="auto"/>
                      <w:szCs w:val="21"/>
                      <w:highlight w:val="none"/>
                    </w:rPr>
                  </w:pPr>
                  <w:r>
                    <w:rPr>
                      <w:color w:val="auto"/>
                      <w:szCs w:val="21"/>
                      <w:highlight w:val="none"/>
                    </w:rPr>
                    <w:t>颗粒物</w:t>
                  </w:r>
                </w:p>
              </w:tc>
              <w:tc>
                <w:tcPr>
                  <w:tcW w:w="696" w:type="pct"/>
                  <w:tcBorders>
                    <w:tl2br w:val="nil"/>
                    <w:tr2bl w:val="nil"/>
                  </w:tcBorders>
                  <w:vAlign w:val="center"/>
                </w:tcPr>
                <w:p w14:paraId="3CDB3534">
                  <w:pPr>
                    <w:spacing w:line="320" w:lineRule="exact"/>
                    <w:jc w:val="center"/>
                    <w:rPr>
                      <w:color w:val="auto"/>
                      <w:szCs w:val="21"/>
                      <w:highlight w:val="none"/>
                    </w:rPr>
                  </w:pPr>
                  <w:r>
                    <w:rPr>
                      <w:rFonts w:hint="eastAsia"/>
                      <w:color w:val="auto"/>
                      <w:szCs w:val="21"/>
                      <w:highlight w:val="none"/>
                    </w:rPr>
                    <w:t>1.0</w:t>
                  </w:r>
                  <w:r>
                    <w:rPr>
                      <w:color w:val="auto"/>
                      <w:szCs w:val="21"/>
                      <w:highlight w:val="none"/>
                    </w:rPr>
                    <w:t>mg/m</w:t>
                  </w:r>
                  <w:r>
                    <w:rPr>
                      <w:color w:val="auto"/>
                      <w:szCs w:val="21"/>
                      <w:highlight w:val="none"/>
                      <w:vertAlign w:val="superscript"/>
                    </w:rPr>
                    <w:t>3</w:t>
                  </w:r>
                </w:p>
              </w:tc>
              <w:tc>
                <w:tcPr>
                  <w:tcW w:w="650" w:type="pct"/>
                  <w:tcBorders>
                    <w:tl2br w:val="nil"/>
                    <w:tr2bl w:val="nil"/>
                  </w:tcBorders>
                  <w:vAlign w:val="center"/>
                </w:tcPr>
                <w:p w14:paraId="4042E6DC">
                  <w:pPr>
                    <w:spacing w:line="320" w:lineRule="exact"/>
                    <w:jc w:val="center"/>
                    <w:rPr>
                      <w:color w:val="auto"/>
                      <w:szCs w:val="21"/>
                      <w:highlight w:val="none"/>
                    </w:rPr>
                  </w:pPr>
                  <w:r>
                    <w:rPr>
                      <w:color w:val="auto"/>
                      <w:szCs w:val="21"/>
                      <w:highlight w:val="none"/>
                    </w:rPr>
                    <w:t>1次/</w:t>
                  </w:r>
                  <w:r>
                    <w:rPr>
                      <w:rFonts w:hint="eastAsia"/>
                      <w:color w:val="auto"/>
                      <w:szCs w:val="21"/>
                      <w:highlight w:val="none"/>
                    </w:rPr>
                    <w:t>年</w:t>
                  </w:r>
                </w:p>
              </w:tc>
              <w:tc>
                <w:tcPr>
                  <w:tcW w:w="1799" w:type="pct"/>
                  <w:tcBorders>
                    <w:tl2br w:val="nil"/>
                    <w:tr2bl w:val="nil"/>
                  </w:tcBorders>
                  <w:vAlign w:val="center"/>
                </w:tcPr>
                <w:p w14:paraId="52215787">
                  <w:pPr>
                    <w:spacing w:line="320" w:lineRule="exact"/>
                    <w:jc w:val="center"/>
                    <w:rPr>
                      <w:bCs/>
                      <w:color w:val="auto"/>
                      <w:szCs w:val="21"/>
                      <w:highlight w:val="none"/>
                    </w:rPr>
                  </w:pPr>
                  <w:r>
                    <w:rPr>
                      <w:rFonts w:hint="eastAsia"/>
                      <w:bCs/>
                      <w:color w:val="auto"/>
                      <w:sz w:val="21"/>
                      <w:szCs w:val="21"/>
                      <w:highlight w:val="none"/>
                    </w:rPr>
                    <w:t>《煤炭工业污染物排放标准》（GB20426-2006）</w:t>
                  </w:r>
                </w:p>
              </w:tc>
            </w:tr>
          </w:tbl>
          <w:p w14:paraId="68BC31A5">
            <w:pPr>
              <w:spacing w:line="500" w:lineRule="exact"/>
              <w:ind w:firstLine="482" w:firstLineChars="200"/>
              <w:rPr>
                <w:b/>
                <w:color w:val="auto"/>
                <w:sz w:val="24"/>
                <w:highlight w:val="none"/>
              </w:rPr>
            </w:pPr>
            <w:r>
              <w:rPr>
                <w:rFonts w:hint="eastAsia"/>
                <w:b/>
                <w:color w:val="auto"/>
                <w:sz w:val="24"/>
                <w:highlight w:val="none"/>
              </w:rPr>
              <w:t>2.水环境影响分析</w:t>
            </w:r>
          </w:p>
          <w:p w14:paraId="387F216F">
            <w:pPr>
              <w:spacing w:line="500" w:lineRule="exact"/>
              <w:ind w:firstLine="480" w:firstLineChars="200"/>
              <w:rPr>
                <w:rFonts w:hint="eastAsia"/>
                <w:color w:val="auto"/>
                <w:sz w:val="24"/>
              </w:rPr>
            </w:pPr>
            <w:r>
              <w:rPr>
                <w:rFonts w:hint="eastAsia"/>
                <w:color w:val="auto"/>
                <w:sz w:val="24"/>
                <w:lang w:val="en-US" w:eastAsia="zh-CN"/>
              </w:rPr>
              <w:t>①生产用排水：主要为喷淋抑尘用水、洗车用水。</w:t>
            </w:r>
            <w:r>
              <w:rPr>
                <w:rFonts w:hint="eastAsia"/>
                <w:color w:val="auto"/>
                <w:sz w:val="24"/>
              </w:rPr>
              <w:t>喷淋抑尘水直接蒸发；车辆冲洗废水经沉淀池沉淀后回用于洗车，不外排。</w:t>
            </w:r>
          </w:p>
          <w:p w14:paraId="6F106862">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val="en-US" w:eastAsia="zh-CN"/>
              </w:rPr>
              <w:t>②生活污水：职</w:t>
            </w:r>
            <w:r>
              <w:rPr>
                <w:rFonts w:hint="default" w:ascii="Times New Roman" w:hAnsi="Times New Roman" w:cs="Times New Roman"/>
                <w:color w:val="auto"/>
                <w:sz w:val="24"/>
              </w:rPr>
              <w:t>工盥洗及冲厕废水经</w:t>
            </w:r>
            <w:r>
              <w:rPr>
                <w:rFonts w:hint="default" w:ascii="Times New Roman" w:hAnsi="Times New Roman" w:cs="Times New Roman"/>
                <w:color w:val="auto"/>
                <w:sz w:val="24"/>
                <w:lang w:eastAsia="zh-CN"/>
              </w:rPr>
              <w:t>园区污水管网排入园区污水处理厂，</w:t>
            </w:r>
            <w:r>
              <w:rPr>
                <w:rFonts w:hint="default" w:ascii="Times New Roman" w:hAnsi="Times New Roman" w:cs="Times New Roman"/>
                <w:color w:val="auto"/>
                <w:sz w:val="24"/>
              </w:rPr>
              <w:t>盥洗及冲厕废水产生量为0.256m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/d（93.44m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spacing w:val="-8"/>
                <w:sz w:val="24"/>
                <w:szCs w:val="32"/>
              </w:rPr>
              <w:t>海港经济开发区污水处理厂</w:t>
            </w:r>
            <w:r>
              <w:rPr>
                <w:rFonts w:hint="eastAsia"/>
                <w:b w:val="0"/>
                <w:bCs/>
                <w:color w:val="auto"/>
                <w:sz w:val="24"/>
              </w:rPr>
              <w:t>位于海港经济开发区东南部，污水处理采用改良型氧化沟工艺，设计日处理废水 5 万 m</w:t>
            </w:r>
            <w:r>
              <w:rPr>
                <w:rFonts w:hint="eastAsia"/>
                <w:b w:val="0"/>
                <w:bCs/>
                <w:color w:val="auto"/>
                <w:sz w:val="24"/>
                <w:vertAlign w:val="superscript"/>
              </w:rPr>
              <w:t>3</w:t>
            </w:r>
            <w:r>
              <w:rPr>
                <w:rFonts w:hint="eastAsia"/>
                <w:b w:val="0"/>
                <w:bCs/>
                <w:color w:val="auto"/>
                <w:sz w:val="24"/>
              </w:rPr>
              <w:t>/d</w:t>
            </w:r>
            <w:r>
              <w:rPr>
                <w:rFonts w:hint="eastAsia"/>
                <w:b w:val="0"/>
                <w:bCs/>
                <w:color w:val="auto"/>
                <w:sz w:val="24"/>
                <w:lang w:eastAsia="zh-CN"/>
              </w:rPr>
              <w:t>，目前尚有余量，且本项目在</w:t>
            </w:r>
            <w:r>
              <w:rPr>
                <w:spacing w:val="-8"/>
                <w:sz w:val="24"/>
                <w:szCs w:val="32"/>
              </w:rPr>
              <w:t>海港经济开发区污水处理厂</w:t>
            </w:r>
            <w:r>
              <w:rPr>
                <w:rFonts w:hint="eastAsia"/>
                <w:b w:val="0"/>
                <w:bCs/>
                <w:color w:val="auto"/>
                <w:sz w:val="24"/>
                <w:lang w:eastAsia="zh-CN"/>
              </w:rPr>
              <w:t>收水范围之内，故项目废水排入</w:t>
            </w:r>
            <w:r>
              <w:rPr>
                <w:spacing w:val="-8"/>
                <w:sz w:val="24"/>
                <w:szCs w:val="32"/>
              </w:rPr>
              <w:t>海港经济开发区污水处理厂</w:t>
            </w:r>
            <w:r>
              <w:rPr>
                <w:rFonts w:hint="eastAsia"/>
                <w:spacing w:val="-8"/>
                <w:sz w:val="24"/>
                <w:szCs w:val="32"/>
                <w:lang w:eastAsia="zh-CN"/>
              </w:rPr>
              <w:t>措施可行。</w:t>
            </w:r>
          </w:p>
          <w:p w14:paraId="79A1960A">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default" w:ascii="Times New Roman" w:hAnsi="Times New Roman" w:cs="Times New Roman"/>
                <w:b w:val="0"/>
                <w:bCs w:val="0"/>
                <w:color w:val="0000FF"/>
                <w:sz w:val="24"/>
                <w:szCs w:val="24"/>
                <w:highlight w:val="none"/>
                <w:lang w:val="en-US" w:eastAsia="zh-CN"/>
              </w:rPr>
            </w:pPr>
            <w:r>
              <w:rPr>
                <w:rFonts w:hint="default" w:ascii="Times New Roman" w:hAnsi="Times New Roman" w:cs="Times New Roman"/>
                <w:b w:val="0"/>
                <w:bCs w:val="0"/>
                <w:i w:val="0"/>
                <w:iCs w:val="0"/>
                <w:color w:val="0000FF"/>
                <w:sz w:val="24"/>
                <w:szCs w:val="24"/>
                <w:highlight w:val="none"/>
                <w:lang w:val="en-US" w:eastAsia="zh-CN"/>
              </w:rPr>
              <w:t>③</w:t>
            </w:r>
            <w:r>
              <w:rPr>
                <w:rFonts w:hint="default" w:ascii="Times New Roman" w:hAnsi="Times New Roman" w:cs="Times New Roman"/>
                <w:b w:val="0"/>
                <w:bCs w:val="0"/>
                <w:color w:val="0000FF"/>
                <w:sz w:val="24"/>
                <w:szCs w:val="24"/>
                <w:highlight w:val="none"/>
                <w:lang w:val="en-US" w:eastAsia="zh-CN"/>
              </w:rPr>
              <w:t>初期雨水：初期雨水一般含有大量煤尘、煤泥，一旦流入地表水后，煤泥可能淤塞河道，形成煤粉尘沉淀，遮蔽水底、妨害底栖生物，同时含煤粉雨水还对水体产生染色作用，使水的透光率大大降低，影响地表水生态环境。因此，项目在厂区低洼处设初期雨水收集池（占地面积</w:t>
            </w:r>
            <w:r>
              <w:rPr>
                <w:rFonts w:hint="eastAsia" w:cs="Times New Roman"/>
                <w:b w:val="0"/>
                <w:bCs w:val="0"/>
                <w:color w:val="0000FF"/>
                <w:sz w:val="24"/>
                <w:szCs w:val="24"/>
                <w:highlight w:val="none"/>
                <w:lang w:val="en-US" w:eastAsia="zh-CN"/>
              </w:rPr>
              <w:t>150</w:t>
            </w:r>
            <w:r>
              <w:rPr>
                <w:rFonts w:hint="default" w:ascii="Times New Roman" w:hAnsi="Times New Roman" w:cs="Times New Roman"/>
                <w:b w:val="0"/>
                <w:bCs w:val="0"/>
                <w:color w:val="0000FF"/>
                <w:sz w:val="24"/>
                <w:szCs w:val="24"/>
                <w:highlight w:val="none"/>
                <w:lang w:val="en-US" w:eastAsia="zh-CN"/>
              </w:rPr>
              <w:t>平方米，深</w:t>
            </w:r>
            <w:r>
              <w:rPr>
                <w:rFonts w:hint="eastAsia" w:cs="Times New Roman"/>
                <w:b w:val="0"/>
                <w:bCs w:val="0"/>
                <w:color w:val="0000FF"/>
                <w:sz w:val="24"/>
                <w:szCs w:val="24"/>
                <w:highlight w:val="none"/>
                <w:lang w:val="en-US" w:eastAsia="zh-CN"/>
              </w:rPr>
              <w:t>3</w:t>
            </w:r>
            <w:r>
              <w:rPr>
                <w:rFonts w:hint="default" w:ascii="Times New Roman" w:hAnsi="Times New Roman" w:cs="Times New Roman"/>
                <w:b w:val="0"/>
                <w:bCs w:val="0"/>
                <w:color w:val="0000FF"/>
                <w:sz w:val="24"/>
                <w:szCs w:val="24"/>
                <w:highlight w:val="none"/>
                <w:lang w:val="en-US" w:eastAsia="zh-CN"/>
              </w:rPr>
              <w:t>米），</w:t>
            </w:r>
            <w:r>
              <w:rPr>
                <w:rFonts w:hint="eastAsia"/>
                <w:color w:val="0000FF"/>
                <w:sz w:val="24"/>
                <w:szCs w:val="32"/>
                <w:lang w:eastAsia="zh-CN"/>
              </w:rPr>
              <w:t>厂区内设置雨水边沟，</w:t>
            </w:r>
            <w:r>
              <w:rPr>
                <w:rFonts w:hint="eastAsia" w:cs="Times New Roman"/>
                <w:b w:val="0"/>
                <w:bCs w:val="0"/>
                <w:color w:val="0000FF"/>
                <w:sz w:val="24"/>
                <w:szCs w:val="24"/>
                <w:highlight w:val="none"/>
                <w:lang w:val="en-US" w:eastAsia="zh-CN"/>
              </w:rPr>
              <w:t>将雨水收集至初期雨水收集池</w:t>
            </w:r>
            <w:r>
              <w:rPr>
                <w:rFonts w:hint="default" w:ascii="Times New Roman" w:hAnsi="Times New Roman" w:cs="Times New Roman"/>
                <w:b w:val="0"/>
                <w:bCs w:val="0"/>
                <w:color w:val="0000FF"/>
                <w:sz w:val="24"/>
                <w:szCs w:val="24"/>
                <w:highlight w:val="none"/>
                <w:lang w:val="en-US" w:eastAsia="zh-CN"/>
              </w:rPr>
              <w:t>，</w:t>
            </w:r>
            <w:r>
              <w:rPr>
                <w:rFonts w:hint="eastAsia" w:ascii="Times New Roman" w:hAnsi="Times New Roman" w:cs="Times New Roman"/>
                <w:b w:val="0"/>
                <w:bCs w:val="0"/>
                <w:color w:val="0000FF"/>
                <w:sz w:val="24"/>
                <w:szCs w:val="24"/>
                <w:highlight w:val="none"/>
                <w:lang w:val="en-US" w:eastAsia="zh-CN"/>
              </w:rPr>
              <w:t>经沉淀</w:t>
            </w:r>
            <w:r>
              <w:rPr>
                <w:rFonts w:hint="default" w:ascii="Times New Roman" w:hAnsi="Times New Roman" w:cs="Times New Roman"/>
                <w:b w:val="0"/>
                <w:bCs w:val="0"/>
                <w:color w:val="0000FF"/>
                <w:sz w:val="24"/>
                <w:szCs w:val="24"/>
                <w:highlight w:val="none"/>
                <w:lang w:val="en-US" w:eastAsia="zh-CN"/>
              </w:rPr>
              <w:t>后</w:t>
            </w:r>
            <w:r>
              <w:rPr>
                <w:rFonts w:hint="eastAsia" w:ascii="Times New Roman" w:hAnsi="Times New Roman" w:cs="Times New Roman"/>
                <w:b w:val="0"/>
                <w:bCs w:val="0"/>
                <w:color w:val="0000FF"/>
                <w:sz w:val="24"/>
                <w:szCs w:val="24"/>
                <w:highlight w:val="none"/>
                <w:lang w:val="en-US" w:eastAsia="zh-CN"/>
              </w:rPr>
              <w:t>，</w:t>
            </w:r>
            <w:r>
              <w:rPr>
                <w:rFonts w:hint="eastAsia" w:cs="Times New Roman"/>
                <w:b w:val="0"/>
                <w:bCs w:val="0"/>
                <w:color w:val="0000FF"/>
                <w:sz w:val="24"/>
                <w:szCs w:val="24"/>
                <w:highlight w:val="none"/>
                <w:lang w:val="en-US" w:eastAsia="zh-CN"/>
              </w:rPr>
              <w:t>上清水用于厂区抑尘</w:t>
            </w:r>
            <w:r>
              <w:rPr>
                <w:rFonts w:hint="default" w:ascii="Times New Roman" w:hAnsi="Times New Roman" w:cs="Times New Roman"/>
                <w:b w:val="0"/>
                <w:bCs w:val="0"/>
                <w:color w:val="0000FF"/>
                <w:sz w:val="24"/>
                <w:szCs w:val="24"/>
                <w:highlight w:val="none"/>
                <w:lang w:val="en-US" w:eastAsia="zh-CN"/>
              </w:rPr>
              <w:t>；</w:t>
            </w:r>
            <w:r>
              <w:rPr>
                <w:rFonts w:hint="eastAsia" w:cs="Times New Roman"/>
                <w:b w:val="0"/>
                <w:bCs w:val="0"/>
                <w:color w:val="0000FF"/>
                <w:sz w:val="24"/>
                <w:szCs w:val="24"/>
                <w:highlight w:val="none"/>
                <w:lang w:val="en-US" w:eastAsia="zh-CN"/>
              </w:rPr>
              <w:t>屋顶设置雨水收集口，直接联通雨水管网，</w:t>
            </w:r>
            <w:r>
              <w:rPr>
                <w:rFonts w:hint="default" w:ascii="Times New Roman" w:hAnsi="Times New Roman" w:cs="Times New Roman"/>
                <w:b w:val="0"/>
                <w:bCs w:val="0"/>
                <w:color w:val="0000FF"/>
                <w:sz w:val="24"/>
                <w:szCs w:val="24"/>
                <w:highlight w:val="none"/>
                <w:lang w:val="en-US" w:eastAsia="zh-CN"/>
              </w:rPr>
              <w:t>项目初期雨水收集池设于生产厂区最低点，可以保证能全部收集各场地的初期雨水。</w:t>
            </w:r>
          </w:p>
          <w:p w14:paraId="53D10C8E">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default" w:ascii="Times New Roman" w:hAnsi="Times New Roman" w:cs="Times New Roman"/>
                <w:b w:val="0"/>
                <w:bCs w:val="0"/>
                <w:color w:val="0000FF"/>
                <w:sz w:val="24"/>
                <w:szCs w:val="24"/>
                <w:highlight w:val="none"/>
                <w:lang w:val="en-US" w:eastAsia="zh-CN"/>
              </w:rPr>
            </w:pPr>
            <w:r>
              <w:rPr>
                <w:rFonts w:hint="default" w:ascii="Times New Roman" w:hAnsi="Times New Roman" w:cs="Times New Roman"/>
                <w:color w:val="0000FF"/>
                <w:sz w:val="24"/>
                <w:highlight w:val="none"/>
                <w:lang w:val="zh-CN" w:eastAsia="zh-CN"/>
              </w:rPr>
              <w:t>本项目需收集初期雨水的面积约为</w:t>
            </w:r>
            <w:r>
              <w:rPr>
                <w:rFonts w:hint="eastAsia" w:cs="Times New Roman"/>
                <w:color w:val="0000FF"/>
                <w:sz w:val="24"/>
                <w:highlight w:val="none"/>
                <w:lang w:val="en-US" w:eastAsia="zh-CN"/>
              </w:rPr>
              <w:t>23360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2</w:t>
            </w:r>
            <w:r>
              <w:rPr>
                <w:rFonts w:hint="default" w:ascii="Times New Roman" w:hAnsi="Times New Roman" w:cs="Times New Roman"/>
                <w:color w:val="0000FF"/>
                <w:sz w:val="24"/>
                <w:highlight w:val="none"/>
                <w:lang w:val="zh-CN" w:eastAsia="zh-CN"/>
              </w:rPr>
              <w:t>，根据有关资料，唐山地区最大小时暴雨强度约79.9mm，初期雨水的收集时间为开始降雨15分钟时间，混凝土地面径流系数为0.9，厂区初期雨水量：79.9mm/h×15min</w:t>
            </w:r>
            <w:r>
              <w:rPr>
                <w:rFonts w:hint="eastAsia" w:ascii="Times New Roman" w:hAnsi="Times New Roman" w:eastAsia="宋体" w:cs="Times New Roman"/>
                <w:color w:val="0000FF"/>
                <w:sz w:val="24"/>
                <w:highlight w:val="none"/>
                <w:lang w:val="en-US" w:eastAsia="zh-CN"/>
              </w:rPr>
              <w:t>/60</w:t>
            </w:r>
            <w:r>
              <w:rPr>
                <w:rFonts w:hint="default" w:ascii="Times New Roman" w:hAnsi="Times New Roman" w:cs="Times New Roman"/>
                <w:color w:val="0000FF"/>
                <w:sz w:val="24"/>
                <w:highlight w:val="none"/>
                <w:lang w:val="zh-CN" w:eastAsia="zh-CN"/>
              </w:rPr>
              <w:t>×</w:t>
            </w:r>
            <w:r>
              <w:rPr>
                <w:rFonts w:hint="eastAsia" w:cs="Times New Roman"/>
                <w:color w:val="0000FF"/>
                <w:sz w:val="24"/>
                <w:highlight w:val="none"/>
                <w:lang w:val="en-US" w:eastAsia="zh-CN"/>
              </w:rPr>
              <w:t>23360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2</w:t>
            </w:r>
            <w:r>
              <w:rPr>
                <w:rFonts w:hint="default" w:ascii="Times New Roman" w:hAnsi="Times New Roman" w:cs="Times New Roman"/>
                <w:color w:val="0000FF"/>
                <w:sz w:val="24"/>
                <w:highlight w:val="none"/>
                <w:lang w:val="zh-CN" w:eastAsia="zh-CN"/>
              </w:rPr>
              <w:t>×0.9=</w:t>
            </w:r>
            <w:r>
              <w:rPr>
                <w:rFonts w:hint="eastAsia" w:cs="Times New Roman"/>
                <w:color w:val="0000FF"/>
                <w:sz w:val="24"/>
                <w:highlight w:val="none"/>
                <w:lang w:val="en-US" w:eastAsia="zh-CN"/>
              </w:rPr>
              <w:t>419.9</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3</w:t>
            </w:r>
            <w:r>
              <w:rPr>
                <w:rFonts w:hint="default" w:ascii="Times New Roman" w:hAnsi="Times New Roman" w:cs="Times New Roman"/>
                <w:color w:val="0000FF"/>
                <w:sz w:val="24"/>
                <w:highlight w:val="none"/>
                <w:lang w:val="zh-CN" w:eastAsia="zh-CN"/>
              </w:rPr>
              <w:t>，</w:t>
            </w:r>
            <w:r>
              <w:rPr>
                <w:rFonts w:hint="eastAsia" w:ascii="Times New Roman" w:hAnsi="Times New Roman" w:cs="Times New Roman"/>
                <w:color w:val="0000FF"/>
                <w:sz w:val="24"/>
                <w:highlight w:val="none"/>
                <w:lang w:val="zh-CN" w:eastAsia="zh-CN"/>
              </w:rPr>
              <w:t>厂区</w:t>
            </w:r>
            <w:r>
              <w:rPr>
                <w:rFonts w:hint="eastAsia" w:cs="Times New Roman"/>
                <w:color w:val="0000FF"/>
                <w:sz w:val="24"/>
                <w:highlight w:val="none"/>
                <w:lang w:val="zh-CN" w:eastAsia="zh-CN"/>
              </w:rPr>
              <w:t>新建</w:t>
            </w:r>
            <w:r>
              <w:rPr>
                <w:rFonts w:hint="default" w:ascii="Times New Roman" w:hAnsi="Times New Roman" w:cs="Times New Roman"/>
                <w:color w:val="0000FF"/>
                <w:sz w:val="24"/>
                <w:highlight w:val="none"/>
                <w:lang w:val="zh-CN" w:eastAsia="zh-CN"/>
              </w:rPr>
              <w:t>一座</w:t>
            </w:r>
            <w:r>
              <w:rPr>
                <w:rFonts w:hint="eastAsia" w:cs="Times New Roman"/>
                <w:color w:val="0000FF"/>
                <w:sz w:val="24"/>
                <w:highlight w:val="none"/>
                <w:lang w:val="en-US" w:eastAsia="zh-CN"/>
              </w:rPr>
              <w:t>450</w:t>
            </w:r>
            <w:r>
              <w:rPr>
                <w:rFonts w:hint="default" w:ascii="Times New Roman" w:hAnsi="Times New Roman" w:cs="Times New Roman"/>
                <w:color w:val="0000FF"/>
                <w:sz w:val="24"/>
                <w:highlight w:val="none"/>
                <w:lang w:val="zh-CN" w:eastAsia="zh-CN"/>
              </w:rPr>
              <w:t>m</w:t>
            </w:r>
            <w:r>
              <w:rPr>
                <w:rFonts w:hint="default" w:ascii="Times New Roman" w:hAnsi="Times New Roman" w:cs="Times New Roman"/>
                <w:color w:val="0000FF"/>
                <w:sz w:val="24"/>
                <w:highlight w:val="none"/>
                <w:vertAlign w:val="superscript"/>
                <w:lang w:val="zh-CN" w:eastAsia="zh-CN"/>
              </w:rPr>
              <w:t>3</w:t>
            </w:r>
            <w:r>
              <w:rPr>
                <w:rFonts w:hint="default" w:ascii="Times New Roman" w:hAnsi="Times New Roman" w:cs="Times New Roman"/>
                <w:color w:val="0000FF"/>
                <w:sz w:val="24"/>
                <w:highlight w:val="none"/>
                <w:lang w:val="zh-CN" w:eastAsia="zh-CN"/>
              </w:rPr>
              <w:t>初期雨水收集池，能够满足初期雨水的收集要求。</w:t>
            </w:r>
          </w:p>
          <w:p w14:paraId="44C3DE22">
            <w:pPr>
              <w:spacing w:line="500" w:lineRule="exact"/>
              <w:ind w:firstLine="482" w:firstLineChars="200"/>
              <w:rPr>
                <w:b/>
                <w:color w:val="auto"/>
                <w:sz w:val="24"/>
              </w:rPr>
            </w:pPr>
            <w:r>
              <w:rPr>
                <w:rFonts w:hint="eastAsia"/>
                <w:b/>
                <w:color w:val="auto"/>
                <w:sz w:val="24"/>
              </w:rPr>
              <w:t>3.声环境影响分析</w:t>
            </w:r>
          </w:p>
          <w:p w14:paraId="3EFB7640">
            <w:pPr>
              <w:spacing w:line="500" w:lineRule="exact"/>
              <w:ind w:firstLine="480" w:firstLineChars="200"/>
              <w:rPr>
                <w:color w:val="auto"/>
                <w:sz w:val="24"/>
              </w:rPr>
            </w:pPr>
            <w:r>
              <w:rPr>
                <w:rFonts w:hint="eastAsia"/>
                <w:color w:val="auto"/>
                <w:sz w:val="24"/>
              </w:rPr>
              <w:t>（1）噪声源强及污染治理措施</w:t>
            </w:r>
          </w:p>
          <w:p w14:paraId="4CBD0B01">
            <w:pPr>
              <w:spacing w:line="500" w:lineRule="exact"/>
              <w:ind w:firstLine="480" w:firstLineChars="200"/>
              <w:rPr>
                <w:color w:val="auto"/>
                <w:sz w:val="24"/>
              </w:rPr>
            </w:pPr>
            <w:r>
              <w:rPr>
                <w:rFonts w:hint="eastAsia"/>
                <w:color w:val="auto"/>
                <w:sz w:val="24"/>
              </w:rPr>
              <w:t>本项目噪声主要为装载机、计量泵等运行时产生的噪声，源强为</w:t>
            </w:r>
            <w:r>
              <w:rPr>
                <w:rFonts w:hint="eastAsia"/>
                <w:color w:val="auto"/>
                <w:sz w:val="24"/>
                <w:lang w:val="en-US" w:eastAsia="zh-CN"/>
              </w:rPr>
              <w:t>70</w:t>
            </w:r>
            <w:r>
              <w:rPr>
                <w:rFonts w:hint="eastAsia"/>
                <w:color w:val="auto"/>
                <w:sz w:val="24"/>
              </w:rPr>
              <w:t>-85dB(A)，通过对设备加装减振基础，置于封闭的厂房内，可综合降噪10-15dB（A）。项目以场区西南角为坐标原点（0，0，0），具体噪声源强及治理措施见下表。</w:t>
            </w:r>
          </w:p>
          <w:p w14:paraId="38C1D309">
            <w:pPr>
              <w:pStyle w:val="2"/>
              <w:rPr>
                <w:color w:val="auto"/>
              </w:rPr>
            </w:pPr>
          </w:p>
        </w:tc>
      </w:tr>
    </w:tbl>
    <w:p w14:paraId="74A50E34">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3282"/>
      </w:tblGrid>
      <w:tr w14:paraId="0354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2" w:hRule="atLeast"/>
        </w:trPr>
        <w:tc>
          <w:tcPr>
            <w:tcW w:w="892" w:type="dxa"/>
            <w:vAlign w:val="center"/>
          </w:tcPr>
          <w:p w14:paraId="2EDB433E">
            <w:pPr>
              <w:pStyle w:val="6"/>
              <w:ind w:firstLine="0" w:firstLineChars="0"/>
              <w:jc w:val="center"/>
              <w:rPr>
                <w:rFonts w:ascii="Times New Roman" w:hAnsi="Times New Roman" w:eastAsiaTheme="minorEastAsia"/>
                <w:color w:val="auto"/>
                <w:sz w:val="24"/>
                <w:szCs w:val="24"/>
              </w:rPr>
            </w:pPr>
            <w:r>
              <w:rPr>
                <w:rFonts w:ascii="Times New Roman" w:hAnsi="Times New Roman" w:eastAsiaTheme="minorEastAsia"/>
                <w:color w:val="auto"/>
                <w:sz w:val="24"/>
                <w:szCs w:val="24"/>
              </w:rPr>
              <w:t>运营期环境影响和保护措施</w:t>
            </w:r>
          </w:p>
        </w:tc>
        <w:tc>
          <w:tcPr>
            <w:tcW w:w="13282" w:type="dxa"/>
          </w:tcPr>
          <w:p w14:paraId="34C15069">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24 </w:t>
            </w:r>
            <w:r>
              <w:rPr>
                <w:rFonts w:hint="eastAsia"/>
                <w:b/>
                <w:bCs/>
                <w:color w:val="auto"/>
                <w:sz w:val="24"/>
              </w:rPr>
              <w:t xml:space="preserve">  项目生产车间噪声源强  </w:t>
            </w:r>
            <w:r>
              <w:rPr>
                <w:b/>
                <w:bCs/>
                <w:color w:val="auto"/>
                <w:sz w:val="24"/>
              </w:rPr>
              <w:t>dB（A）</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7"/>
              <w:gridCol w:w="837"/>
              <w:gridCol w:w="953"/>
              <w:gridCol w:w="833"/>
              <w:gridCol w:w="916"/>
              <w:gridCol w:w="948"/>
              <w:gridCol w:w="687"/>
              <w:gridCol w:w="647"/>
              <w:gridCol w:w="446"/>
              <w:gridCol w:w="546"/>
              <w:gridCol w:w="768"/>
              <w:gridCol w:w="922"/>
              <w:gridCol w:w="755"/>
              <w:gridCol w:w="1104"/>
              <w:gridCol w:w="1164"/>
              <w:gridCol w:w="1083"/>
            </w:tblGrid>
            <w:tr w14:paraId="03D347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restart"/>
                  <w:tcBorders>
                    <w:tl2br w:val="nil"/>
                    <w:tr2bl w:val="nil"/>
                  </w:tcBorders>
                  <w:vAlign w:val="center"/>
                </w:tcPr>
                <w:p w14:paraId="67D0E9EF">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序号</w:t>
                  </w:r>
                </w:p>
              </w:tc>
              <w:tc>
                <w:tcPr>
                  <w:tcW w:w="321" w:type="pct"/>
                  <w:vMerge w:val="restart"/>
                  <w:tcBorders>
                    <w:tl2br w:val="nil"/>
                    <w:tr2bl w:val="nil"/>
                  </w:tcBorders>
                  <w:vAlign w:val="center"/>
                </w:tcPr>
                <w:p w14:paraId="791E0AFA">
                  <w:pPr>
                    <w:widowControl/>
                    <w:autoSpaceDE w:val="0"/>
                    <w:adjustRightInd w:val="0"/>
                    <w:snapToGrid w:val="0"/>
                    <w:spacing w:line="320" w:lineRule="exact"/>
                    <w:jc w:val="center"/>
                    <w:textAlignment w:val="center"/>
                    <w:rPr>
                      <w:rFonts w:eastAsiaTheme="minorEastAsia"/>
                      <w:b/>
                      <w:color w:val="auto"/>
                      <w:kern w:val="0"/>
                      <w:szCs w:val="21"/>
                    </w:rPr>
                  </w:pPr>
                  <w:r>
                    <w:rPr>
                      <w:rFonts w:eastAsiaTheme="minorEastAsia"/>
                      <w:b/>
                      <w:color w:val="auto"/>
                      <w:kern w:val="0"/>
                      <w:szCs w:val="21"/>
                    </w:rPr>
                    <w:t>建筑物名称</w:t>
                  </w:r>
                </w:p>
              </w:tc>
              <w:tc>
                <w:tcPr>
                  <w:tcW w:w="365" w:type="pct"/>
                  <w:vMerge w:val="restart"/>
                  <w:tcBorders>
                    <w:tl2br w:val="nil"/>
                    <w:tr2bl w:val="nil"/>
                  </w:tcBorders>
                  <w:vAlign w:val="center"/>
                </w:tcPr>
                <w:p w14:paraId="014E3D5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声源名称</w:t>
                  </w:r>
                </w:p>
              </w:tc>
              <w:tc>
                <w:tcPr>
                  <w:tcW w:w="319" w:type="pct"/>
                  <w:vMerge w:val="restart"/>
                  <w:tcBorders>
                    <w:tl2br w:val="nil"/>
                    <w:tr2bl w:val="nil"/>
                  </w:tcBorders>
                  <w:vAlign w:val="center"/>
                </w:tcPr>
                <w:p w14:paraId="4625378A">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型号</w:t>
                  </w:r>
                </w:p>
              </w:tc>
              <w:tc>
                <w:tcPr>
                  <w:tcW w:w="351" w:type="pct"/>
                  <w:vMerge w:val="restart"/>
                  <w:tcBorders>
                    <w:tl2br w:val="nil"/>
                    <w:tr2bl w:val="nil"/>
                  </w:tcBorders>
                  <w:vAlign w:val="center"/>
                </w:tcPr>
                <w:p w14:paraId="536BE5F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声功率级/dB(A)</w:t>
                  </w:r>
                </w:p>
              </w:tc>
              <w:tc>
                <w:tcPr>
                  <w:tcW w:w="363" w:type="pct"/>
                  <w:vMerge w:val="restart"/>
                  <w:tcBorders>
                    <w:tl2br w:val="nil"/>
                    <w:tr2bl w:val="nil"/>
                  </w:tcBorders>
                  <w:vAlign w:val="center"/>
                </w:tcPr>
                <w:p w14:paraId="212DBC89">
                  <w:pPr>
                    <w:widowControl/>
                    <w:spacing w:line="320" w:lineRule="exact"/>
                    <w:jc w:val="center"/>
                    <w:rPr>
                      <w:rFonts w:ascii="Times New Roman" w:hAnsi="Times New Roman" w:eastAsia="宋体" w:cs="Times New Roman"/>
                      <w:color w:val="auto"/>
                      <w:kern w:val="0"/>
                      <w:sz w:val="21"/>
                      <w:szCs w:val="21"/>
                      <w:lang w:val="en-US" w:eastAsia="zh-CN" w:bidi="ar-SA"/>
                    </w:rPr>
                  </w:pPr>
                  <w:r>
                    <w:rPr>
                      <w:rFonts w:hint="eastAsia" w:eastAsiaTheme="minorEastAsia"/>
                      <w:b/>
                      <w:color w:val="auto"/>
                      <w:kern w:val="0"/>
                      <w:szCs w:val="21"/>
                    </w:rPr>
                    <w:t>声源</w:t>
                  </w:r>
                  <w:r>
                    <w:rPr>
                      <w:rFonts w:eastAsiaTheme="minorEastAsia"/>
                      <w:b/>
                      <w:color w:val="auto"/>
                      <w:kern w:val="0"/>
                      <w:szCs w:val="21"/>
                    </w:rPr>
                    <w:t>控制措施</w:t>
                  </w:r>
                </w:p>
                <w:p w14:paraId="3C7B8C7A">
                  <w:pPr>
                    <w:widowControl/>
                    <w:spacing w:line="320" w:lineRule="exact"/>
                    <w:jc w:val="center"/>
                    <w:rPr>
                      <w:rFonts w:ascii="Times New Roman" w:hAnsi="Times New Roman" w:cs="Times New Roman" w:eastAsiaTheme="minorEastAsia"/>
                      <w:color w:val="auto"/>
                      <w:kern w:val="0"/>
                      <w:sz w:val="21"/>
                      <w:szCs w:val="21"/>
                      <w:lang w:val="en-US" w:eastAsia="zh-CN" w:bidi="ar-SA"/>
                    </w:rPr>
                  </w:pPr>
                </w:p>
                <w:p w14:paraId="195EA424">
                  <w:pPr>
                    <w:widowControl/>
                    <w:autoSpaceDE w:val="0"/>
                    <w:adjustRightInd w:val="0"/>
                    <w:snapToGrid w:val="0"/>
                    <w:spacing w:line="320" w:lineRule="exact"/>
                    <w:jc w:val="center"/>
                    <w:textAlignment w:val="center"/>
                    <w:rPr>
                      <w:rFonts w:eastAsiaTheme="minorEastAsia"/>
                      <w:b/>
                      <w:color w:val="auto"/>
                      <w:kern w:val="0"/>
                      <w:szCs w:val="21"/>
                    </w:rPr>
                  </w:pPr>
                </w:p>
              </w:tc>
              <w:tc>
                <w:tcPr>
                  <w:tcW w:w="682" w:type="pct"/>
                  <w:gridSpan w:val="3"/>
                  <w:tcBorders>
                    <w:tl2br w:val="nil"/>
                    <w:tr2bl w:val="nil"/>
                  </w:tcBorders>
                  <w:vAlign w:val="center"/>
                </w:tcPr>
                <w:p w14:paraId="5D045B42">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空间相对位置/m</w:t>
                  </w:r>
                </w:p>
              </w:tc>
              <w:tc>
                <w:tcPr>
                  <w:tcW w:w="503" w:type="pct"/>
                  <w:gridSpan w:val="2"/>
                  <w:tcBorders>
                    <w:tl2br w:val="nil"/>
                    <w:tr2bl w:val="nil"/>
                  </w:tcBorders>
                  <w:vAlign w:val="center"/>
                </w:tcPr>
                <w:p w14:paraId="6CEC9033">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距室内边界距离</w:t>
                  </w:r>
                </w:p>
              </w:tc>
              <w:tc>
                <w:tcPr>
                  <w:tcW w:w="353" w:type="pct"/>
                  <w:vMerge w:val="restart"/>
                  <w:tcBorders>
                    <w:tl2br w:val="nil"/>
                    <w:tr2bl w:val="nil"/>
                  </w:tcBorders>
                  <w:vAlign w:val="center"/>
                </w:tcPr>
                <w:p w14:paraId="3370F2E1">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室内边界声级/dB(A)</w:t>
                  </w:r>
                </w:p>
              </w:tc>
              <w:tc>
                <w:tcPr>
                  <w:tcW w:w="289" w:type="pct"/>
                  <w:vMerge w:val="restart"/>
                  <w:tcBorders>
                    <w:tl2br w:val="nil"/>
                    <w:tr2bl w:val="nil"/>
                  </w:tcBorders>
                  <w:vAlign w:val="center"/>
                </w:tcPr>
                <w:p w14:paraId="556E187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运行时段</w:t>
                  </w:r>
                </w:p>
              </w:tc>
              <w:tc>
                <w:tcPr>
                  <w:tcW w:w="423" w:type="pct"/>
                  <w:vMerge w:val="restart"/>
                  <w:tcBorders>
                    <w:tl2br w:val="nil"/>
                    <w:tr2bl w:val="nil"/>
                  </w:tcBorders>
                  <w:vAlign w:val="center"/>
                </w:tcPr>
                <w:p w14:paraId="1350100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建筑物插入损失/dB(A)</w:t>
                  </w:r>
                </w:p>
              </w:tc>
              <w:tc>
                <w:tcPr>
                  <w:tcW w:w="861" w:type="pct"/>
                  <w:gridSpan w:val="2"/>
                  <w:tcBorders>
                    <w:tl2br w:val="nil"/>
                    <w:tr2bl w:val="nil"/>
                  </w:tcBorders>
                  <w:vAlign w:val="center"/>
                </w:tcPr>
                <w:p w14:paraId="102895F5">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建筑物外噪声</w:t>
                  </w:r>
                </w:p>
              </w:tc>
            </w:tr>
            <w:tr w14:paraId="5665BB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6DFF9BEC">
                  <w:pPr>
                    <w:widowControl/>
                    <w:spacing w:line="320" w:lineRule="exact"/>
                    <w:jc w:val="center"/>
                    <w:rPr>
                      <w:rFonts w:eastAsiaTheme="minorEastAsia"/>
                      <w:b/>
                      <w:color w:val="auto"/>
                      <w:szCs w:val="21"/>
                    </w:rPr>
                  </w:pPr>
                </w:p>
              </w:tc>
              <w:tc>
                <w:tcPr>
                  <w:tcW w:w="321" w:type="pct"/>
                  <w:vMerge w:val="continue"/>
                  <w:tcBorders>
                    <w:tl2br w:val="nil"/>
                    <w:tr2bl w:val="nil"/>
                  </w:tcBorders>
                  <w:vAlign w:val="center"/>
                </w:tcPr>
                <w:p w14:paraId="607A9D57">
                  <w:pPr>
                    <w:widowControl/>
                    <w:spacing w:line="320" w:lineRule="exact"/>
                    <w:jc w:val="center"/>
                    <w:rPr>
                      <w:rFonts w:eastAsiaTheme="minorEastAsia"/>
                      <w:b/>
                      <w:color w:val="auto"/>
                      <w:szCs w:val="21"/>
                    </w:rPr>
                  </w:pPr>
                </w:p>
              </w:tc>
              <w:tc>
                <w:tcPr>
                  <w:tcW w:w="365" w:type="pct"/>
                  <w:vMerge w:val="continue"/>
                  <w:tcBorders>
                    <w:tl2br w:val="nil"/>
                    <w:tr2bl w:val="nil"/>
                  </w:tcBorders>
                  <w:vAlign w:val="center"/>
                </w:tcPr>
                <w:p w14:paraId="2D7CC1F2">
                  <w:pPr>
                    <w:widowControl/>
                    <w:spacing w:line="320" w:lineRule="exact"/>
                    <w:jc w:val="center"/>
                    <w:rPr>
                      <w:rFonts w:eastAsiaTheme="minorEastAsia"/>
                      <w:b/>
                      <w:color w:val="auto"/>
                      <w:szCs w:val="21"/>
                    </w:rPr>
                  </w:pPr>
                </w:p>
              </w:tc>
              <w:tc>
                <w:tcPr>
                  <w:tcW w:w="319" w:type="pct"/>
                  <w:vMerge w:val="continue"/>
                  <w:tcBorders>
                    <w:tl2br w:val="nil"/>
                    <w:tr2bl w:val="nil"/>
                  </w:tcBorders>
                  <w:vAlign w:val="center"/>
                </w:tcPr>
                <w:p w14:paraId="30BD1926">
                  <w:pPr>
                    <w:widowControl/>
                    <w:spacing w:line="320" w:lineRule="exact"/>
                    <w:jc w:val="center"/>
                    <w:rPr>
                      <w:rFonts w:eastAsiaTheme="minorEastAsia"/>
                      <w:b/>
                      <w:color w:val="auto"/>
                      <w:szCs w:val="21"/>
                    </w:rPr>
                  </w:pPr>
                </w:p>
              </w:tc>
              <w:tc>
                <w:tcPr>
                  <w:tcW w:w="351" w:type="pct"/>
                  <w:vMerge w:val="continue"/>
                  <w:tcBorders>
                    <w:tl2br w:val="nil"/>
                    <w:tr2bl w:val="nil"/>
                  </w:tcBorders>
                  <w:vAlign w:val="center"/>
                </w:tcPr>
                <w:p w14:paraId="4BEFF86F">
                  <w:pPr>
                    <w:widowControl/>
                    <w:spacing w:line="320" w:lineRule="exact"/>
                    <w:jc w:val="center"/>
                    <w:rPr>
                      <w:rFonts w:eastAsiaTheme="minorEastAsia"/>
                      <w:b/>
                      <w:color w:val="auto"/>
                      <w:szCs w:val="21"/>
                    </w:rPr>
                  </w:pPr>
                </w:p>
              </w:tc>
              <w:tc>
                <w:tcPr>
                  <w:tcW w:w="363" w:type="pct"/>
                  <w:vMerge w:val="continue"/>
                  <w:tcBorders>
                    <w:tl2br w:val="nil"/>
                    <w:tr2bl w:val="nil"/>
                  </w:tcBorders>
                  <w:vAlign w:val="center"/>
                </w:tcPr>
                <w:p w14:paraId="1C8FB8FD">
                  <w:pPr>
                    <w:widowControl/>
                    <w:autoSpaceDE w:val="0"/>
                    <w:adjustRightInd w:val="0"/>
                    <w:snapToGrid w:val="0"/>
                    <w:spacing w:line="320" w:lineRule="exact"/>
                    <w:jc w:val="center"/>
                    <w:textAlignment w:val="center"/>
                    <w:rPr>
                      <w:rFonts w:eastAsiaTheme="minorEastAsia"/>
                      <w:b/>
                      <w:color w:val="auto"/>
                      <w:kern w:val="0"/>
                      <w:szCs w:val="21"/>
                    </w:rPr>
                  </w:pPr>
                </w:p>
              </w:tc>
              <w:tc>
                <w:tcPr>
                  <w:tcW w:w="263" w:type="pct"/>
                  <w:tcBorders>
                    <w:tl2br w:val="nil"/>
                    <w:tr2bl w:val="nil"/>
                  </w:tcBorders>
                  <w:vAlign w:val="center"/>
                </w:tcPr>
                <w:p w14:paraId="701354C2">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X</w:t>
                  </w:r>
                </w:p>
              </w:tc>
              <w:tc>
                <w:tcPr>
                  <w:tcW w:w="248" w:type="pct"/>
                  <w:tcBorders>
                    <w:tl2br w:val="nil"/>
                    <w:tr2bl w:val="nil"/>
                  </w:tcBorders>
                  <w:vAlign w:val="center"/>
                </w:tcPr>
                <w:p w14:paraId="3261AE2B">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Y</w:t>
                  </w:r>
                </w:p>
              </w:tc>
              <w:tc>
                <w:tcPr>
                  <w:tcW w:w="171" w:type="pct"/>
                  <w:tcBorders>
                    <w:tl2br w:val="nil"/>
                    <w:tr2bl w:val="nil"/>
                  </w:tcBorders>
                  <w:vAlign w:val="center"/>
                </w:tcPr>
                <w:p w14:paraId="790407A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Z</w:t>
                  </w:r>
                </w:p>
              </w:tc>
              <w:tc>
                <w:tcPr>
                  <w:tcW w:w="209" w:type="pct"/>
                  <w:tcBorders>
                    <w:tl2br w:val="nil"/>
                    <w:tr2bl w:val="nil"/>
                  </w:tcBorders>
                  <w:vAlign w:val="center"/>
                </w:tcPr>
                <w:p w14:paraId="228D5880">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边界</w:t>
                  </w:r>
                </w:p>
              </w:tc>
              <w:tc>
                <w:tcPr>
                  <w:tcW w:w="294" w:type="pct"/>
                  <w:tcBorders>
                    <w:tl2br w:val="nil"/>
                    <w:tr2bl w:val="nil"/>
                  </w:tcBorders>
                  <w:vAlign w:val="center"/>
                </w:tcPr>
                <w:p w14:paraId="744CFFB1">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距离/m</w:t>
                  </w:r>
                </w:p>
              </w:tc>
              <w:tc>
                <w:tcPr>
                  <w:tcW w:w="353" w:type="pct"/>
                  <w:vMerge w:val="continue"/>
                  <w:tcBorders>
                    <w:tl2br w:val="nil"/>
                    <w:tr2bl w:val="nil"/>
                  </w:tcBorders>
                  <w:vAlign w:val="center"/>
                </w:tcPr>
                <w:p w14:paraId="47085820">
                  <w:pPr>
                    <w:widowControl/>
                    <w:spacing w:line="320" w:lineRule="exact"/>
                    <w:jc w:val="center"/>
                    <w:rPr>
                      <w:rFonts w:eastAsiaTheme="minorEastAsia"/>
                      <w:b/>
                      <w:color w:val="auto"/>
                      <w:szCs w:val="21"/>
                    </w:rPr>
                  </w:pPr>
                </w:p>
              </w:tc>
              <w:tc>
                <w:tcPr>
                  <w:tcW w:w="289" w:type="pct"/>
                  <w:vMerge w:val="continue"/>
                  <w:tcBorders>
                    <w:tl2br w:val="nil"/>
                    <w:tr2bl w:val="nil"/>
                  </w:tcBorders>
                  <w:vAlign w:val="center"/>
                </w:tcPr>
                <w:p w14:paraId="72C9AE23">
                  <w:pPr>
                    <w:widowControl/>
                    <w:spacing w:line="320" w:lineRule="exact"/>
                    <w:jc w:val="center"/>
                    <w:rPr>
                      <w:rFonts w:eastAsiaTheme="minorEastAsia"/>
                      <w:b/>
                      <w:color w:val="auto"/>
                      <w:szCs w:val="21"/>
                    </w:rPr>
                  </w:pPr>
                </w:p>
              </w:tc>
              <w:tc>
                <w:tcPr>
                  <w:tcW w:w="423" w:type="pct"/>
                  <w:vMerge w:val="continue"/>
                  <w:tcBorders>
                    <w:tl2br w:val="nil"/>
                    <w:tr2bl w:val="nil"/>
                  </w:tcBorders>
                  <w:vAlign w:val="center"/>
                </w:tcPr>
                <w:p w14:paraId="54882149">
                  <w:pPr>
                    <w:widowControl/>
                    <w:spacing w:line="320" w:lineRule="exact"/>
                    <w:jc w:val="center"/>
                    <w:rPr>
                      <w:rFonts w:eastAsiaTheme="minorEastAsia"/>
                      <w:b/>
                      <w:color w:val="auto"/>
                      <w:szCs w:val="21"/>
                    </w:rPr>
                  </w:pPr>
                </w:p>
              </w:tc>
              <w:tc>
                <w:tcPr>
                  <w:tcW w:w="446" w:type="pct"/>
                  <w:tcBorders>
                    <w:tl2br w:val="nil"/>
                    <w:tr2bl w:val="nil"/>
                  </w:tcBorders>
                  <w:vAlign w:val="center"/>
                </w:tcPr>
                <w:p w14:paraId="6F7B0DE4">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声压级/dB(A)</w:t>
                  </w:r>
                </w:p>
              </w:tc>
              <w:tc>
                <w:tcPr>
                  <w:tcW w:w="415" w:type="pct"/>
                  <w:tcBorders>
                    <w:tl2br w:val="nil"/>
                    <w:tr2bl w:val="nil"/>
                  </w:tcBorders>
                  <w:vAlign w:val="center"/>
                </w:tcPr>
                <w:p w14:paraId="46897AAE">
                  <w:pPr>
                    <w:widowControl/>
                    <w:autoSpaceDE w:val="0"/>
                    <w:adjustRightInd w:val="0"/>
                    <w:snapToGrid w:val="0"/>
                    <w:spacing w:line="320" w:lineRule="exact"/>
                    <w:jc w:val="center"/>
                    <w:textAlignment w:val="center"/>
                    <w:rPr>
                      <w:rFonts w:eastAsiaTheme="minorEastAsia"/>
                      <w:b/>
                      <w:color w:val="auto"/>
                      <w:szCs w:val="21"/>
                    </w:rPr>
                  </w:pPr>
                  <w:r>
                    <w:rPr>
                      <w:rFonts w:eastAsiaTheme="minorEastAsia"/>
                      <w:b/>
                      <w:color w:val="auto"/>
                      <w:kern w:val="0"/>
                      <w:szCs w:val="21"/>
                    </w:rPr>
                    <w:t>建筑物外距离/m</w:t>
                  </w:r>
                </w:p>
              </w:tc>
            </w:tr>
            <w:tr w14:paraId="38342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163" w:type="pct"/>
                  <w:vMerge w:val="restart"/>
                  <w:tcBorders>
                    <w:tl2br w:val="nil"/>
                    <w:tr2bl w:val="nil"/>
                  </w:tcBorders>
                  <w:vAlign w:val="center"/>
                </w:tcPr>
                <w:p w14:paraId="11E9FD0B">
                  <w:pPr>
                    <w:widowControl/>
                    <w:autoSpaceDE w:val="0"/>
                    <w:adjustRightInd w:val="0"/>
                    <w:snapToGrid w:val="0"/>
                    <w:spacing w:line="320" w:lineRule="exact"/>
                    <w:jc w:val="center"/>
                    <w:rPr>
                      <w:rFonts w:eastAsiaTheme="minorEastAsia"/>
                      <w:color w:val="auto"/>
                      <w:szCs w:val="21"/>
                    </w:rPr>
                  </w:pPr>
                  <w:r>
                    <w:rPr>
                      <w:rFonts w:eastAsiaTheme="minorEastAsia"/>
                      <w:color w:val="auto"/>
                      <w:szCs w:val="21"/>
                    </w:rPr>
                    <w:t>1</w:t>
                  </w:r>
                </w:p>
              </w:tc>
              <w:tc>
                <w:tcPr>
                  <w:tcW w:w="321" w:type="pct"/>
                  <w:vMerge w:val="restart"/>
                  <w:tcBorders>
                    <w:tl2br w:val="nil"/>
                    <w:tr2bl w:val="nil"/>
                  </w:tcBorders>
                  <w:vAlign w:val="center"/>
                </w:tcPr>
                <w:p w14:paraId="49DA6946">
                  <w:pPr>
                    <w:widowControl/>
                    <w:autoSpaceDE w:val="0"/>
                    <w:adjustRightInd w:val="0"/>
                    <w:snapToGrid w:val="0"/>
                    <w:spacing w:line="320" w:lineRule="exact"/>
                    <w:jc w:val="center"/>
                    <w:rPr>
                      <w:rFonts w:hint="eastAsia" w:eastAsiaTheme="minorEastAsia"/>
                      <w:color w:val="auto"/>
                      <w:kern w:val="0"/>
                      <w:szCs w:val="21"/>
                      <w:lang w:eastAsia="zh-CN"/>
                    </w:rPr>
                  </w:pPr>
                  <w:r>
                    <w:rPr>
                      <w:rFonts w:hint="eastAsia" w:eastAsiaTheme="minorEastAsia"/>
                      <w:color w:val="auto"/>
                      <w:kern w:val="0"/>
                      <w:szCs w:val="21"/>
                    </w:rPr>
                    <w:t>1#</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0306A76E">
                  <w:pPr>
                    <w:widowControl/>
                    <w:autoSpaceDE w:val="0"/>
                    <w:adjustRightInd w:val="0"/>
                    <w:snapToGrid w:val="0"/>
                    <w:spacing w:line="320" w:lineRule="exact"/>
                    <w:jc w:val="center"/>
                    <w:rPr>
                      <w:rFonts w:hint="eastAsia" w:eastAsiaTheme="minorEastAsia"/>
                      <w:color w:val="auto"/>
                      <w:szCs w:val="21"/>
                      <w:lang w:eastAsia="zh-CN"/>
                    </w:rPr>
                  </w:pPr>
                  <w:r>
                    <w:rPr>
                      <w:rFonts w:hint="eastAsia" w:eastAsiaTheme="minorEastAsia"/>
                      <w:color w:val="auto"/>
                      <w:szCs w:val="21"/>
                    </w:rPr>
                    <w:t>装载机</w:t>
                  </w:r>
                </w:p>
              </w:tc>
              <w:tc>
                <w:tcPr>
                  <w:tcW w:w="319" w:type="pct"/>
                  <w:vMerge w:val="restart"/>
                  <w:tcBorders>
                    <w:tl2br w:val="nil"/>
                    <w:tr2bl w:val="nil"/>
                  </w:tcBorders>
                  <w:vAlign w:val="center"/>
                </w:tcPr>
                <w:p w14:paraId="41AC3F6C">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6ABBCE6C">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85</w:t>
                  </w:r>
                </w:p>
              </w:tc>
              <w:tc>
                <w:tcPr>
                  <w:tcW w:w="363" w:type="pct"/>
                  <w:vMerge w:val="restart"/>
                  <w:tcBorders>
                    <w:tl2br w:val="nil"/>
                    <w:tr2bl w:val="nil"/>
                  </w:tcBorders>
                  <w:vAlign w:val="center"/>
                </w:tcPr>
                <w:p w14:paraId="225F576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置于密闭</w:t>
                  </w:r>
                  <w:r>
                    <w:rPr>
                      <w:rFonts w:hint="eastAsia" w:eastAsiaTheme="minorEastAsia"/>
                      <w:color w:val="auto"/>
                      <w:kern w:val="0"/>
                      <w:szCs w:val="21"/>
                    </w:rPr>
                    <w:t>车间内</w:t>
                  </w:r>
                  <w:r>
                    <w:rPr>
                      <w:rFonts w:eastAsiaTheme="minorEastAsia"/>
                      <w:color w:val="auto"/>
                      <w:kern w:val="0"/>
                      <w:szCs w:val="21"/>
                    </w:rPr>
                    <w:t>，设备基础安装减振</w:t>
                  </w:r>
                </w:p>
              </w:tc>
              <w:tc>
                <w:tcPr>
                  <w:tcW w:w="263" w:type="pct"/>
                  <w:vMerge w:val="restart"/>
                  <w:tcBorders>
                    <w:tl2br w:val="nil"/>
                    <w:tr2bl w:val="nil"/>
                  </w:tcBorders>
                  <w:vAlign w:val="center"/>
                </w:tcPr>
                <w:p w14:paraId="1223848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180</w:t>
                  </w:r>
                </w:p>
              </w:tc>
              <w:tc>
                <w:tcPr>
                  <w:tcW w:w="248" w:type="pct"/>
                  <w:vMerge w:val="restart"/>
                  <w:tcBorders>
                    <w:tl2br w:val="nil"/>
                    <w:tr2bl w:val="nil"/>
                  </w:tcBorders>
                  <w:vAlign w:val="center"/>
                </w:tcPr>
                <w:p w14:paraId="7B2A67DA">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24CE00F5">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7E1C4C1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4829C076">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4A14ADB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restart"/>
                  <w:tcBorders>
                    <w:tl2br w:val="nil"/>
                    <w:tr2bl w:val="nil"/>
                  </w:tcBorders>
                  <w:vAlign w:val="center"/>
                </w:tcPr>
                <w:p w14:paraId="709C6499">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昼间</w:t>
                  </w:r>
                </w:p>
              </w:tc>
              <w:tc>
                <w:tcPr>
                  <w:tcW w:w="423" w:type="pct"/>
                  <w:vMerge w:val="restart"/>
                  <w:tcBorders>
                    <w:tl2br w:val="nil"/>
                    <w:tr2bl w:val="nil"/>
                  </w:tcBorders>
                  <w:vAlign w:val="center"/>
                </w:tcPr>
                <w:p w14:paraId="268AD3D7">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15</w:t>
                  </w:r>
                </w:p>
              </w:tc>
              <w:tc>
                <w:tcPr>
                  <w:tcW w:w="446" w:type="pct"/>
                  <w:tcBorders>
                    <w:tl2br w:val="nil"/>
                    <w:tr2bl w:val="nil"/>
                  </w:tcBorders>
                  <w:vAlign w:val="center"/>
                </w:tcPr>
                <w:p w14:paraId="479B4A4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4FBA6BE2">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46A6D1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5D689F41">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D4E9EF7">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F2FB0FB">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6148E77">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5A7D1F5D">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011B791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878DB6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136B8F94">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10E6386">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24A03D6">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4B9634A3">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10CFE172">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58FF8E21">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B0A7002">
                  <w:pPr>
                    <w:widowControl/>
                    <w:spacing w:line="320" w:lineRule="exact"/>
                    <w:jc w:val="center"/>
                    <w:rPr>
                      <w:rFonts w:eastAsiaTheme="minorEastAsia"/>
                      <w:color w:val="auto"/>
                      <w:szCs w:val="21"/>
                    </w:rPr>
                  </w:pPr>
                </w:p>
              </w:tc>
              <w:tc>
                <w:tcPr>
                  <w:tcW w:w="446" w:type="pct"/>
                  <w:tcBorders>
                    <w:tl2br w:val="nil"/>
                    <w:tr2bl w:val="nil"/>
                  </w:tcBorders>
                  <w:vAlign w:val="center"/>
                </w:tcPr>
                <w:p w14:paraId="0996E80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5EEAE5F4">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w:t>
                  </w:r>
                </w:p>
              </w:tc>
            </w:tr>
            <w:tr w14:paraId="51D5BB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20987634">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54903906">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E6EA78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A1B29C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31D789E">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66B3065">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101FFF9">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49B9118">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1B38A6E0">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EF14B75">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6F5FC577">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C75B383">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continue"/>
                  <w:tcBorders>
                    <w:tl2br w:val="nil"/>
                    <w:tr2bl w:val="nil"/>
                  </w:tcBorders>
                  <w:vAlign w:val="center"/>
                </w:tcPr>
                <w:p w14:paraId="041F5BA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BDBFD33">
                  <w:pPr>
                    <w:widowControl/>
                    <w:spacing w:line="320" w:lineRule="exact"/>
                    <w:jc w:val="center"/>
                    <w:rPr>
                      <w:rFonts w:eastAsiaTheme="minorEastAsia"/>
                      <w:color w:val="auto"/>
                      <w:szCs w:val="21"/>
                    </w:rPr>
                  </w:pPr>
                </w:p>
              </w:tc>
              <w:tc>
                <w:tcPr>
                  <w:tcW w:w="446" w:type="pct"/>
                  <w:tcBorders>
                    <w:tl2br w:val="nil"/>
                    <w:tr2bl w:val="nil"/>
                  </w:tcBorders>
                  <w:vAlign w:val="center"/>
                </w:tcPr>
                <w:p w14:paraId="6E60BBD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4E43E84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0F319C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7" w:hRule="atLeast"/>
                <w:jc w:val="center"/>
              </w:trPr>
              <w:tc>
                <w:tcPr>
                  <w:tcW w:w="163" w:type="pct"/>
                  <w:vMerge w:val="continue"/>
                  <w:tcBorders>
                    <w:tl2br w:val="nil"/>
                    <w:tr2bl w:val="nil"/>
                  </w:tcBorders>
                  <w:vAlign w:val="center"/>
                </w:tcPr>
                <w:p w14:paraId="45D414F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22CFE2D3">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B44D315">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74764607">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B399D83">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17FA7156">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2E5315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F682F9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A6EF29E">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54A9B4AD">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5C5087D8">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17236B15">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0A57158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3D8147A2">
                  <w:pPr>
                    <w:widowControl/>
                    <w:spacing w:line="320" w:lineRule="exact"/>
                    <w:jc w:val="center"/>
                    <w:rPr>
                      <w:rFonts w:eastAsiaTheme="minorEastAsia"/>
                      <w:color w:val="auto"/>
                      <w:szCs w:val="21"/>
                    </w:rPr>
                  </w:pPr>
                </w:p>
              </w:tc>
              <w:tc>
                <w:tcPr>
                  <w:tcW w:w="446" w:type="pct"/>
                  <w:tcBorders>
                    <w:tl2br w:val="nil"/>
                    <w:tr2bl w:val="nil"/>
                  </w:tcBorders>
                  <w:vAlign w:val="center"/>
                </w:tcPr>
                <w:p w14:paraId="17C648D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1D298DE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777B0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7" w:hRule="atLeast"/>
                <w:jc w:val="center"/>
              </w:trPr>
              <w:tc>
                <w:tcPr>
                  <w:tcW w:w="163" w:type="pct"/>
                  <w:vMerge w:val="restart"/>
                  <w:tcBorders>
                    <w:tl2br w:val="nil"/>
                    <w:tr2bl w:val="nil"/>
                  </w:tcBorders>
                  <w:vAlign w:val="center"/>
                </w:tcPr>
                <w:p w14:paraId="16241524">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2</w:t>
                  </w:r>
                </w:p>
              </w:tc>
              <w:tc>
                <w:tcPr>
                  <w:tcW w:w="321" w:type="pct"/>
                  <w:vMerge w:val="continue"/>
                  <w:tcBorders>
                    <w:tl2br w:val="nil"/>
                    <w:tr2bl w:val="nil"/>
                  </w:tcBorders>
                  <w:vAlign w:val="center"/>
                </w:tcPr>
                <w:p w14:paraId="6267FB36">
                  <w:pPr>
                    <w:widowControl/>
                    <w:autoSpaceDE w:val="0"/>
                    <w:adjustRightInd w:val="0"/>
                    <w:snapToGrid w:val="0"/>
                    <w:spacing w:line="320" w:lineRule="exact"/>
                    <w:jc w:val="center"/>
                    <w:rPr>
                      <w:rFonts w:eastAsiaTheme="minorEastAsia"/>
                      <w:color w:val="auto"/>
                      <w:szCs w:val="21"/>
                    </w:rPr>
                  </w:pPr>
                </w:p>
              </w:tc>
              <w:tc>
                <w:tcPr>
                  <w:tcW w:w="365" w:type="pct"/>
                  <w:vMerge w:val="restart"/>
                  <w:tcBorders>
                    <w:tl2br w:val="nil"/>
                    <w:tr2bl w:val="nil"/>
                  </w:tcBorders>
                  <w:vAlign w:val="center"/>
                </w:tcPr>
                <w:p w14:paraId="5494E383">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29C62A67">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3925345A">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85</w:t>
                  </w:r>
                </w:p>
              </w:tc>
              <w:tc>
                <w:tcPr>
                  <w:tcW w:w="363" w:type="pct"/>
                  <w:vMerge w:val="continue"/>
                  <w:tcBorders>
                    <w:tl2br w:val="nil"/>
                    <w:tr2bl w:val="nil"/>
                  </w:tcBorders>
                  <w:vAlign w:val="center"/>
                </w:tcPr>
                <w:p w14:paraId="24A9EBCB">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47E2061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185</w:t>
                  </w:r>
                </w:p>
              </w:tc>
              <w:tc>
                <w:tcPr>
                  <w:tcW w:w="248" w:type="pct"/>
                  <w:vMerge w:val="restart"/>
                  <w:tcBorders>
                    <w:tl2br w:val="nil"/>
                    <w:tr2bl w:val="nil"/>
                  </w:tcBorders>
                  <w:vAlign w:val="center"/>
                </w:tcPr>
                <w:p w14:paraId="6AB0C851">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3742A00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34FD99C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23A13724">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5D03D7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vAlign w:val="center"/>
                </w:tcPr>
                <w:p w14:paraId="556C9E71">
                  <w:pPr>
                    <w:widowControl/>
                    <w:autoSpaceDE w:val="0"/>
                    <w:adjustRightInd w:val="0"/>
                    <w:snapToGrid w:val="0"/>
                    <w:spacing w:line="320" w:lineRule="exact"/>
                    <w:jc w:val="center"/>
                    <w:rPr>
                      <w:color w:val="auto"/>
                    </w:rPr>
                  </w:pPr>
                  <w:r>
                    <w:rPr>
                      <w:rFonts w:hint="eastAsia" w:eastAsiaTheme="minorEastAsia"/>
                      <w:color w:val="auto"/>
                      <w:szCs w:val="21"/>
                    </w:rPr>
                    <w:t>昼间</w:t>
                  </w:r>
                </w:p>
              </w:tc>
              <w:tc>
                <w:tcPr>
                  <w:tcW w:w="423" w:type="pct"/>
                  <w:vMerge w:val="restart"/>
                  <w:tcBorders>
                    <w:tl2br w:val="nil"/>
                    <w:tr2bl w:val="nil"/>
                  </w:tcBorders>
                  <w:vAlign w:val="center"/>
                </w:tcPr>
                <w:p w14:paraId="03AA85AF">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15</w:t>
                  </w:r>
                </w:p>
              </w:tc>
              <w:tc>
                <w:tcPr>
                  <w:tcW w:w="446" w:type="pct"/>
                  <w:tcBorders>
                    <w:tl2br w:val="nil"/>
                    <w:tr2bl w:val="nil"/>
                  </w:tcBorders>
                  <w:vAlign w:val="center"/>
                </w:tcPr>
                <w:p w14:paraId="303F614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6A5200A7">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3355C1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5076C167">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522C5E85">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246054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2F73C0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550B7D5">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649D305C">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8D77AFB">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4AA6A6C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0ECD5C2">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944CC87">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3EFA468C">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3E65FD9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72D88BE">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2B94791">
                  <w:pPr>
                    <w:widowControl/>
                    <w:spacing w:line="320" w:lineRule="exact"/>
                    <w:jc w:val="center"/>
                    <w:rPr>
                      <w:rFonts w:eastAsiaTheme="minorEastAsia"/>
                      <w:color w:val="auto"/>
                      <w:szCs w:val="21"/>
                    </w:rPr>
                  </w:pPr>
                </w:p>
              </w:tc>
              <w:tc>
                <w:tcPr>
                  <w:tcW w:w="446" w:type="pct"/>
                  <w:tcBorders>
                    <w:tl2br w:val="nil"/>
                    <w:tr2bl w:val="nil"/>
                  </w:tcBorders>
                  <w:vAlign w:val="center"/>
                </w:tcPr>
                <w:p w14:paraId="3B84A50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3239920A">
                  <w:pPr>
                    <w:widowControl/>
                    <w:autoSpaceDE w:val="0"/>
                    <w:adjustRightInd w:val="0"/>
                    <w:snapToGrid w:val="0"/>
                    <w:spacing w:line="320" w:lineRule="exact"/>
                    <w:jc w:val="center"/>
                    <w:textAlignment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w:t>
                  </w:r>
                </w:p>
              </w:tc>
            </w:tr>
            <w:tr w14:paraId="224A2E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7C9345A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1A89E58">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EB0B4E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C182012">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3FD61B6">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7BB8D723">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6E43F52">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02F789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F551773">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05FF0934">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02A1E81E">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5DD42B7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7F2A4ED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41B7C361">
                  <w:pPr>
                    <w:widowControl/>
                    <w:spacing w:line="320" w:lineRule="exact"/>
                    <w:jc w:val="center"/>
                    <w:rPr>
                      <w:rFonts w:eastAsiaTheme="minorEastAsia"/>
                      <w:color w:val="auto"/>
                      <w:szCs w:val="21"/>
                    </w:rPr>
                  </w:pPr>
                </w:p>
              </w:tc>
              <w:tc>
                <w:tcPr>
                  <w:tcW w:w="446" w:type="pct"/>
                  <w:tcBorders>
                    <w:tl2br w:val="nil"/>
                    <w:tr2bl w:val="nil"/>
                  </w:tcBorders>
                  <w:vAlign w:val="center"/>
                </w:tcPr>
                <w:p w14:paraId="05BB090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0CAF8C2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40F4E4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78C0E3E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7B7E56F9">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37CF633">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AD0998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1DCD97A8">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5261A67">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65A505C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99635E8">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1E67573B">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38BEF8D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1BF13C52">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607F684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1D6FE777">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2B37269">
                  <w:pPr>
                    <w:widowControl/>
                    <w:spacing w:line="320" w:lineRule="exact"/>
                    <w:jc w:val="center"/>
                    <w:rPr>
                      <w:rFonts w:eastAsiaTheme="minorEastAsia"/>
                      <w:color w:val="auto"/>
                      <w:szCs w:val="21"/>
                    </w:rPr>
                  </w:pPr>
                </w:p>
              </w:tc>
              <w:tc>
                <w:tcPr>
                  <w:tcW w:w="446" w:type="pct"/>
                  <w:tcBorders>
                    <w:tl2br w:val="nil"/>
                    <w:tr2bl w:val="nil"/>
                  </w:tcBorders>
                  <w:vAlign w:val="center"/>
                </w:tcPr>
                <w:p w14:paraId="2EEDE889">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229EFCAC">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2A6F2F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163" w:type="pct"/>
                  <w:vMerge w:val="restart"/>
                  <w:tcBorders>
                    <w:tl2br w:val="nil"/>
                    <w:tr2bl w:val="nil"/>
                  </w:tcBorders>
                  <w:vAlign w:val="center"/>
                </w:tcPr>
                <w:p w14:paraId="73632D3C">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3</w:t>
                  </w:r>
                </w:p>
              </w:tc>
              <w:tc>
                <w:tcPr>
                  <w:tcW w:w="321" w:type="pct"/>
                  <w:vMerge w:val="continue"/>
                  <w:tcBorders>
                    <w:tl2br w:val="nil"/>
                    <w:tr2bl w:val="nil"/>
                  </w:tcBorders>
                  <w:vAlign w:val="center"/>
                </w:tcPr>
                <w:p w14:paraId="060E6019">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408D8111">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喷淋装置</w:t>
                  </w:r>
                </w:p>
              </w:tc>
              <w:tc>
                <w:tcPr>
                  <w:tcW w:w="319" w:type="pct"/>
                  <w:vMerge w:val="restart"/>
                  <w:tcBorders>
                    <w:tl2br w:val="nil"/>
                    <w:tr2bl w:val="nil"/>
                  </w:tcBorders>
                  <w:vAlign w:val="center"/>
                </w:tcPr>
                <w:p w14:paraId="63F4686F">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w:t>
                  </w:r>
                </w:p>
              </w:tc>
              <w:tc>
                <w:tcPr>
                  <w:tcW w:w="351" w:type="pct"/>
                  <w:vMerge w:val="restart"/>
                  <w:tcBorders>
                    <w:tl2br w:val="nil"/>
                    <w:tr2bl w:val="nil"/>
                  </w:tcBorders>
                  <w:vAlign w:val="center"/>
                </w:tcPr>
                <w:p w14:paraId="3E16F851">
                  <w:pPr>
                    <w:widowControl/>
                    <w:spacing w:line="320" w:lineRule="exact"/>
                    <w:jc w:val="center"/>
                    <w:rPr>
                      <w:rFonts w:hint="default" w:eastAsiaTheme="minorEastAsia"/>
                      <w:color w:val="auto"/>
                      <w:szCs w:val="21"/>
                      <w:lang w:val="en-US" w:eastAsia="zh-CN"/>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45745518">
                  <w:pPr>
                    <w:widowControl/>
                    <w:spacing w:line="320" w:lineRule="exact"/>
                    <w:jc w:val="center"/>
                    <w:rPr>
                      <w:rFonts w:eastAsiaTheme="minorEastAsia"/>
                      <w:color w:val="auto"/>
                      <w:kern w:val="0"/>
                      <w:szCs w:val="21"/>
                    </w:rPr>
                  </w:pPr>
                </w:p>
              </w:tc>
              <w:tc>
                <w:tcPr>
                  <w:tcW w:w="263" w:type="pct"/>
                  <w:vMerge w:val="restart"/>
                  <w:tcBorders>
                    <w:tl2br w:val="nil"/>
                    <w:tr2bl w:val="nil"/>
                  </w:tcBorders>
                  <w:vAlign w:val="center"/>
                </w:tcPr>
                <w:p w14:paraId="2261706A">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66</w:t>
                  </w:r>
                </w:p>
              </w:tc>
              <w:tc>
                <w:tcPr>
                  <w:tcW w:w="248" w:type="pct"/>
                  <w:vMerge w:val="restart"/>
                  <w:tcBorders>
                    <w:tl2br w:val="nil"/>
                    <w:tr2bl w:val="nil"/>
                  </w:tcBorders>
                  <w:vAlign w:val="center"/>
                </w:tcPr>
                <w:p w14:paraId="55DEA49C">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29</w:t>
                  </w:r>
                </w:p>
              </w:tc>
              <w:tc>
                <w:tcPr>
                  <w:tcW w:w="171" w:type="pct"/>
                  <w:vMerge w:val="restart"/>
                  <w:tcBorders>
                    <w:tl2br w:val="nil"/>
                    <w:tr2bl w:val="nil"/>
                  </w:tcBorders>
                  <w:vAlign w:val="center"/>
                </w:tcPr>
                <w:p w14:paraId="3ECB8C5D">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11</w:t>
                  </w:r>
                </w:p>
              </w:tc>
              <w:tc>
                <w:tcPr>
                  <w:tcW w:w="209" w:type="pct"/>
                  <w:tcBorders>
                    <w:tl2br w:val="nil"/>
                    <w:tr2bl w:val="nil"/>
                  </w:tcBorders>
                  <w:shd w:val="clear" w:color="auto" w:fill="auto"/>
                  <w:vAlign w:val="center"/>
                </w:tcPr>
                <w:p w14:paraId="22F41EB0">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0AD0C5E7">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6D904DF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357F6EE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7D939B47">
                  <w:pPr>
                    <w:widowControl/>
                    <w:spacing w:line="320" w:lineRule="exact"/>
                    <w:jc w:val="center"/>
                    <w:rPr>
                      <w:rFonts w:eastAsiaTheme="minorEastAsia"/>
                      <w:color w:val="auto"/>
                      <w:szCs w:val="21"/>
                    </w:rPr>
                  </w:pPr>
                </w:p>
              </w:tc>
              <w:tc>
                <w:tcPr>
                  <w:tcW w:w="423" w:type="pct"/>
                  <w:vMerge w:val="restart"/>
                  <w:tcBorders>
                    <w:tl2br w:val="nil"/>
                    <w:tr2bl w:val="nil"/>
                  </w:tcBorders>
                  <w:shd w:val="clear" w:color="auto" w:fill="auto"/>
                  <w:vAlign w:val="center"/>
                </w:tcPr>
                <w:p w14:paraId="7B8874EC">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5DEDD4F9">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2F17D2D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3ABC102A">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59DA1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05F81C7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1B8B7E61">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55BBCA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87A00E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6742E651">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32C3B20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959C44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4E39466">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D9EBA7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5B0E829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6006576A">
                  <w:pPr>
                    <w:widowControl/>
                    <w:spacing w:line="320" w:lineRule="exact"/>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3F9B519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49789C6C">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1FB0C613">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1FF4D33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4812B52C">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1D83D4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55E0F98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08B0B84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FB94D78">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9D87B08">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6AA4C770">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66CB35D3">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E1780F9">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5F5870F">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D3D4A7B">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77855B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3B3808F2">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264CE40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334FDDFA">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43B9367">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3E7D878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2E9A258B">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135365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4FC4F3D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479C426B">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3A0A9C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359D3A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DBBFE27">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08002336">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3A9B29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17F3A21">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E1880F2">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6471B463">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0876DFA0">
                  <w:pPr>
                    <w:widowControl/>
                    <w:spacing w:line="320" w:lineRule="exact"/>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4AE90C6C">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12DCF5A7">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BF82DB0">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704AA62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3B418785">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25802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63" w:type="pct"/>
                  <w:vMerge w:val="restart"/>
                  <w:tcBorders>
                    <w:tl2br w:val="nil"/>
                    <w:tr2bl w:val="nil"/>
                  </w:tcBorders>
                  <w:vAlign w:val="center"/>
                </w:tcPr>
                <w:p w14:paraId="5A5368B1">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4</w:t>
                  </w:r>
                </w:p>
              </w:tc>
              <w:tc>
                <w:tcPr>
                  <w:tcW w:w="321" w:type="pct"/>
                  <w:vMerge w:val="continue"/>
                  <w:tcBorders>
                    <w:tl2br w:val="nil"/>
                    <w:tr2bl w:val="nil"/>
                  </w:tcBorders>
                  <w:vAlign w:val="center"/>
                </w:tcPr>
                <w:p w14:paraId="7D741318">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035FBFD2">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水泵</w:t>
                  </w:r>
                </w:p>
              </w:tc>
              <w:tc>
                <w:tcPr>
                  <w:tcW w:w="319" w:type="pct"/>
                  <w:vMerge w:val="restart"/>
                  <w:tcBorders>
                    <w:tl2br w:val="nil"/>
                    <w:tr2bl w:val="nil"/>
                  </w:tcBorders>
                  <w:vAlign w:val="center"/>
                </w:tcPr>
                <w:p w14:paraId="0582CFDF">
                  <w:pPr>
                    <w:widowControl/>
                    <w:spacing w:line="320" w:lineRule="exact"/>
                    <w:jc w:val="center"/>
                    <w:rPr>
                      <w:rFonts w:hint="eastAsia" w:eastAsiaTheme="minorEastAsia"/>
                      <w:color w:val="auto"/>
                      <w:szCs w:val="21"/>
                      <w:lang w:val="en-US" w:eastAsia="zh-CN"/>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0F54E8DA">
                  <w:pPr>
                    <w:widowControl/>
                    <w:spacing w:line="320" w:lineRule="exact"/>
                    <w:jc w:val="center"/>
                    <w:rPr>
                      <w:rFonts w:eastAsiaTheme="minorEastAsia"/>
                      <w:color w:val="auto"/>
                      <w:szCs w:val="21"/>
                    </w:rPr>
                  </w:pPr>
                  <w:r>
                    <w:rPr>
                      <w:rFonts w:hint="eastAsia" w:eastAsia="宋体"/>
                      <w:color w:val="auto"/>
                      <w:kern w:val="0"/>
                      <w:sz w:val="21"/>
                      <w:szCs w:val="21"/>
                      <w:lang w:val="en-US" w:eastAsia="zh-CN"/>
                    </w:rPr>
                    <w:t>75</w:t>
                  </w:r>
                </w:p>
              </w:tc>
              <w:tc>
                <w:tcPr>
                  <w:tcW w:w="363" w:type="pct"/>
                  <w:vMerge w:val="continue"/>
                  <w:tcBorders>
                    <w:tl2br w:val="nil"/>
                    <w:tr2bl w:val="nil"/>
                  </w:tcBorders>
                  <w:shd w:val="clear" w:color="auto" w:fill="auto"/>
                  <w:vAlign w:val="center"/>
                </w:tcPr>
                <w:p w14:paraId="2B2D99F6">
                  <w:pPr>
                    <w:widowControl/>
                    <w:spacing w:line="320" w:lineRule="exact"/>
                    <w:jc w:val="center"/>
                    <w:rPr>
                      <w:rFonts w:eastAsiaTheme="minorEastAsia"/>
                      <w:color w:val="auto"/>
                      <w:kern w:val="0"/>
                      <w:szCs w:val="21"/>
                    </w:rPr>
                  </w:pPr>
                </w:p>
              </w:tc>
              <w:tc>
                <w:tcPr>
                  <w:tcW w:w="263" w:type="pct"/>
                  <w:vMerge w:val="restart"/>
                  <w:tcBorders>
                    <w:tl2br w:val="nil"/>
                    <w:tr2bl w:val="nil"/>
                  </w:tcBorders>
                  <w:shd w:val="clear" w:color="auto" w:fill="auto"/>
                  <w:vAlign w:val="center"/>
                </w:tcPr>
                <w:p w14:paraId="23373E36">
                  <w:pPr>
                    <w:widowControl/>
                    <w:spacing w:line="320" w:lineRule="exact"/>
                    <w:jc w:val="center"/>
                    <w:rPr>
                      <w:rFonts w:hint="default" w:eastAsia="宋体"/>
                      <w:color w:val="auto"/>
                      <w:kern w:val="0"/>
                      <w:szCs w:val="21"/>
                      <w:lang w:val="en-US" w:eastAsia="zh-CN"/>
                    </w:rPr>
                  </w:pPr>
                  <w:r>
                    <w:rPr>
                      <w:rFonts w:hint="eastAsia" w:eastAsia="宋体"/>
                      <w:color w:val="auto"/>
                      <w:kern w:val="0"/>
                      <w:sz w:val="21"/>
                      <w:szCs w:val="21"/>
                    </w:rPr>
                    <w:t>1</w:t>
                  </w:r>
                  <w:r>
                    <w:rPr>
                      <w:rFonts w:hint="eastAsia" w:eastAsia="宋体"/>
                      <w:color w:val="auto"/>
                      <w:kern w:val="0"/>
                      <w:sz w:val="21"/>
                      <w:szCs w:val="21"/>
                      <w:lang w:val="en-US" w:eastAsia="zh-CN"/>
                    </w:rPr>
                    <w:t>32</w:t>
                  </w:r>
                </w:p>
              </w:tc>
              <w:tc>
                <w:tcPr>
                  <w:tcW w:w="248" w:type="pct"/>
                  <w:vMerge w:val="restart"/>
                  <w:tcBorders>
                    <w:tl2br w:val="nil"/>
                    <w:tr2bl w:val="nil"/>
                  </w:tcBorders>
                  <w:shd w:val="clear" w:color="auto" w:fill="auto"/>
                  <w:vAlign w:val="center"/>
                </w:tcPr>
                <w:p w14:paraId="35D48FB1">
                  <w:pPr>
                    <w:widowControl/>
                    <w:spacing w:line="320" w:lineRule="exact"/>
                    <w:jc w:val="center"/>
                    <w:rPr>
                      <w:rFonts w:hint="default" w:eastAsiaTheme="minorEastAsia"/>
                      <w:color w:val="auto"/>
                      <w:kern w:val="0"/>
                      <w:szCs w:val="21"/>
                      <w:lang w:val="en-US"/>
                    </w:rPr>
                  </w:pPr>
                  <w:r>
                    <w:rPr>
                      <w:rFonts w:hint="eastAsia"/>
                      <w:color w:val="auto"/>
                      <w:kern w:val="0"/>
                      <w:sz w:val="21"/>
                      <w:szCs w:val="21"/>
                      <w:lang w:val="en-US" w:eastAsia="zh-CN"/>
                    </w:rPr>
                    <w:t>143</w:t>
                  </w:r>
                </w:p>
              </w:tc>
              <w:tc>
                <w:tcPr>
                  <w:tcW w:w="171" w:type="pct"/>
                  <w:vMerge w:val="restart"/>
                  <w:tcBorders>
                    <w:tl2br w:val="nil"/>
                    <w:tr2bl w:val="nil"/>
                  </w:tcBorders>
                  <w:shd w:val="clear" w:color="auto" w:fill="auto"/>
                  <w:vAlign w:val="center"/>
                </w:tcPr>
                <w:p w14:paraId="103FC053">
                  <w:pPr>
                    <w:widowControl/>
                    <w:spacing w:line="320" w:lineRule="exact"/>
                    <w:jc w:val="center"/>
                    <w:rPr>
                      <w:rFonts w:eastAsiaTheme="minorEastAsia"/>
                      <w:color w:val="auto"/>
                      <w:kern w:val="0"/>
                      <w:szCs w:val="21"/>
                    </w:rPr>
                  </w:pPr>
                  <w:r>
                    <w:rPr>
                      <w:rFonts w:hint="eastAsia" w:eastAsia="宋体"/>
                      <w:color w:val="auto"/>
                      <w:kern w:val="0"/>
                      <w:sz w:val="21"/>
                      <w:szCs w:val="21"/>
                    </w:rPr>
                    <w:t>1</w:t>
                  </w:r>
                </w:p>
              </w:tc>
              <w:tc>
                <w:tcPr>
                  <w:tcW w:w="209" w:type="pct"/>
                  <w:tcBorders>
                    <w:tl2br w:val="nil"/>
                    <w:tr2bl w:val="nil"/>
                  </w:tcBorders>
                  <w:shd w:val="clear" w:color="auto" w:fill="auto"/>
                  <w:vAlign w:val="center"/>
                </w:tcPr>
                <w:p w14:paraId="71CD8CFD">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东</w:t>
                  </w:r>
                </w:p>
              </w:tc>
              <w:tc>
                <w:tcPr>
                  <w:tcW w:w="294" w:type="pct"/>
                  <w:tcBorders>
                    <w:tl2br w:val="nil"/>
                    <w:tr2bl w:val="nil"/>
                  </w:tcBorders>
                  <w:shd w:val="clear" w:color="auto" w:fill="auto"/>
                  <w:vAlign w:val="center"/>
                </w:tcPr>
                <w:p w14:paraId="51560AA5">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45</w:t>
                  </w:r>
                </w:p>
              </w:tc>
              <w:tc>
                <w:tcPr>
                  <w:tcW w:w="353" w:type="pct"/>
                  <w:tcBorders>
                    <w:tl2br w:val="nil"/>
                    <w:tr2bl w:val="nil"/>
                  </w:tcBorders>
                  <w:shd w:val="clear" w:color="auto" w:fill="auto"/>
                  <w:vAlign w:val="center"/>
                </w:tcPr>
                <w:p w14:paraId="0E76699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0D67F1AA">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52D0744D">
                  <w:pPr>
                    <w:widowControl/>
                    <w:spacing w:line="320" w:lineRule="exact"/>
                    <w:jc w:val="center"/>
                    <w:rPr>
                      <w:rFonts w:eastAsiaTheme="minorEastAsia"/>
                      <w:color w:val="auto"/>
                      <w:szCs w:val="21"/>
                    </w:rPr>
                  </w:pPr>
                  <w:r>
                    <w:rPr>
                      <w:rFonts w:hint="eastAsia" w:eastAsiaTheme="minorEastAsia"/>
                      <w:color w:val="auto"/>
                      <w:kern w:val="0"/>
                      <w:szCs w:val="21"/>
                    </w:rPr>
                    <w:t>15</w:t>
                  </w:r>
                </w:p>
              </w:tc>
              <w:tc>
                <w:tcPr>
                  <w:tcW w:w="446" w:type="pct"/>
                  <w:tcBorders>
                    <w:tl2br w:val="nil"/>
                    <w:tr2bl w:val="nil"/>
                  </w:tcBorders>
                  <w:shd w:val="clear" w:color="auto" w:fill="auto"/>
                  <w:vAlign w:val="center"/>
                </w:tcPr>
                <w:p w14:paraId="7589B43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shd w:val="clear" w:color="auto" w:fill="auto"/>
                  <w:vAlign w:val="center"/>
                </w:tcPr>
                <w:p w14:paraId="4956EEF1">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11EC7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53EFBA2E">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7C35FA1D">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D664E31">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1C3514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6A3C4DC">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3A1AC030">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53E3632">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D4BA5B3">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06464EA">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2AC74131">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南</w:t>
                  </w:r>
                </w:p>
              </w:tc>
              <w:tc>
                <w:tcPr>
                  <w:tcW w:w="294" w:type="pct"/>
                  <w:tcBorders>
                    <w:tl2br w:val="nil"/>
                    <w:tr2bl w:val="nil"/>
                  </w:tcBorders>
                  <w:shd w:val="clear" w:color="auto" w:fill="auto"/>
                  <w:vAlign w:val="center"/>
                </w:tcPr>
                <w:p w14:paraId="0D2F990A">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4DBD284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CDDE83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315B631">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08FF431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9847D38">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57DE1A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46B242CB">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6A4EB893">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2B58936">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BA1B2D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78B360A">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BD092A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66E4ADF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16FE82E">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5A734D6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71DECC6B">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西</w:t>
                  </w:r>
                </w:p>
              </w:tc>
              <w:tc>
                <w:tcPr>
                  <w:tcW w:w="294" w:type="pct"/>
                  <w:tcBorders>
                    <w:tl2br w:val="nil"/>
                    <w:tr2bl w:val="nil"/>
                  </w:tcBorders>
                  <w:shd w:val="clear" w:color="auto" w:fill="auto"/>
                  <w:vAlign w:val="center"/>
                </w:tcPr>
                <w:p w14:paraId="3DC2CAC1">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60ADAC2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2BBB5EA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6ED050E">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4EA980E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933C0EF">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46AFD3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 w:hRule="atLeast"/>
                <w:jc w:val="center"/>
              </w:trPr>
              <w:tc>
                <w:tcPr>
                  <w:tcW w:w="163" w:type="pct"/>
                  <w:vMerge w:val="continue"/>
                  <w:tcBorders>
                    <w:tl2br w:val="nil"/>
                    <w:tr2bl w:val="nil"/>
                  </w:tcBorders>
                  <w:vAlign w:val="center"/>
                </w:tcPr>
                <w:p w14:paraId="0366F22C">
                  <w:pPr>
                    <w:widowControl/>
                    <w:spacing w:line="320" w:lineRule="exact"/>
                    <w:jc w:val="center"/>
                    <w:rPr>
                      <w:rFonts w:eastAsiaTheme="minorEastAsia"/>
                      <w:color w:val="auto"/>
                      <w:szCs w:val="21"/>
                    </w:rPr>
                  </w:pPr>
                </w:p>
              </w:tc>
              <w:tc>
                <w:tcPr>
                  <w:tcW w:w="321" w:type="pct"/>
                  <w:vMerge w:val="continue"/>
                  <w:tcBorders>
                    <w:tl2br w:val="nil"/>
                    <w:tr2bl w:val="nil"/>
                  </w:tcBorders>
                  <w:vAlign w:val="center"/>
                </w:tcPr>
                <w:p w14:paraId="0050CDD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C6CB712">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84F51A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3BDCDA96">
                  <w:pPr>
                    <w:widowControl/>
                    <w:spacing w:line="320" w:lineRule="exact"/>
                    <w:jc w:val="center"/>
                    <w:rPr>
                      <w:rFonts w:eastAsiaTheme="minorEastAsia"/>
                      <w:color w:val="auto"/>
                      <w:szCs w:val="21"/>
                    </w:rPr>
                  </w:pPr>
                </w:p>
              </w:tc>
              <w:tc>
                <w:tcPr>
                  <w:tcW w:w="363" w:type="pct"/>
                  <w:vMerge w:val="continue"/>
                  <w:tcBorders>
                    <w:tl2br w:val="nil"/>
                    <w:tr2bl w:val="nil"/>
                  </w:tcBorders>
                  <w:vAlign w:val="center"/>
                </w:tcPr>
                <w:p w14:paraId="22CADEC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72C6C4A6">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9BC275A">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B061F07">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49DE6BF0">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北</w:t>
                  </w:r>
                </w:p>
              </w:tc>
              <w:tc>
                <w:tcPr>
                  <w:tcW w:w="294" w:type="pct"/>
                  <w:tcBorders>
                    <w:tl2br w:val="nil"/>
                    <w:tr2bl w:val="nil"/>
                  </w:tcBorders>
                  <w:shd w:val="clear" w:color="auto" w:fill="auto"/>
                  <w:vAlign w:val="center"/>
                </w:tcPr>
                <w:p w14:paraId="2A3193C7">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175</w:t>
                  </w:r>
                </w:p>
              </w:tc>
              <w:tc>
                <w:tcPr>
                  <w:tcW w:w="353" w:type="pct"/>
                  <w:tcBorders>
                    <w:tl2br w:val="nil"/>
                    <w:tr2bl w:val="nil"/>
                  </w:tcBorders>
                  <w:shd w:val="clear" w:color="auto" w:fill="auto"/>
                  <w:vAlign w:val="center"/>
                </w:tcPr>
                <w:p w14:paraId="76AF591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32E90E7C">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7F8CF2A0">
                  <w:pPr>
                    <w:widowControl/>
                    <w:spacing w:line="320" w:lineRule="exact"/>
                    <w:jc w:val="center"/>
                    <w:rPr>
                      <w:rFonts w:eastAsiaTheme="minorEastAsia"/>
                      <w:color w:val="auto"/>
                      <w:szCs w:val="21"/>
                    </w:rPr>
                  </w:pPr>
                </w:p>
              </w:tc>
              <w:tc>
                <w:tcPr>
                  <w:tcW w:w="446" w:type="pct"/>
                  <w:tcBorders>
                    <w:tl2br w:val="nil"/>
                    <w:tr2bl w:val="nil"/>
                  </w:tcBorders>
                  <w:shd w:val="clear" w:color="auto" w:fill="auto"/>
                  <w:vAlign w:val="center"/>
                </w:tcPr>
                <w:p w14:paraId="09790E9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shd w:val="clear" w:color="auto" w:fill="auto"/>
                  <w:vAlign w:val="center"/>
                </w:tcPr>
                <w:p w14:paraId="070C1C05">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F535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restart"/>
                  <w:tcBorders>
                    <w:tl2br w:val="nil"/>
                    <w:tr2bl w:val="nil"/>
                  </w:tcBorders>
                  <w:vAlign w:val="center"/>
                </w:tcPr>
                <w:p w14:paraId="23A13509">
                  <w:pPr>
                    <w:widowControl/>
                    <w:autoSpaceDE w:val="0"/>
                    <w:adjustRightInd w:val="0"/>
                    <w:snapToGrid w:val="0"/>
                    <w:spacing w:line="320" w:lineRule="exact"/>
                    <w:jc w:val="center"/>
                    <w:textAlignment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5</w:t>
                  </w:r>
                </w:p>
              </w:tc>
              <w:tc>
                <w:tcPr>
                  <w:tcW w:w="321" w:type="pct"/>
                  <w:vMerge w:val="restart"/>
                  <w:tcBorders>
                    <w:tl2br w:val="nil"/>
                    <w:tr2bl w:val="nil"/>
                  </w:tcBorders>
                  <w:vAlign w:val="center"/>
                </w:tcPr>
                <w:p w14:paraId="7068AAA0">
                  <w:pPr>
                    <w:adjustRightInd w:val="0"/>
                    <w:snapToGrid w:val="0"/>
                    <w:spacing w:line="320" w:lineRule="exact"/>
                    <w:jc w:val="center"/>
                    <w:rPr>
                      <w:rFonts w:eastAsiaTheme="minorEastAsia"/>
                      <w:color w:val="auto"/>
                      <w:szCs w:val="21"/>
                    </w:rPr>
                  </w:pPr>
                  <w:r>
                    <w:rPr>
                      <w:rFonts w:hint="eastAsia" w:eastAsiaTheme="minorEastAsia"/>
                      <w:color w:val="auto"/>
                      <w:kern w:val="0"/>
                      <w:szCs w:val="21"/>
                    </w:rPr>
                    <w:t>2#</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2BE9350B">
                  <w:pPr>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72FEB9AB">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3A17DE5A">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85</w:t>
                  </w:r>
                </w:p>
              </w:tc>
              <w:tc>
                <w:tcPr>
                  <w:tcW w:w="363" w:type="pct"/>
                  <w:vMerge w:val="continue"/>
                  <w:tcBorders>
                    <w:tl2br w:val="nil"/>
                    <w:tr2bl w:val="nil"/>
                  </w:tcBorders>
                  <w:vAlign w:val="center"/>
                </w:tcPr>
                <w:p w14:paraId="70B6D923">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0AE8DE9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125</w:t>
                  </w:r>
                </w:p>
              </w:tc>
              <w:tc>
                <w:tcPr>
                  <w:tcW w:w="248" w:type="pct"/>
                  <w:vMerge w:val="restart"/>
                  <w:tcBorders>
                    <w:tl2br w:val="nil"/>
                    <w:tr2bl w:val="nil"/>
                  </w:tcBorders>
                  <w:vAlign w:val="center"/>
                </w:tcPr>
                <w:p w14:paraId="0D642CD4">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2BD43F2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13EBB3FC">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58F34406">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722C4B15">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restart"/>
                  <w:tcBorders>
                    <w:tl2br w:val="nil"/>
                    <w:tr2bl w:val="nil"/>
                  </w:tcBorders>
                  <w:shd w:val="clear" w:color="auto" w:fill="auto"/>
                  <w:vAlign w:val="center"/>
                </w:tcPr>
                <w:p w14:paraId="1E9983C7">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076E2E28">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vAlign w:val="center"/>
                </w:tcPr>
                <w:p w14:paraId="635D4A7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5F7C31CB">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026326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A0C18A6">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E74060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E7A4BD1">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6D027F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623BE0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2DFD39DF">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5B042D1">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4C39D25">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0477756">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6001421E">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1A1BE4F2">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7534DBB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4A9E8A7">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1B35F21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B77868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02E8FA5B">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622DA0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jc w:val="center"/>
              </w:trPr>
              <w:tc>
                <w:tcPr>
                  <w:tcW w:w="163" w:type="pct"/>
                  <w:vMerge w:val="continue"/>
                  <w:tcBorders>
                    <w:tl2br w:val="nil"/>
                    <w:tr2bl w:val="nil"/>
                  </w:tcBorders>
                  <w:vAlign w:val="center"/>
                </w:tcPr>
                <w:p w14:paraId="75A9393F">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24AA610B">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79D0963A">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F04E3CC">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2FA57E6">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5108A25D">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168064E0">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E17D0EC">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EFEC257">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1A0D91C6">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3925D940">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4ECD55C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continue"/>
                  <w:tcBorders>
                    <w:tl2br w:val="nil"/>
                    <w:tr2bl w:val="nil"/>
                  </w:tcBorders>
                  <w:vAlign w:val="center"/>
                </w:tcPr>
                <w:p w14:paraId="370F06B3">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77885281">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F48D60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6EFC5DA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10951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8DA59B2">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414C730">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B2192BC">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93E5B41">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5E68538D">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20D8938E">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7611B7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1C9D7D4B">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A4389ED">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586C12EE">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4812940B">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4DDF5B7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565E8194">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0A9ECC92">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BDBE07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78BBFBF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1FEAE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163" w:type="pct"/>
                  <w:vMerge w:val="restart"/>
                  <w:tcBorders>
                    <w:tl2br w:val="nil"/>
                    <w:tr2bl w:val="nil"/>
                  </w:tcBorders>
                  <w:vAlign w:val="center"/>
                </w:tcPr>
                <w:p w14:paraId="768C7B1F">
                  <w:pPr>
                    <w:widowControl/>
                    <w:autoSpaceDE w:val="0"/>
                    <w:adjustRightInd w:val="0"/>
                    <w:snapToGrid w:val="0"/>
                    <w:spacing w:line="320" w:lineRule="exact"/>
                    <w:jc w:val="center"/>
                    <w:textAlignment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6</w:t>
                  </w:r>
                </w:p>
              </w:tc>
              <w:tc>
                <w:tcPr>
                  <w:tcW w:w="321" w:type="pct"/>
                  <w:vMerge w:val="continue"/>
                  <w:tcBorders>
                    <w:tl2br w:val="nil"/>
                    <w:tr2bl w:val="nil"/>
                  </w:tcBorders>
                  <w:vAlign w:val="center"/>
                </w:tcPr>
                <w:p w14:paraId="7628D8CC">
                  <w:pPr>
                    <w:adjustRightInd w:val="0"/>
                    <w:snapToGrid w:val="0"/>
                    <w:spacing w:line="320" w:lineRule="exact"/>
                    <w:jc w:val="center"/>
                    <w:rPr>
                      <w:rFonts w:eastAsiaTheme="minorEastAsia"/>
                      <w:color w:val="auto"/>
                      <w:szCs w:val="21"/>
                    </w:rPr>
                  </w:pPr>
                </w:p>
              </w:tc>
              <w:tc>
                <w:tcPr>
                  <w:tcW w:w="365" w:type="pct"/>
                  <w:vMerge w:val="restart"/>
                  <w:tcBorders>
                    <w:tl2br w:val="nil"/>
                    <w:tr2bl w:val="nil"/>
                  </w:tcBorders>
                  <w:vAlign w:val="center"/>
                </w:tcPr>
                <w:p w14:paraId="250CF236">
                  <w:pPr>
                    <w:adjustRightInd w:val="0"/>
                    <w:snapToGrid w:val="0"/>
                    <w:spacing w:line="320" w:lineRule="exact"/>
                    <w:jc w:val="center"/>
                    <w:rPr>
                      <w:rFonts w:eastAsiaTheme="minorEastAsia"/>
                      <w:color w:val="auto"/>
                      <w:szCs w:val="21"/>
                    </w:rPr>
                  </w:pPr>
                  <w:r>
                    <w:rPr>
                      <w:rFonts w:hint="eastAsia" w:eastAsiaTheme="minorEastAsia"/>
                      <w:color w:val="auto"/>
                      <w:szCs w:val="21"/>
                    </w:rPr>
                    <w:t>装载机</w:t>
                  </w:r>
                </w:p>
              </w:tc>
              <w:tc>
                <w:tcPr>
                  <w:tcW w:w="319" w:type="pct"/>
                  <w:vMerge w:val="restart"/>
                  <w:tcBorders>
                    <w:tl2br w:val="nil"/>
                    <w:tr2bl w:val="nil"/>
                  </w:tcBorders>
                  <w:vAlign w:val="center"/>
                </w:tcPr>
                <w:p w14:paraId="2BFF56CE">
                  <w:pPr>
                    <w:widowControl/>
                    <w:autoSpaceDE w:val="0"/>
                    <w:adjustRightInd w:val="0"/>
                    <w:snapToGrid w:val="0"/>
                    <w:spacing w:line="320" w:lineRule="exact"/>
                    <w:jc w:val="center"/>
                    <w:rPr>
                      <w:rFonts w:eastAsiaTheme="minorEastAsia"/>
                      <w:color w:val="auto"/>
                      <w:szCs w:val="21"/>
                    </w:rPr>
                  </w:pPr>
                  <w:r>
                    <w:rPr>
                      <w:rFonts w:hint="eastAsia" w:eastAsiaTheme="minorEastAsia"/>
                      <w:color w:val="auto"/>
                      <w:szCs w:val="21"/>
                    </w:rPr>
                    <w:t>-</w:t>
                  </w:r>
                </w:p>
              </w:tc>
              <w:tc>
                <w:tcPr>
                  <w:tcW w:w="351" w:type="pct"/>
                  <w:vMerge w:val="restart"/>
                  <w:tcBorders>
                    <w:tl2br w:val="nil"/>
                    <w:tr2bl w:val="nil"/>
                  </w:tcBorders>
                  <w:vAlign w:val="center"/>
                </w:tcPr>
                <w:p w14:paraId="5254B1BB">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85</w:t>
                  </w:r>
                </w:p>
              </w:tc>
              <w:tc>
                <w:tcPr>
                  <w:tcW w:w="363" w:type="pct"/>
                  <w:vMerge w:val="continue"/>
                  <w:tcBorders>
                    <w:tl2br w:val="nil"/>
                    <w:tr2bl w:val="nil"/>
                  </w:tcBorders>
                  <w:vAlign w:val="center"/>
                </w:tcPr>
                <w:p w14:paraId="31E96F87">
                  <w:pPr>
                    <w:widowControl/>
                    <w:autoSpaceDE w:val="0"/>
                    <w:adjustRightInd w:val="0"/>
                    <w:snapToGrid w:val="0"/>
                    <w:spacing w:line="320" w:lineRule="exact"/>
                    <w:jc w:val="center"/>
                    <w:textAlignment w:val="center"/>
                    <w:rPr>
                      <w:rFonts w:eastAsiaTheme="minorEastAsia"/>
                      <w:color w:val="auto"/>
                      <w:kern w:val="0"/>
                      <w:szCs w:val="21"/>
                    </w:rPr>
                  </w:pPr>
                </w:p>
              </w:tc>
              <w:tc>
                <w:tcPr>
                  <w:tcW w:w="263" w:type="pct"/>
                  <w:vMerge w:val="restart"/>
                  <w:tcBorders>
                    <w:tl2br w:val="nil"/>
                    <w:tr2bl w:val="nil"/>
                  </w:tcBorders>
                  <w:vAlign w:val="center"/>
                </w:tcPr>
                <w:p w14:paraId="62AADCBD">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130</w:t>
                  </w:r>
                </w:p>
              </w:tc>
              <w:tc>
                <w:tcPr>
                  <w:tcW w:w="248" w:type="pct"/>
                  <w:vMerge w:val="restart"/>
                  <w:tcBorders>
                    <w:tl2br w:val="nil"/>
                    <w:tr2bl w:val="nil"/>
                  </w:tcBorders>
                  <w:vAlign w:val="center"/>
                </w:tcPr>
                <w:p w14:paraId="0D16A6E9">
                  <w:pPr>
                    <w:widowControl/>
                    <w:autoSpaceDE w:val="0"/>
                    <w:adjustRightInd w:val="0"/>
                    <w:snapToGrid w:val="0"/>
                    <w:spacing w:line="320" w:lineRule="exact"/>
                    <w:jc w:val="center"/>
                    <w:textAlignment w:val="center"/>
                  </w:pPr>
                  <w:r>
                    <w:rPr>
                      <w:rFonts w:hint="eastAsia" w:eastAsiaTheme="minorEastAsia"/>
                      <w:color w:val="auto"/>
                      <w:kern w:val="0"/>
                      <w:szCs w:val="21"/>
                      <w:lang w:val="en-US" w:eastAsia="zh-CN"/>
                    </w:rPr>
                    <w:t>187</w:t>
                  </w:r>
                </w:p>
              </w:tc>
              <w:tc>
                <w:tcPr>
                  <w:tcW w:w="171" w:type="pct"/>
                  <w:vMerge w:val="restart"/>
                  <w:tcBorders>
                    <w:tl2br w:val="nil"/>
                    <w:tr2bl w:val="nil"/>
                  </w:tcBorders>
                  <w:vAlign w:val="center"/>
                </w:tcPr>
                <w:p w14:paraId="4309107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c>
                <w:tcPr>
                  <w:tcW w:w="209" w:type="pct"/>
                  <w:tcBorders>
                    <w:tl2br w:val="nil"/>
                    <w:tr2bl w:val="nil"/>
                  </w:tcBorders>
                  <w:vAlign w:val="center"/>
                </w:tcPr>
                <w:p w14:paraId="0B2D661C">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东</w:t>
                  </w:r>
                </w:p>
              </w:tc>
              <w:tc>
                <w:tcPr>
                  <w:tcW w:w="294" w:type="pct"/>
                  <w:tcBorders>
                    <w:tl2br w:val="nil"/>
                    <w:tr2bl w:val="nil"/>
                  </w:tcBorders>
                  <w:vAlign w:val="center"/>
                </w:tcPr>
                <w:p w14:paraId="7AFC79A8">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25</w:t>
                  </w:r>
                </w:p>
              </w:tc>
              <w:tc>
                <w:tcPr>
                  <w:tcW w:w="353" w:type="pct"/>
                  <w:tcBorders>
                    <w:tl2br w:val="nil"/>
                    <w:tr2bl w:val="nil"/>
                  </w:tcBorders>
                  <w:vAlign w:val="center"/>
                </w:tcPr>
                <w:p w14:paraId="2CA99F5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16A73102">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443D4EBE">
                  <w:pPr>
                    <w:widowControl/>
                    <w:autoSpaceDE w:val="0"/>
                    <w:adjustRightInd w:val="0"/>
                    <w:snapToGrid w:val="0"/>
                    <w:spacing w:line="320" w:lineRule="exact"/>
                    <w:jc w:val="center"/>
                    <w:rPr>
                      <w:color w:val="auto"/>
                    </w:rPr>
                  </w:pPr>
                </w:p>
              </w:tc>
              <w:tc>
                <w:tcPr>
                  <w:tcW w:w="423" w:type="pct"/>
                  <w:vMerge w:val="restart"/>
                  <w:tcBorders>
                    <w:tl2br w:val="nil"/>
                    <w:tr2bl w:val="nil"/>
                  </w:tcBorders>
                  <w:shd w:val="clear" w:color="auto" w:fill="auto"/>
                  <w:vAlign w:val="center"/>
                </w:tcPr>
                <w:p w14:paraId="7C15ACD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5C76DE5A">
                  <w:pPr>
                    <w:widowControl/>
                    <w:autoSpaceDE w:val="0"/>
                    <w:adjustRightInd w:val="0"/>
                    <w:snapToGrid w:val="0"/>
                    <w:spacing w:line="320" w:lineRule="exact"/>
                    <w:jc w:val="center"/>
                    <w:rPr>
                      <w:rFonts w:eastAsiaTheme="minorEastAsia"/>
                      <w:color w:val="auto"/>
                      <w:kern w:val="0"/>
                      <w:szCs w:val="21"/>
                    </w:rPr>
                  </w:pPr>
                </w:p>
              </w:tc>
              <w:tc>
                <w:tcPr>
                  <w:tcW w:w="446" w:type="pct"/>
                  <w:tcBorders>
                    <w:tl2br w:val="nil"/>
                    <w:tr2bl w:val="nil"/>
                  </w:tcBorders>
                  <w:vAlign w:val="center"/>
                </w:tcPr>
                <w:p w14:paraId="0A8ED09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vAlign w:val="center"/>
                </w:tcPr>
                <w:p w14:paraId="7C9CE25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4A6D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1B84EAA3">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6AEEE08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1255A777">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A2A31B5">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967D4F3">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19495DEF">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5AF3C0E">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845BA81">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E87EC0A">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CDAA017">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南</w:t>
                  </w:r>
                </w:p>
              </w:tc>
              <w:tc>
                <w:tcPr>
                  <w:tcW w:w="294" w:type="pct"/>
                  <w:tcBorders>
                    <w:tl2br w:val="nil"/>
                    <w:tr2bl w:val="nil"/>
                  </w:tcBorders>
                  <w:vAlign w:val="center"/>
                </w:tcPr>
                <w:p w14:paraId="5D51A3E4">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5</w:t>
                  </w:r>
                </w:p>
              </w:tc>
              <w:tc>
                <w:tcPr>
                  <w:tcW w:w="353" w:type="pct"/>
                  <w:tcBorders>
                    <w:tl2br w:val="nil"/>
                    <w:tr2bl w:val="nil"/>
                  </w:tcBorders>
                  <w:vAlign w:val="center"/>
                </w:tcPr>
                <w:p w14:paraId="25F5563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0860C0C6">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4E54BE66">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52655B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vAlign w:val="center"/>
                </w:tcPr>
                <w:p w14:paraId="12AA724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40E0A3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60D214E7">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3528EDA6">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41826BB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6E7AC2E4">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56C0DB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FC3605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705BD64">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1A24BF7">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430D53D">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0D84513">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西</w:t>
                  </w:r>
                </w:p>
              </w:tc>
              <w:tc>
                <w:tcPr>
                  <w:tcW w:w="294" w:type="pct"/>
                  <w:tcBorders>
                    <w:tl2br w:val="nil"/>
                    <w:tr2bl w:val="nil"/>
                  </w:tcBorders>
                  <w:vAlign w:val="center"/>
                </w:tcPr>
                <w:p w14:paraId="67A382B9">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30</w:t>
                  </w:r>
                </w:p>
              </w:tc>
              <w:tc>
                <w:tcPr>
                  <w:tcW w:w="353" w:type="pct"/>
                  <w:tcBorders>
                    <w:tl2br w:val="nil"/>
                    <w:tr2bl w:val="nil"/>
                  </w:tcBorders>
                  <w:vAlign w:val="center"/>
                </w:tcPr>
                <w:p w14:paraId="018AAE6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2163BD53">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7078397A">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2D2EF3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vAlign w:val="center"/>
                </w:tcPr>
                <w:p w14:paraId="42FC70E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00E9C1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3" w:type="pct"/>
                  <w:vMerge w:val="continue"/>
                  <w:tcBorders>
                    <w:tl2br w:val="nil"/>
                    <w:tr2bl w:val="nil"/>
                  </w:tcBorders>
                  <w:vAlign w:val="center"/>
                </w:tcPr>
                <w:p w14:paraId="31C12DCF">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5EAAB55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9DCC64B">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4E147E31">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4F27611">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0B43DA2">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8BA3C8E">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7744023">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08B231BC">
                  <w:pPr>
                    <w:widowControl/>
                    <w:spacing w:line="320" w:lineRule="exact"/>
                    <w:jc w:val="center"/>
                    <w:rPr>
                      <w:rFonts w:eastAsiaTheme="minorEastAsia"/>
                      <w:color w:val="auto"/>
                      <w:kern w:val="0"/>
                      <w:szCs w:val="21"/>
                    </w:rPr>
                  </w:pPr>
                </w:p>
              </w:tc>
              <w:tc>
                <w:tcPr>
                  <w:tcW w:w="209" w:type="pct"/>
                  <w:tcBorders>
                    <w:tl2br w:val="nil"/>
                    <w:tr2bl w:val="nil"/>
                  </w:tcBorders>
                  <w:vAlign w:val="center"/>
                </w:tcPr>
                <w:p w14:paraId="2985CD7D">
                  <w:pPr>
                    <w:widowControl/>
                    <w:autoSpaceDE w:val="0"/>
                    <w:adjustRightInd w:val="0"/>
                    <w:snapToGrid w:val="0"/>
                    <w:spacing w:line="320" w:lineRule="exact"/>
                    <w:jc w:val="center"/>
                    <w:textAlignment w:val="center"/>
                    <w:rPr>
                      <w:rFonts w:eastAsiaTheme="minorEastAsia"/>
                      <w:color w:val="auto"/>
                      <w:kern w:val="0"/>
                      <w:szCs w:val="21"/>
                    </w:rPr>
                  </w:pPr>
                  <w:r>
                    <w:rPr>
                      <w:rFonts w:eastAsiaTheme="minorEastAsia"/>
                      <w:color w:val="auto"/>
                      <w:kern w:val="0"/>
                      <w:szCs w:val="21"/>
                    </w:rPr>
                    <w:t>北</w:t>
                  </w:r>
                </w:p>
              </w:tc>
              <w:tc>
                <w:tcPr>
                  <w:tcW w:w="294" w:type="pct"/>
                  <w:tcBorders>
                    <w:tl2br w:val="nil"/>
                    <w:tr2bl w:val="nil"/>
                  </w:tcBorders>
                  <w:vAlign w:val="center"/>
                </w:tcPr>
                <w:p w14:paraId="4146EDF3">
                  <w:pPr>
                    <w:widowControl/>
                    <w:spacing w:line="320" w:lineRule="exact"/>
                    <w:jc w:val="center"/>
                    <w:textAlignment w:val="center"/>
                    <w:rPr>
                      <w:rFonts w:eastAsiaTheme="minorEastAsia"/>
                      <w:color w:val="auto"/>
                      <w:kern w:val="0"/>
                      <w:szCs w:val="21"/>
                    </w:rPr>
                  </w:pPr>
                  <w:r>
                    <w:rPr>
                      <w:rFonts w:hint="eastAsia" w:cs="宋体" w:eastAsiaTheme="minorEastAsia"/>
                      <w:color w:val="auto"/>
                      <w:kern w:val="0"/>
                      <w:szCs w:val="22"/>
                      <w:lang w:bidi="ar"/>
                    </w:rPr>
                    <w:t>175</w:t>
                  </w:r>
                </w:p>
              </w:tc>
              <w:tc>
                <w:tcPr>
                  <w:tcW w:w="353" w:type="pct"/>
                  <w:tcBorders>
                    <w:tl2br w:val="nil"/>
                    <w:tr2bl w:val="nil"/>
                  </w:tcBorders>
                  <w:vAlign w:val="center"/>
                </w:tcPr>
                <w:p w14:paraId="641A3440">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5D4ACA6C">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50FC945">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408B27B">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vAlign w:val="center"/>
                </w:tcPr>
                <w:p w14:paraId="7804ED0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172BC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1E4DDAEB">
                  <w:pPr>
                    <w:widowControl/>
                    <w:spacing w:line="320" w:lineRule="exact"/>
                    <w:jc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7</w:t>
                  </w:r>
                </w:p>
              </w:tc>
              <w:tc>
                <w:tcPr>
                  <w:tcW w:w="321" w:type="pct"/>
                  <w:vMerge w:val="continue"/>
                  <w:tcBorders>
                    <w:tl2br w:val="nil"/>
                    <w:tr2bl w:val="nil"/>
                  </w:tcBorders>
                  <w:vAlign w:val="center"/>
                </w:tcPr>
                <w:p w14:paraId="5F4873F3">
                  <w:pPr>
                    <w:widowControl/>
                    <w:spacing w:line="320" w:lineRule="exact"/>
                    <w:jc w:val="center"/>
                    <w:rPr>
                      <w:rFonts w:eastAsiaTheme="minorEastAsia"/>
                      <w:color w:val="auto"/>
                      <w:szCs w:val="21"/>
                    </w:rPr>
                  </w:pPr>
                </w:p>
              </w:tc>
              <w:tc>
                <w:tcPr>
                  <w:tcW w:w="365" w:type="pct"/>
                  <w:vMerge w:val="restart"/>
                  <w:tcBorders>
                    <w:tl2br w:val="nil"/>
                    <w:tr2bl w:val="nil"/>
                  </w:tcBorders>
                  <w:shd w:val="clear" w:color="auto" w:fill="auto"/>
                  <w:vAlign w:val="center"/>
                </w:tcPr>
                <w:p w14:paraId="5A8CEBFC">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eastAsia="zh-CN"/>
                    </w:rPr>
                    <w:t>喷淋装置</w:t>
                  </w:r>
                </w:p>
              </w:tc>
              <w:tc>
                <w:tcPr>
                  <w:tcW w:w="319" w:type="pct"/>
                  <w:vMerge w:val="restart"/>
                  <w:tcBorders>
                    <w:tl2br w:val="nil"/>
                    <w:tr2bl w:val="nil"/>
                  </w:tcBorders>
                  <w:shd w:val="clear" w:color="auto" w:fill="auto"/>
                  <w:vAlign w:val="center"/>
                </w:tcPr>
                <w:p w14:paraId="3B2F63A6">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20C7B5A6">
                  <w:pPr>
                    <w:widowControl/>
                    <w:spacing w:line="3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374DA5ED">
                  <w:pPr>
                    <w:widowControl/>
                    <w:spacing w:line="320" w:lineRule="exact"/>
                    <w:jc w:val="center"/>
                    <w:rPr>
                      <w:rFonts w:eastAsiaTheme="minorEastAsia"/>
                      <w:color w:val="auto"/>
                      <w:kern w:val="0"/>
                      <w:szCs w:val="21"/>
                    </w:rPr>
                  </w:pPr>
                </w:p>
              </w:tc>
              <w:tc>
                <w:tcPr>
                  <w:tcW w:w="263" w:type="pct"/>
                  <w:vMerge w:val="restart"/>
                  <w:tcBorders>
                    <w:tl2br w:val="nil"/>
                    <w:tr2bl w:val="nil"/>
                  </w:tcBorders>
                  <w:vAlign w:val="center"/>
                </w:tcPr>
                <w:p w14:paraId="19ACBC41">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96</w:t>
                  </w:r>
                </w:p>
              </w:tc>
              <w:tc>
                <w:tcPr>
                  <w:tcW w:w="248" w:type="pct"/>
                  <w:vMerge w:val="restart"/>
                  <w:tcBorders>
                    <w:tl2br w:val="nil"/>
                    <w:tr2bl w:val="nil"/>
                  </w:tcBorders>
                  <w:vAlign w:val="center"/>
                </w:tcPr>
                <w:p w14:paraId="5126D5D2">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225</w:t>
                  </w:r>
                </w:p>
              </w:tc>
              <w:tc>
                <w:tcPr>
                  <w:tcW w:w="171" w:type="pct"/>
                  <w:vMerge w:val="restart"/>
                  <w:tcBorders>
                    <w:tl2br w:val="nil"/>
                    <w:tr2bl w:val="nil"/>
                  </w:tcBorders>
                  <w:vAlign w:val="center"/>
                </w:tcPr>
                <w:p w14:paraId="4026DD00">
                  <w:pPr>
                    <w:widowControl/>
                    <w:spacing w:line="32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11</w:t>
                  </w:r>
                </w:p>
              </w:tc>
              <w:tc>
                <w:tcPr>
                  <w:tcW w:w="209" w:type="pct"/>
                  <w:tcBorders>
                    <w:tl2br w:val="nil"/>
                    <w:tr2bl w:val="nil"/>
                  </w:tcBorders>
                  <w:shd w:val="clear" w:color="auto" w:fill="auto"/>
                  <w:vAlign w:val="center"/>
                </w:tcPr>
                <w:p w14:paraId="347ACCDB">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09C24CC9">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13CCB1E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4004E600">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3A7D76A2">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shd w:val="clear" w:color="auto" w:fill="auto"/>
                  <w:vAlign w:val="center"/>
                </w:tcPr>
                <w:p w14:paraId="1F55E91A">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2BADBE5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AD4C3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2CDCBD7">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391CB62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61B15CDD">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A382DC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01C4C4CE">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79751B6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9574973">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5888CBDD">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ACD7A95">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290B883F">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210825C0">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0370938F">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6610BDE6">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032CCD83">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53500FF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6E862223">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946FD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108F804">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7C12BC4E">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8976CB3">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591C2FB3">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12B733F6">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5DF113CD">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0D7EB08D">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6547D622">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697DC94B">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46316385">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2BAB92C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4F8FDA73">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7D7BC817">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77288A3">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548E160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670B6EA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59CD3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5A86EB9B">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0196444C">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303652F4">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689516E">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28F5707B">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65165BF8">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033752F">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27FCFA09">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7B475E89">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C9CB82F">
                  <w:pPr>
                    <w:widowControl/>
                    <w:autoSpaceDE w:val="0"/>
                    <w:adjustRightInd w:val="0"/>
                    <w:snapToGrid w:val="0"/>
                    <w:spacing w:line="320" w:lineRule="exact"/>
                    <w:jc w:val="center"/>
                    <w:textAlignment w:val="center"/>
                    <w:rPr>
                      <w:rFonts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6B1AABCC">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78CDF452">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75A3B1CD">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CF7E8E5">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82CDDF7">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6B5AB5E7">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55CC6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restart"/>
                  <w:tcBorders>
                    <w:tl2br w:val="nil"/>
                    <w:tr2bl w:val="nil"/>
                  </w:tcBorders>
                  <w:vAlign w:val="center"/>
                </w:tcPr>
                <w:p w14:paraId="29B62F8E">
                  <w:pPr>
                    <w:widowControl/>
                    <w:spacing w:line="320" w:lineRule="exact"/>
                    <w:jc w:val="center"/>
                    <w:rPr>
                      <w:rFonts w:hint="eastAsia" w:eastAsiaTheme="minorEastAsia"/>
                      <w:color w:val="auto"/>
                      <w:kern w:val="0"/>
                      <w:szCs w:val="21"/>
                      <w:lang w:val="en-US" w:eastAsia="zh-CN"/>
                    </w:rPr>
                  </w:pPr>
                  <w:r>
                    <w:rPr>
                      <w:rFonts w:hint="eastAsia" w:eastAsiaTheme="minorEastAsia"/>
                      <w:color w:val="auto"/>
                      <w:kern w:val="0"/>
                      <w:szCs w:val="21"/>
                      <w:lang w:val="en-US" w:eastAsia="zh-CN"/>
                    </w:rPr>
                    <w:t>8</w:t>
                  </w:r>
                </w:p>
              </w:tc>
              <w:tc>
                <w:tcPr>
                  <w:tcW w:w="321" w:type="pct"/>
                  <w:vMerge w:val="continue"/>
                  <w:tcBorders>
                    <w:tl2br w:val="nil"/>
                    <w:tr2bl w:val="nil"/>
                  </w:tcBorders>
                  <w:vAlign w:val="center"/>
                </w:tcPr>
                <w:p w14:paraId="3D04E380">
                  <w:pPr>
                    <w:widowControl/>
                    <w:spacing w:line="320" w:lineRule="exact"/>
                    <w:jc w:val="center"/>
                    <w:rPr>
                      <w:rFonts w:eastAsiaTheme="minorEastAsia"/>
                      <w:color w:val="auto"/>
                      <w:szCs w:val="21"/>
                    </w:rPr>
                  </w:pPr>
                </w:p>
              </w:tc>
              <w:tc>
                <w:tcPr>
                  <w:tcW w:w="365" w:type="pct"/>
                  <w:vMerge w:val="restart"/>
                  <w:tcBorders>
                    <w:tl2br w:val="nil"/>
                    <w:tr2bl w:val="nil"/>
                  </w:tcBorders>
                  <w:vAlign w:val="center"/>
                </w:tcPr>
                <w:p w14:paraId="33145E80">
                  <w:pPr>
                    <w:widowControl/>
                    <w:spacing w:line="320" w:lineRule="exact"/>
                    <w:jc w:val="center"/>
                    <w:rPr>
                      <w:rFonts w:hint="eastAsia" w:eastAsiaTheme="minorEastAsia"/>
                      <w:color w:val="auto"/>
                      <w:szCs w:val="21"/>
                      <w:lang w:eastAsia="zh-CN"/>
                    </w:rPr>
                  </w:pPr>
                  <w:r>
                    <w:rPr>
                      <w:rFonts w:hint="eastAsia" w:eastAsiaTheme="minorEastAsia"/>
                      <w:color w:val="auto"/>
                      <w:szCs w:val="21"/>
                      <w:lang w:eastAsia="zh-CN"/>
                    </w:rPr>
                    <w:t>水泵</w:t>
                  </w:r>
                </w:p>
              </w:tc>
              <w:tc>
                <w:tcPr>
                  <w:tcW w:w="319" w:type="pct"/>
                  <w:vMerge w:val="restart"/>
                  <w:tcBorders>
                    <w:tl2br w:val="nil"/>
                    <w:tr2bl w:val="nil"/>
                  </w:tcBorders>
                  <w:shd w:val="clear" w:color="auto" w:fill="auto"/>
                  <w:vAlign w:val="center"/>
                </w:tcPr>
                <w:p w14:paraId="09E563C4">
                  <w:pPr>
                    <w:widowControl/>
                    <w:spacing w:line="320" w:lineRule="exact"/>
                    <w:jc w:val="center"/>
                    <w:rPr>
                      <w:rFonts w:eastAsiaTheme="minorEastAsia"/>
                      <w:color w:val="auto"/>
                      <w:szCs w:val="21"/>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3476A7B1">
                  <w:pPr>
                    <w:widowControl/>
                    <w:spacing w:line="320" w:lineRule="exact"/>
                    <w:jc w:val="center"/>
                    <w:rPr>
                      <w:rFonts w:eastAsiaTheme="minorEastAsia"/>
                      <w:color w:val="auto"/>
                      <w:kern w:val="0"/>
                      <w:szCs w:val="21"/>
                    </w:rPr>
                  </w:pPr>
                  <w:r>
                    <w:rPr>
                      <w:rFonts w:hint="eastAsia" w:eastAsia="宋体"/>
                      <w:color w:val="auto"/>
                      <w:kern w:val="0"/>
                      <w:sz w:val="21"/>
                      <w:szCs w:val="21"/>
                      <w:lang w:val="en-US" w:eastAsia="zh-CN"/>
                    </w:rPr>
                    <w:t>75</w:t>
                  </w:r>
                </w:p>
              </w:tc>
              <w:tc>
                <w:tcPr>
                  <w:tcW w:w="363" w:type="pct"/>
                  <w:vMerge w:val="continue"/>
                  <w:tcBorders>
                    <w:tl2br w:val="nil"/>
                    <w:tr2bl w:val="nil"/>
                  </w:tcBorders>
                  <w:shd w:val="clear" w:color="auto" w:fill="auto"/>
                  <w:vAlign w:val="center"/>
                </w:tcPr>
                <w:p w14:paraId="2452140C">
                  <w:pPr>
                    <w:widowControl/>
                    <w:spacing w:line="320" w:lineRule="exact"/>
                    <w:jc w:val="center"/>
                    <w:rPr>
                      <w:rFonts w:eastAsiaTheme="minorEastAsia"/>
                      <w:color w:val="auto"/>
                      <w:kern w:val="0"/>
                      <w:szCs w:val="21"/>
                    </w:rPr>
                  </w:pPr>
                </w:p>
              </w:tc>
              <w:tc>
                <w:tcPr>
                  <w:tcW w:w="263" w:type="pct"/>
                  <w:vMerge w:val="restart"/>
                  <w:tcBorders>
                    <w:tl2br w:val="nil"/>
                    <w:tr2bl w:val="nil"/>
                  </w:tcBorders>
                  <w:shd w:val="clear" w:color="auto" w:fill="auto"/>
                  <w:vAlign w:val="center"/>
                </w:tcPr>
                <w:p w14:paraId="63C5BC77">
                  <w:pPr>
                    <w:widowControl/>
                    <w:spacing w:line="320" w:lineRule="exact"/>
                    <w:jc w:val="center"/>
                    <w:rPr>
                      <w:rFonts w:hint="default" w:eastAsiaTheme="minorEastAsia"/>
                      <w:color w:val="auto"/>
                      <w:kern w:val="0"/>
                      <w:szCs w:val="21"/>
                      <w:lang w:val="en-US"/>
                    </w:rPr>
                  </w:pPr>
                  <w:r>
                    <w:rPr>
                      <w:rFonts w:hint="eastAsia" w:eastAsia="宋体"/>
                      <w:color w:val="auto"/>
                      <w:kern w:val="0"/>
                      <w:sz w:val="21"/>
                      <w:szCs w:val="21"/>
                    </w:rPr>
                    <w:t>1</w:t>
                  </w:r>
                  <w:r>
                    <w:rPr>
                      <w:rFonts w:hint="eastAsia" w:eastAsia="宋体"/>
                      <w:color w:val="auto"/>
                      <w:kern w:val="0"/>
                      <w:sz w:val="21"/>
                      <w:szCs w:val="21"/>
                      <w:lang w:val="en-US" w:eastAsia="zh-CN"/>
                    </w:rPr>
                    <w:t>28</w:t>
                  </w:r>
                </w:p>
              </w:tc>
              <w:tc>
                <w:tcPr>
                  <w:tcW w:w="248" w:type="pct"/>
                  <w:vMerge w:val="restart"/>
                  <w:tcBorders>
                    <w:tl2br w:val="nil"/>
                    <w:tr2bl w:val="nil"/>
                  </w:tcBorders>
                  <w:shd w:val="clear" w:color="auto" w:fill="auto"/>
                  <w:vAlign w:val="center"/>
                </w:tcPr>
                <w:p w14:paraId="2B8C3E9A">
                  <w:pPr>
                    <w:widowControl/>
                    <w:spacing w:line="320" w:lineRule="exact"/>
                    <w:jc w:val="center"/>
                    <w:rPr>
                      <w:rFonts w:hint="default" w:eastAsiaTheme="minorEastAsia"/>
                      <w:color w:val="auto"/>
                      <w:kern w:val="0"/>
                      <w:szCs w:val="21"/>
                      <w:lang w:val="en-US"/>
                    </w:rPr>
                  </w:pPr>
                  <w:r>
                    <w:rPr>
                      <w:rFonts w:hint="eastAsia"/>
                      <w:color w:val="auto"/>
                      <w:kern w:val="0"/>
                      <w:sz w:val="21"/>
                      <w:szCs w:val="21"/>
                      <w:lang w:val="en-US" w:eastAsia="zh-CN"/>
                    </w:rPr>
                    <w:t>176</w:t>
                  </w:r>
                </w:p>
              </w:tc>
              <w:tc>
                <w:tcPr>
                  <w:tcW w:w="171" w:type="pct"/>
                  <w:vMerge w:val="restart"/>
                  <w:tcBorders>
                    <w:tl2br w:val="nil"/>
                    <w:tr2bl w:val="nil"/>
                  </w:tcBorders>
                  <w:shd w:val="clear" w:color="auto" w:fill="auto"/>
                  <w:vAlign w:val="center"/>
                </w:tcPr>
                <w:p w14:paraId="44575E4C">
                  <w:pPr>
                    <w:widowControl/>
                    <w:spacing w:line="320" w:lineRule="exact"/>
                    <w:jc w:val="center"/>
                    <w:rPr>
                      <w:rFonts w:eastAsiaTheme="minorEastAsia"/>
                      <w:color w:val="auto"/>
                      <w:kern w:val="0"/>
                      <w:szCs w:val="21"/>
                    </w:rPr>
                  </w:pPr>
                  <w:r>
                    <w:rPr>
                      <w:rFonts w:hint="eastAsia" w:eastAsia="宋体"/>
                      <w:color w:val="auto"/>
                      <w:kern w:val="0"/>
                      <w:sz w:val="21"/>
                      <w:szCs w:val="21"/>
                    </w:rPr>
                    <w:t>1</w:t>
                  </w:r>
                </w:p>
              </w:tc>
              <w:tc>
                <w:tcPr>
                  <w:tcW w:w="209" w:type="pct"/>
                  <w:tcBorders>
                    <w:tl2br w:val="nil"/>
                    <w:tr2bl w:val="nil"/>
                  </w:tcBorders>
                  <w:shd w:val="clear" w:color="auto" w:fill="auto"/>
                  <w:vAlign w:val="center"/>
                </w:tcPr>
                <w:p w14:paraId="4EDEBC20">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东</w:t>
                  </w:r>
                </w:p>
              </w:tc>
              <w:tc>
                <w:tcPr>
                  <w:tcW w:w="294" w:type="pct"/>
                  <w:tcBorders>
                    <w:tl2br w:val="nil"/>
                    <w:tr2bl w:val="nil"/>
                  </w:tcBorders>
                  <w:shd w:val="clear" w:color="auto" w:fill="auto"/>
                  <w:vAlign w:val="center"/>
                </w:tcPr>
                <w:p w14:paraId="4DC08160">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45</w:t>
                  </w:r>
                </w:p>
              </w:tc>
              <w:tc>
                <w:tcPr>
                  <w:tcW w:w="353" w:type="pct"/>
                  <w:tcBorders>
                    <w:tl2br w:val="nil"/>
                    <w:tr2bl w:val="nil"/>
                  </w:tcBorders>
                  <w:shd w:val="clear" w:color="auto" w:fill="auto"/>
                  <w:vAlign w:val="center"/>
                </w:tcPr>
                <w:p w14:paraId="23F9F1A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25A83FF3">
                  <w:pPr>
                    <w:widowControl/>
                    <w:autoSpaceDE w:val="0"/>
                    <w:adjustRightInd w:val="0"/>
                    <w:snapToGrid w:val="0"/>
                    <w:spacing w:line="320" w:lineRule="exact"/>
                    <w:jc w:val="center"/>
                    <w:rPr>
                      <w:rFonts w:eastAsiaTheme="minorEastAsia"/>
                      <w:color w:val="auto"/>
                      <w:kern w:val="0"/>
                      <w:szCs w:val="21"/>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614A8E71">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shd w:val="clear" w:color="auto" w:fill="auto"/>
                  <w:vAlign w:val="center"/>
                </w:tcPr>
                <w:p w14:paraId="404083D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shd w:val="clear" w:color="auto" w:fill="auto"/>
                  <w:vAlign w:val="center"/>
                </w:tcPr>
                <w:p w14:paraId="2601A89B">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11121E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2BE8FA0A">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4A53A3FA">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52258449">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16387BA6">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7B237EF4">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6F86F99">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5DF4ECA6">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4CDB182B">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4C6ACD2E">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55424134">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南</w:t>
                  </w:r>
                </w:p>
              </w:tc>
              <w:tc>
                <w:tcPr>
                  <w:tcW w:w="294" w:type="pct"/>
                  <w:tcBorders>
                    <w:tl2br w:val="nil"/>
                    <w:tr2bl w:val="nil"/>
                  </w:tcBorders>
                  <w:shd w:val="clear" w:color="auto" w:fill="auto"/>
                  <w:vAlign w:val="center"/>
                </w:tcPr>
                <w:p w14:paraId="5ABBA58B">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5C36AF3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3EEDB17E">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40F3CC99">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5D414D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453190F3">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4450D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163" w:type="pct"/>
                  <w:vMerge w:val="continue"/>
                  <w:tcBorders>
                    <w:tl2br w:val="nil"/>
                    <w:tr2bl w:val="nil"/>
                  </w:tcBorders>
                  <w:vAlign w:val="center"/>
                </w:tcPr>
                <w:p w14:paraId="32F3622E">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2349131A">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2D4BB1E9">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3CE152D4">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0BE240E2">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4A84C901">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32110E27">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776B297A">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3E1D7233">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310C6771">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西</w:t>
                  </w:r>
                </w:p>
              </w:tc>
              <w:tc>
                <w:tcPr>
                  <w:tcW w:w="294" w:type="pct"/>
                  <w:tcBorders>
                    <w:tl2br w:val="nil"/>
                    <w:tr2bl w:val="nil"/>
                  </w:tcBorders>
                  <w:shd w:val="clear" w:color="auto" w:fill="auto"/>
                  <w:vAlign w:val="center"/>
                </w:tcPr>
                <w:p w14:paraId="7052CB6F">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w:t>
                  </w:r>
                </w:p>
              </w:tc>
              <w:tc>
                <w:tcPr>
                  <w:tcW w:w="353" w:type="pct"/>
                  <w:tcBorders>
                    <w:tl2br w:val="nil"/>
                    <w:tr2bl w:val="nil"/>
                  </w:tcBorders>
                  <w:shd w:val="clear" w:color="auto" w:fill="auto"/>
                  <w:vAlign w:val="center"/>
                </w:tcPr>
                <w:p w14:paraId="3530742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2EDC6B1">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5023D9B0">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4DA8310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shd w:val="clear" w:color="auto" w:fill="auto"/>
                  <w:vAlign w:val="center"/>
                </w:tcPr>
                <w:p w14:paraId="2DB065D4">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32F3F8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163" w:type="pct"/>
                  <w:vMerge w:val="continue"/>
                  <w:tcBorders>
                    <w:tl2br w:val="nil"/>
                    <w:tr2bl w:val="nil"/>
                  </w:tcBorders>
                  <w:vAlign w:val="center"/>
                </w:tcPr>
                <w:p w14:paraId="7E154C85">
                  <w:pPr>
                    <w:widowControl/>
                    <w:spacing w:line="320" w:lineRule="exact"/>
                    <w:jc w:val="center"/>
                    <w:rPr>
                      <w:rFonts w:eastAsiaTheme="minorEastAsia"/>
                      <w:color w:val="auto"/>
                      <w:kern w:val="0"/>
                      <w:szCs w:val="21"/>
                    </w:rPr>
                  </w:pPr>
                </w:p>
              </w:tc>
              <w:tc>
                <w:tcPr>
                  <w:tcW w:w="321" w:type="pct"/>
                  <w:vMerge w:val="continue"/>
                  <w:tcBorders>
                    <w:tl2br w:val="nil"/>
                    <w:tr2bl w:val="nil"/>
                  </w:tcBorders>
                  <w:vAlign w:val="center"/>
                </w:tcPr>
                <w:p w14:paraId="0F9716F2">
                  <w:pPr>
                    <w:widowControl/>
                    <w:spacing w:line="320" w:lineRule="exact"/>
                    <w:jc w:val="center"/>
                    <w:rPr>
                      <w:rFonts w:eastAsiaTheme="minorEastAsia"/>
                      <w:color w:val="auto"/>
                      <w:szCs w:val="21"/>
                    </w:rPr>
                  </w:pPr>
                </w:p>
              </w:tc>
              <w:tc>
                <w:tcPr>
                  <w:tcW w:w="365" w:type="pct"/>
                  <w:vMerge w:val="continue"/>
                  <w:tcBorders>
                    <w:tl2br w:val="nil"/>
                    <w:tr2bl w:val="nil"/>
                  </w:tcBorders>
                  <w:vAlign w:val="center"/>
                </w:tcPr>
                <w:p w14:paraId="690EF4CE">
                  <w:pPr>
                    <w:widowControl/>
                    <w:spacing w:line="320" w:lineRule="exact"/>
                    <w:jc w:val="center"/>
                    <w:rPr>
                      <w:rFonts w:eastAsiaTheme="minorEastAsia"/>
                      <w:color w:val="auto"/>
                      <w:szCs w:val="21"/>
                    </w:rPr>
                  </w:pPr>
                </w:p>
              </w:tc>
              <w:tc>
                <w:tcPr>
                  <w:tcW w:w="319" w:type="pct"/>
                  <w:vMerge w:val="continue"/>
                  <w:tcBorders>
                    <w:tl2br w:val="nil"/>
                    <w:tr2bl w:val="nil"/>
                  </w:tcBorders>
                  <w:vAlign w:val="center"/>
                </w:tcPr>
                <w:p w14:paraId="20869850">
                  <w:pPr>
                    <w:widowControl/>
                    <w:spacing w:line="320" w:lineRule="exact"/>
                    <w:jc w:val="center"/>
                    <w:rPr>
                      <w:rFonts w:eastAsiaTheme="minorEastAsia"/>
                      <w:color w:val="auto"/>
                      <w:szCs w:val="21"/>
                    </w:rPr>
                  </w:pPr>
                </w:p>
              </w:tc>
              <w:tc>
                <w:tcPr>
                  <w:tcW w:w="351" w:type="pct"/>
                  <w:vMerge w:val="continue"/>
                  <w:tcBorders>
                    <w:tl2br w:val="nil"/>
                    <w:tr2bl w:val="nil"/>
                  </w:tcBorders>
                  <w:vAlign w:val="center"/>
                </w:tcPr>
                <w:p w14:paraId="4DF9AE80">
                  <w:pPr>
                    <w:widowControl/>
                    <w:spacing w:line="320" w:lineRule="exact"/>
                    <w:jc w:val="center"/>
                    <w:rPr>
                      <w:rFonts w:eastAsiaTheme="minorEastAsia"/>
                      <w:color w:val="auto"/>
                      <w:kern w:val="0"/>
                      <w:szCs w:val="21"/>
                    </w:rPr>
                  </w:pPr>
                </w:p>
              </w:tc>
              <w:tc>
                <w:tcPr>
                  <w:tcW w:w="363" w:type="pct"/>
                  <w:vMerge w:val="continue"/>
                  <w:tcBorders>
                    <w:tl2br w:val="nil"/>
                    <w:tr2bl w:val="nil"/>
                  </w:tcBorders>
                  <w:vAlign w:val="center"/>
                </w:tcPr>
                <w:p w14:paraId="7EE9C512">
                  <w:pPr>
                    <w:widowControl/>
                    <w:spacing w:line="320" w:lineRule="exact"/>
                    <w:jc w:val="center"/>
                    <w:rPr>
                      <w:rFonts w:eastAsiaTheme="minorEastAsia"/>
                      <w:color w:val="auto"/>
                      <w:kern w:val="0"/>
                      <w:szCs w:val="21"/>
                    </w:rPr>
                  </w:pPr>
                </w:p>
              </w:tc>
              <w:tc>
                <w:tcPr>
                  <w:tcW w:w="263" w:type="pct"/>
                  <w:vMerge w:val="continue"/>
                  <w:tcBorders>
                    <w:tl2br w:val="nil"/>
                    <w:tr2bl w:val="nil"/>
                  </w:tcBorders>
                  <w:vAlign w:val="center"/>
                </w:tcPr>
                <w:p w14:paraId="2F205010">
                  <w:pPr>
                    <w:widowControl/>
                    <w:spacing w:line="320" w:lineRule="exact"/>
                    <w:jc w:val="center"/>
                    <w:rPr>
                      <w:rFonts w:eastAsiaTheme="minorEastAsia"/>
                      <w:color w:val="auto"/>
                      <w:kern w:val="0"/>
                      <w:szCs w:val="21"/>
                    </w:rPr>
                  </w:pPr>
                </w:p>
              </w:tc>
              <w:tc>
                <w:tcPr>
                  <w:tcW w:w="248" w:type="pct"/>
                  <w:vMerge w:val="continue"/>
                  <w:tcBorders>
                    <w:tl2br w:val="nil"/>
                    <w:tr2bl w:val="nil"/>
                  </w:tcBorders>
                  <w:vAlign w:val="center"/>
                </w:tcPr>
                <w:p w14:paraId="3B759D02">
                  <w:pPr>
                    <w:widowControl/>
                    <w:spacing w:line="320" w:lineRule="exact"/>
                    <w:jc w:val="center"/>
                    <w:rPr>
                      <w:rFonts w:eastAsiaTheme="minorEastAsia"/>
                      <w:color w:val="auto"/>
                      <w:kern w:val="0"/>
                      <w:szCs w:val="21"/>
                    </w:rPr>
                  </w:pPr>
                </w:p>
              </w:tc>
              <w:tc>
                <w:tcPr>
                  <w:tcW w:w="171" w:type="pct"/>
                  <w:vMerge w:val="continue"/>
                  <w:tcBorders>
                    <w:tl2br w:val="nil"/>
                    <w:tr2bl w:val="nil"/>
                  </w:tcBorders>
                  <w:vAlign w:val="center"/>
                </w:tcPr>
                <w:p w14:paraId="2B029E84">
                  <w:pPr>
                    <w:widowControl/>
                    <w:spacing w:line="320" w:lineRule="exact"/>
                    <w:jc w:val="center"/>
                    <w:rPr>
                      <w:rFonts w:eastAsiaTheme="minorEastAsia"/>
                      <w:color w:val="auto"/>
                      <w:kern w:val="0"/>
                      <w:szCs w:val="21"/>
                    </w:rPr>
                  </w:pPr>
                </w:p>
              </w:tc>
              <w:tc>
                <w:tcPr>
                  <w:tcW w:w="209" w:type="pct"/>
                  <w:tcBorders>
                    <w:tl2br w:val="nil"/>
                    <w:tr2bl w:val="nil"/>
                  </w:tcBorders>
                  <w:shd w:val="clear" w:color="auto" w:fill="auto"/>
                  <w:vAlign w:val="center"/>
                </w:tcPr>
                <w:p w14:paraId="13485BAB">
                  <w:pPr>
                    <w:widowControl/>
                    <w:autoSpaceDE w:val="0"/>
                    <w:adjustRightInd w:val="0"/>
                    <w:snapToGrid w:val="0"/>
                    <w:spacing w:line="320" w:lineRule="exact"/>
                    <w:jc w:val="center"/>
                    <w:textAlignment w:val="center"/>
                    <w:rPr>
                      <w:rFonts w:ascii="Times New Roman" w:hAnsi="Times New Roman" w:eastAsia="宋体" w:cs="Times New Roman"/>
                      <w:color w:val="auto"/>
                      <w:kern w:val="0"/>
                      <w:sz w:val="21"/>
                      <w:szCs w:val="21"/>
                      <w:lang w:val="en-US" w:eastAsia="zh-CN" w:bidi="ar-SA"/>
                    </w:rPr>
                  </w:pPr>
                  <w:r>
                    <w:rPr>
                      <w:rFonts w:eastAsia="宋体"/>
                      <w:color w:val="auto"/>
                      <w:kern w:val="0"/>
                      <w:sz w:val="21"/>
                      <w:szCs w:val="21"/>
                    </w:rPr>
                    <w:t>北</w:t>
                  </w:r>
                </w:p>
              </w:tc>
              <w:tc>
                <w:tcPr>
                  <w:tcW w:w="294" w:type="pct"/>
                  <w:tcBorders>
                    <w:tl2br w:val="nil"/>
                    <w:tr2bl w:val="nil"/>
                  </w:tcBorders>
                  <w:shd w:val="clear" w:color="auto" w:fill="auto"/>
                  <w:vAlign w:val="center"/>
                </w:tcPr>
                <w:p w14:paraId="41CE43A8">
                  <w:pPr>
                    <w:widowControl/>
                    <w:spacing w:line="320" w:lineRule="exact"/>
                    <w:jc w:val="center"/>
                    <w:textAlignment w:val="center"/>
                    <w:rPr>
                      <w:rFonts w:hint="eastAsia" w:ascii="Times New Roman" w:hAnsi="Times New Roman" w:eastAsia="宋体" w:cs="宋体"/>
                      <w:color w:val="auto"/>
                      <w:kern w:val="0"/>
                      <w:sz w:val="21"/>
                      <w:szCs w:val="22"/>
                      <w:lang w:val="en-US" w:eastAsia="zh-CN" w:bidi="ar"/>
                    </w:rPr>
                  </w:pPr>
                  <w:r>
                    <w:rPr>
                      <w:rFonts w:hint="eastAsia" w:eastAsia="宋体"/>
                      <w:color w:val="auto"/>
                      <w:kern w:val="0"/>
                      <w:sz w:val="21"/>
                      <w:szCs w:val="21"/>
                    </w:rPr>
                    <w:t>175</w:t>
                  </w:r>
                </w:p>
              </w:tc>
              <w:tc>
                <w:tcPr>
                  <w:tcW w:w="353" w:type="pct"/>
                  <w:tcBorders>
                    <w:tl2br w:val="nil"/>
                    <w:tr2bl w:val="nil"/>
                  </w:tcBorders>
                  <w:shd w:val="clear" w:color="auto" w:fill="auto"/>
                  <w:vAlign w:val="center"/>
                </w:tcPr>
                <w:p w14:paraId="4203019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71262D05">
                  <w:pPr>
                    <w:widowControl/>
                    <w:spacing w:line="320" w:lineRule="exact"/>
                    <w:jc w:val="center"/>
                    <w:rPr>
                      <w:rFonts w:eastAsiaTheme="minorEastAsia"/>
                      <w:color w:val="auto"/>
                      <w:kern w:val="0"/>
                      <w:szCs w:val="21"/>
                    </w:rPr>
                  </w:pPr>
                </w:p>
              </w:tc>
              <w:tc>
                <w:tcPr>
                  <w:tcW w:w="423" w:type="pct"/>
                  <w:vMerge w:val="continue"/>
                  <w:tcBorders>
                    <w:tl2br w:val="nil"/>
                    <w:tr2bl w:val="nil"/>
                  </w:tcBorders>
                  <w:vAlign w:val="center"/>
                </w:tcPr>
                <w:p w14:paraId="1C9936DC">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6F775D5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shd w:val="clear" w:color="auto" w:fill="auto"/>
                  <w:vAlign w:val="center"/>
                </w:tcPr>
                <w:p w14:paraId="0A3E49BE">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01F591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163" w:type="pct"/>
                  <w:vMerge w:val="restart"/>
                  <w:tcBorders>
                    <w:tl2br w:val="nil"/>
                    <w:tr2bl w:val="nil"/>
                  </w:tcBorders>
                  <w:vAlign w:val="center"/>
                </w:tcPr>
                <w:p w14:paraId="6FD070FF">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7</w:t>
                  </w:r>
                </w:p>
              </w:tc>
              <w:tc>
                <w:tcPr>
                  <w:tcW w:w="321" w:type="pct"/>
                  <w:vMerge w:val="restart"/>
                  <w:tcBorders>
                    <w:tl2br w:val="nil"/>
                    <w:tr2bl w:val="nil"/>
                  </w:tcBorders>
                  <w:vAlign w:val="center"/>
                </w:tcPr>
                <w:p w14:paraId="73C28EB9">
                  <w:pPr>
                    <w:widowControl/>
                    <w:spacing w:line="320" w:lineRule="exact"/>
                    <w:jc w:val="center"/>
                    <w:rPr>
                      <w:rFonts w:eastAsia="宋体"/>
                      <w:color w:val="auto"/>
                      <w:sz w:val="21"/>
                      <w:szCs w:val="21"/>
                    </w:rPr>
                  </w:pPr>
                  <w:r>
                    <w:rPr>
                      <w:rFonts w:hint="eastAsia"/>
                      <w:color w:val="auto"/>
                      <w:sz w:val="21"/>
                      <w:szCs w:val="21"/>
                      <w:lang w:val="en-US" w:eastAsia="zh-CN"/>
                    </w:rPr>
                    <w:t>3</w:t>
                  </w:r>
                  <w:r>
                    <w:rPr>
                      <w:rFonts w:hint="eastAsia" w:eastAsia="宋体"/>
                      <w:color w:val="auto"/>
                      <w:sz w:val="21"/>
                      <w:szCs w:val="21"/>
                    </w:rPr>
                    <w:t>#</w:t>
                  </w:r>
                  <w:r>
                    <w:rPr>
                      <w:rFonts w:hint="eastAsia" w:eastAsiaTheme="minorEastAsia"/>
                      <w:color w:val="auto"/>
                      <w:kern w:val="0"/>
                      <w:szCs w:val="21"/>
                      <w:lang w:eastAsia="zh-CN"/>
                    </w:rPr>
                    <w:t>厂房</w:t>
                  </w:r>
                </w:p>
              </w:tc>
              <w:tc>
                <w:tcPr>
                  <w:tcW w:w="365" w:type="pct"/>
                  <w:vMerge w:val="restart"/>
                  <w:tcBorders>
                    <w:tl2br w:val="nil"/>
                    <w:tr2bl w:val="nil"/>
                  </w:tcBorders>
                  <w:vAlign w:val="center"/>
                </w:tcPr>
                <w:p w14:paraId="4F751D64">
                  <w:pPr>
                    <w:adjustRightInd w:val="0"/>
                    <w:snapToGrid w:val="0"/>
                    <w:spacing w:line="320" w:lineRule="exact"/>
                    <w:jc w:val="center"/>
                    <w:rPr>
                      <w:rFonts w:eastAsia="宋体"/>
                      <w:color w:val="auto"/>
                      <w:sz w:val="21"/>
                      <w:szCs w:val="21"/>
                    </w:rPr>
                  </w:pPr>
                  <w:r>
                    <w:rPr>
                      <w:rFonts w:hint="eastAsia" w:eastAsiaTheme="minorEastAsia"/>
                      <w:color w:val="auto"/>
                      <w:szCs w:val="21"/>
                    </w:rPr>
                    <w:t>装载机</w:t>
                  </w:r>
                </w:p>
              </w:tc>
              <w:tc>
                <w:tcPr>
                  <w:tcW w:w="319" w:type="pct"/>
                  <w:vMerge w:val="restart"/>
                  <w:tcBorders>
                    <w:tl2br w:val="nil"/>
                    <w:tr2bl w:val="nil"/>
                  </w:tcBorders>
                  <w:vAlign w:val="center"/>
                </w:tcPr>
                <w:p w14:paraId="433DD158">
                  <w:pPr>
                    <w:widowControl/>
                    <w:autoSpaceDE w:val="0"/>
                    <w:adjustRightInd w:val="0"/>
                    <w:snapToGrid w:val="0"/>
                    <w:spacing w:line="320" w:lineRule="exact"/>
                    <w:jc w:val="center"/>
                    <w:rPr>
                      <w:rFonts w:eastAsia="宋体"/>
                      <w:color w:val="auto"/>
                      <w:sz w:val="21"/>
                      <w:szCs w:val="21"/>
                    </w:rPr>
                  </w:pPr>
                  <w:r>
                    <w:rPr>
                      <w:rFonts w:hint="eastAsia" w:eastAsiaTheme="minorEastAsia"/>
                      <w:color w:val="auto"/>
                      <w:szCs w:val="21"/>
                    </w:rPr>
                    <w:t>-</w:t>
                  </w:r>
                </w:p>
              </w:tc>
              <w:tc>
                <w:tcPr>
                  <w:tcW w:w="351" w:type="pct"/>
                  <w:vMerge w:val="restart"/>
                  <w:tcBorders>
                    <w:tl2br w:val="nil"/>
                    <w:tr2bl w:val="nil"/>
                  </w:tcBorders>
                  <w:vAlign w:val="center"/>
                </w:tcPr>
                <w:p w14:paraId="424FEFF0">
                  <w:pPr>
                    <w:widowControl/>
                    <w:autoSpaceDE w:val="0"/>
                    <w:adjustRightInd w:val="0"/>
                    <w:snapToGrid w:val="0"/>
                    <w:spacing w:line="320" w:lineRule="exact"/>
                    <w:jc w:val="center"/>
                    <w:rPr>
                      <w:rFonts w:eastAsia="宋体"/>
                      <w:color w:val="auto"/>
                      <w:kern w:val="0"/>
                      <w:sz w:val="21"/>
                      <w:szCs w:val="21"/>
                    </w:rPr>
                  </w:pPr>
                  <w:r>
                    <w:rPr>
                      <w:rFonts w:hint="eastAsia" w:eastAsiaTheme="minorEastAsia"/>
                      <w:color w:val="auto"/>
                      <w:szCs w:val="21"/>
                    </w:rPr>
                    <w:t>85</w:t>
                  </w:r>
                </w:p>
              </w:tc>
              <w:tc>
                <w:tcPr>
                  <w:tcW w:w="363" w:type="pct"/>
                  <w:vMerge w:val="continue"/>
                  <w:tcBorders>
                    <w:tl2br w:val="nil"/>
                    <w:tr2bl w:val="nil"/>
                  </w:tcBorders>
                  <w:vAlign w:val="center"/>
                </w:tcPr>
                <w:p w14:paraId="58E9FAC8">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31CF695E">
                  <w:pPr>
                    <w:widowControl/>
                    <w:spacing w:line="320" w:lineRule="exact"/>
                    <w:jc w:val="center"/>
                    <w:rPr>
                      <w:rFonts w:eastAsia="宋体"/>
                      <w:color w:val="auto"/>
                      <w:kern w:val="0"/>
                      <w:sz w:val="21"/>
                      <w:szCs w:val="21"/>
                    </w:rPr>
                  </w:pPr>
                  <w:r>
                    <w:rPr>
                      <w:rFonts w:hint="eastAsia" w:eastAsia="宋体"/>
                      <w:color w:val="auto"/>
                      <w:kern w:val="0"/>
                      <w:sz w:val="21"/>
                      <w:szCs w:val="21"/>
                    </w:rPr>
                    <w:t>102</w:t>
                  </w:r>
                </w:p>
              </w:tc>
              <w:tc>
                <w:tcPr>
                  <w:tcW w:w="248" w:type="pct"/>
                  <w:vMerge w:val="restart"/>
                  <w:tcBorders>
                    <w:tl2br w:val="nil"/>
                    <w:tr2bl w:val="nil"/>
                  </w:tcBorders>
                  <w:vAlign w:val="center"/>
                </w:tcPr>
                <w:p w14:paraId="680854AE">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4</w:t>
                  </w:r>
                </w:p>
              </w:tc>
              <w:tc>
                <w:tcPr>
                  <w:tcW w:w="171" w:type="pct"/>
                  <w:vMerge w:val="restart"/>
                  <w:tcBorders>
                    <w:tl2br w:val="nil"/>
                    <w:tr2bl w:val="nil"/>
                  </w:tcBorders>
                  <w:vAlign w:val="center"/>
                </w:tcPr>
                <w:p w14:paraId="2FC939FD">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649255D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453CFD5B">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45</w:t>
                  </w:r>
                </w:p>
              </w:tc>
              <w:tc>
                <w:tcPr>
                  <w:tcW w:w="353" w:type="pct"/>
                  <w:tcBorders>
                    <w:tl2br w:val="nil"/>
                    <w:tr2bl w:val="nil"/>
                  </w:tcBorders>
                  <w:vAlign w:val="center"/>
                </w:tcPr>
                <w:p w14:paraId="2B40DB9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4DB69CD8">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55D803D2">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5ACC9736">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2F47F700">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21B801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9E9C3CC">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389B70FB">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AF4FBD7">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42ACF1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CEA972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33C0DC6A">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76584108">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D75821A">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05EABA3">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6568E6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796F8C93">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w:t>
                  </w:r>
                </w:p>
              </w:tc>
              <w:tc>
                <w:tcPr>
                  <w:tcW w:w="353" w:type="pct"/>
                  <w:tcBorders>
                    <w:tl2br w:val="nil"/>
                    <w:tr2bl w:val="nil"/>
                  </w:tcBorders>
                  <w:vAlign w:val="center"/>
                </w:tcPr>
                <w:p w14:paraId="7A4920B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02F0E08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F081E4F">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E812A2F">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3DAAB56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D8D8D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63575F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99B5FBD">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43DC56D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4F12D782">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D640180">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67AB1DBF">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54F939B0">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67C30D5A">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FF4C8D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18441B18">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326BD3B9">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w:t>
                  </w:r>
                </w:p>
              </w:tc>
              <w:tc>
                <w:tcPr>
                  <w:tcW w:w="353" w:type="pct"/>
                  <w:tcBorders>
                    <w:tl2br w:val="nil"/>
                    <w:tr2bl w:val="nil"/>
                  </w:tcBorders>
                  <w:vAlign w:val="center"/>
                </w:tcPr>
                <w:p w14:paraId="073D06B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1D54FE8">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38E879D">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2F7E149">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DE05C83">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3AB81F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1CA9DAEB">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CECF2D8">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7BB044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4B0B424">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3720540B">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20C34B75">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F8468BB">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41B033D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7A8C8DE5">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003B2B39">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5EE5E545">
                  <w:pPr>
                    <w:widowControl/>
                    <w:spacing w:line="320" w:lineRule="exact"/>
                    <w:jc w:val="center"/>
                    <w:textAlignment w:val="center"/>
                    <w:rPr>
                      <w:rFonts w:eastAsia="宋体"/>
                      <w:color w:val="auto"/>
                      <w:kern w:val="0"/>
                      <w:sz w:val="21"/>
                      <w:szCs w:val="21"/>
                    </w:rPr>
                  </w:pPr>
                  <w:r>
                    <w:rPr>
                      <w:rFonts w:hint="eastAsia" w:eastAsia="宋体"/>
                      <w:color w:val="auto"/>
                      <w:kern w:val="0"/>
                      <w:sz w:val="21"/>
                      <w:szCs w:val="21"/>
                    </w:rPr>
                    <w:t>175</w:t>
                  </w:r>
                </w:p>
              </w:tc>
              <w:tc>
                <w:tcPr>
                  <w:tcW w:w="353" w:type="pct"/>
                  <w:tcBorders>
                    <w:tl2br w:val="nil"/>
                    <w:tr2bl w:val="nil"/>
                  </w:tcBorders>
                  <w:vAlign w:val="center"/>
                </w:tcPr>
                <w:p w14:paraId="06FF096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6053D5EE">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E277743">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33B5DC6">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6F90678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7EB70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561A9EAF">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8</w:t>
                  </w:r>
                </w:p>
              </w:tc>
              <w:tc>
                <w:tcPr>
                  <w:tcW w:w="321" w:type="pct"/>
                  <w:vMerge w:val="continue"/>
                  <w:tcBorders>
                    <w:tl2br w:val="nil"/>
                    <w:tr2bl w:val="nil"/>
                  </w:tcBorders>
                  <w:vAlign w:val="center"/>
                </w:tcPr>
                <w:p w14:paraId="460002CD">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7BD38B7A">
                  <w:pPr>
                    <w:adjustRightInd w:val="0"/>
                    <w:snapToGrid w:val="0"/>
                    <w:spacing w:line="320" w:lineRule="exact"/>
                    <w:jc w:val="center"/>
                    <w:rPr>
                      <w:rFonts w:eastAsia="宋体"/>
                      <w:color w:val="auto"/>
                      <w:sz w:val="21"/>
                      <w:szCs w:val="21"/>
                    </w:rPr>
                  </w:pPr>
                  <w:r>
                    <w:rPr>
                      <w:rFonts w:hint="eastAsia" w:eastAsiaTheme="minorEastAsia"/>
                      <w:color w:val="auto"/>
                      <w:szCs w:val="21"/>
                    </w:rPr>
                    <w:t>装载机</w:t>
                  </w:r>
                </w:p>
              </w:tc>
              <w:tc>
                <w:tcPr>
                  <w:tcW w:w="319" w:type="pct"/>
                  <w:vMerge w:val="restart"/>
                  <w:tcBorders>
                    <w:tl2br w:val="nil"/>
                    <w:tr2bl w:val="nil"/>
                  </w:tcBorders>
                  <w:vAlign w:val="center"/>
                </w:tcPr>
                <w:p w14:paraId="7BFA7E4E">
                  <w:pPr>
                    <w:widowControl/>
                    <w:autoSpaceDE w:val="0"/>
                    <w:adjustRightInd w:val="0"/>
                    <w:snapToGrid w:val="0"/>
                    <w:spacing w:line="320" w:lineRule="exact"/>
                    <w:jc w:val="center"/>
                    <w:rPr>
                      <w:rFonts w:eastAsia="宋体"/>
                      <w:color w:val="auto"/>
                      <w:sz w:val="21"/>
                      <w:szCs w:val="21"/>
                    </w:rPr>
                  </w:pPr>
                  <w:r>
                    <w:rPr>
                      <w:rFonts w:hint="eastAsia" w:eastAsiaTheme="minorEastAsia"/>
                      <w:color w:val="auto"/>
                      <w:szCs w:val="21"/>
                    </w:rPr>
                    <w:t>-</w:t>
                  </w:r>
                </w:p>
              </w:tc>
              <w:tc>
                <w:tcPr>
                  <w:tcW w:w="351" w:type="pct"/>
                  <w:vMerge w:val="restart"/>
                  <w:tcBorders>
                    <w:tl2br w:val="nil"/>
                    <w:tr2bl w:val="nil"/>
                  </w:tcBorders>
                  <w:vAlign w:val="center"/>
                </w:tcPr>
                <w:p w14:paraId="5B3935A6">
                  <w:pPr>
                    <w:widowControl/>
                    <w:autoSpaceDE w:val="0"/>
                    <w:adjustRightInd w:val="0"/>
                    <w:snapToGrid w:val="0"/>
                    <w:spacing w:line="320" w:lineRule="exact"/>
                    <w:jc w:val="center"/>
                    <w:rPr>
                      <w:rFonts w:hint="default" w:eastAsia="宋体"/>
                      <w:color w:val="auto"/>
                      <w:kern w:val="0"/>
                      <w:sz w:val="21"/>
                      <w:szCs w:val="21"/>
                      <w:lang w:val="en-US" w:eastAsia="zh-CN"/>
                    </w:rPr>
                  </w:pPr>
                  <w:r>
                    <w:rPr>
                      <w:rFonts w:hint="eastAsia" w:eastAsiaTheme="minorEastAsia"/>
                      <w:color w:val="auto"/>
                      <w:szCs w:val="21"/>
                    </w:rPr>
                    <w:t>85</w:t>
                  </w:r>
                </w:p>
              </w:tc>
              <w:tc>
                <w:tcPr>
                  <w:tcW w:w="363" w:type="pct"/>
                  <w:vMerge w:val="continue"/>
                  <w:tcBorders>
                    <w:tl2br w:val="nil"/>
                    <w:tr2bl w:val="nil"/>
                  </w:tcBorders>
                  <w:vAlign w:val="center"/>
                </w:tcPr>
                <w:p w14:paraId="6A801316">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28C8479F">
                  <w:pPr>
                    <w:widowControl/>
                    <w:spacing w:line="320" w:lineRule="exact"/>
                    <w:jc w:val="center"/>
                    <w:rPr>
                      <w:rFonts w:eastAsia="宋体"/>
                      <w:color w:val="auto"/>
                      <w:kern w:val="0"/>
                      <w:sz w:val="21"/>
                      <w:szCs w:val="21"/>
                    </w:rPr>
                  </w:pPr>
                  <w:r>
                    <w:rPr>
                      <w:rFonts w:hint="eastAsia" w:eastAsia="宋体"/>
                      <w:color w:val="auto"/>
                      <w:kern w:val="0"/>
                      <w:sz w:val="21"/>
                      <w:szCs w:val="21"/>
                    </w:rPr>
                    <w:t>102</w:t>
                  </w:r>
                </w:p>
              </w:tc>
              <w:tc>
                <w:tcPr>
                  <w:tcW w:w="248" w:type="pct"/>
                  <w:vMerge w:val="restart"/>
                  <w:tcBorders>
                    <w:tl2br w:val="nil"/>
                    <w:tr2bl w:val="nil"/>
                  </w:tcBorders>
                  <w:vAlign w:val="center"/>
                </w:tcPr>
                <w:p w14:paraId="14D3F2DC">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5</w:t>
                  </w:r>
                </w:p>
              </w:tc>
              <w:tc>
                <w:tcPr>
                  <w:tcW w:w="171" w:type="pct"/>
                  <w:vMerge w:val="restart"/>
                  <w:tcBorders>
                    <w:tl2br w:val="nil"/>
                    <w:tr2bl w:val="nil"/>
                  </w:tcBorders>
                  <w:vAlign w:val="center"/>
                </w:tcPr>
                <w:p w14:paraId="1624F1EB">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05CF9565">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706F3FF7">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549B67F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4DB8A562">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543A7586">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3D74CA5E">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02A39B2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521A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6F370627">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30514C73">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844A22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2A60FD8">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5366AEE7">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4CCA2B8D">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666A41F7">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127DEBF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5819FB75">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B5D06E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10E0B27A">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7210288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C8477E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3AB06C23">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470540C9">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DACAF9A">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FA0F2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4556290B">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AC90D0B">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223AA3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4761BF5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0F17DC9">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686C172">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B97EA56">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A377031">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A32B93A">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1F9DD6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02905A46">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31B38E1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27158ABB">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ECFE58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7323C70">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5BD4EB9">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35F69B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9166117">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49F4C105">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390BB55">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7CE2E37E">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E00ED30">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2D331396">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45FE17D">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065E69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80F4256">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4F5BE7AE">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5D5D9013">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43D41AA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696A6A0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52746E0">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232C39A">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30F0E282">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3AB00B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1BE7B3AA">
                  <w:pPr>
                    <w:widowControl/>
                    <w:spacing w:line="320" w:lineRule="exact"/>
                    <w:jc w:val="center"/>
                    <w:rPr>
                      <w:rFonts w:hint="eastAsia" w:eastAsia="宋体"/>
                      <w:color w:val="auto"/>
                      <w:kern w:val="0"/>
                      <w:sz w:val="21"/>
                      <w:szCs w:val="21"/>
                      <w:lang w:eastAsia="zh-CN"/>
                    </w:rPr>
                  </w:pPr>
                  <w:r>
                    <w:rPr>
                      <w:rFonts w:hint="eastAsia"/>
                      <w:color w:val="auto"/>
                      <w:kern w:val="0"/>
                      <w:sz w:val="21"/>
                      <w:szCs w:val="21"/>
                      <w:lang w:val="en-US" w:eastAsia="zh-CN"/>
                    </w:rPr>
                    <w:t>9</w:t>
                  </w:r>
                </w:p>
              </w:tc>
              <w:tc>
                <w:tcPr>
                  <w:tcW w:w="321" w:type="pct"/>
                  <w:vMerge w:val="continue"/>
                  <w:tcBorders>
                    <w:tl2br w:val="nil"/>
                    <w:tr2bl w:val="nil"/>
                  </w:tcBorders>
                  <w:vAlign w:val="center"/>
                </w:tcPr>
                <w:p w14:paraId="3FFC9A39">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0C3B2148">
                  <w:pPr>
                    <w:widowControl/>
                    <w:spacing w:line="320" w:lineRule="exact"/>
                    <w:jc w:val="center"/>
                    <w:rPr>
                      <w:rFonts w:eastAsia="宋体"/>
                      <w:color w:val="auto"/>
                      <w:sz w:val="21"/>
                    </w:rPr>
                  </w:pPr>
                  <w:r>
                    <w:rPr>
                      <w:rFonts w:hint="eastAsia"/>
                      <w:color w:val="auto"/>
                      <w:sz w:val="21"/>
                      <w:szCs w:val="21"/>
                      <w:lang w:eastAsia="zh-CN"/>
                    </w:rPr>
                    <w:t>水</w:t>
                  </w:r>
                  <w:r>
                    <w:rPr>
                      <w:rFonts w:hint="eastAsia" w:eastAsia="宋体"/>
                      <w:color w:val="auto"/>
                      <w:sz w:val="21"/>
                      <w:szCs w:val="21"/>
                    </w:rPr>
                    <w:t>泵</w:t>
                  </w:r>
                </w:p>
              </w:tc>
              <w:tc>
                <w:tcPr>
                  <w:tcW w:w="319" w:type="pct"/>
                  <w:vMerge w:val="restart"/>
                  <w:tcBorders>
                    <w:tl2br w:val="nil"/>
                    <w:tr2bl w:val="nil"/>
                  </w:tcBorders>
                  <w:vAlign w:val="center"/>
                </w:tcPr>
                <w:p w14:paraId="4F004C95">
                  <w:pPr>
                    <w:widowControl/>
                    <w:spacing w:line="320" w:lineRule="exact"/>
                    <w:jc w:val="center"/>
                    <w:rPr>
                      <w:rFonts w:eastAsia="宋体"/>
                      <w:color w:val="auto"/>
                      <w:sz w:val="21"/>
                      <w:szCs w:val="21"/>
                    </w:rPr>
                  </w:pPr>
                  <w:r>
                    <w:rPr>
                      <w:rFonts w:hint="eastAsia" w:eastAsia="宋体"/>
                      <w:color w:val="auto"/>
                      <w:sz w:val="21"/>
                      <w:szCs w:val="21"/>
                    </w:rPr>
                    <w:t>-</w:t>
                  </w:r>
                </w:p>
              </w:tc>
              <w:tc>
                <w:tcPr>
                  <w:tcW w:w="351" w:type="pct"/>
                  <w:vMerge w:val="restart"/>
                  <w:tcBorders>
                    <w:tl2br w:val="nil"/>
                    <w:tr2bl w:val="nil"/>
                  </w:tcBorders>
                  <w:vAlign w:val="center"/>
                </w:tcPr>
                <w:p w14:paraId="543100E8">
                  <w:pPr>
                    <w:widowControl/>
                    <w:spacing w:line="320" w:lineRule="exact"/>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75</w:t>
                  </w:r>
                </w:p>
              </w:tc>
              <w:tc>
                <w:tcPr>
                  <w:tcW w:w="363" w:type="pct"/>
                  <w:vMerge w:val="continue"/>
                  <w:tcBorders>
                    <w:tl2br w:val="nil"/>
                    <w:tr2bl w:val="nil"/>
                  </w:tcBorders>
                  <w:vAlign w:val="center"/>
                </w:tcPr>
                <w:p w14:paraId="38E684EC">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2EB8EDFC">
                  <w:pPr>
                    <w:widowControl/>
                    <w:spacing w:line="320" w:lineRule="exact"/>
                    <w:jc w:val="center"/>
                    <w:rPr>
                      <w:rFonts w:eastAsia="宋体"/>
                      <w:color w:val="auto"/>
                      <w:kern w:val="0"/>
                      <w:sz w:val="21"/>
                      <w:szCs w:val="21"/>
                    </w:rPr>
                  </w:pPr>
                  <w:r>
                    <w:rPr>
                      <w:rFonts w:hint="eastAsia" w:eastAsia="宋体"/>
                      <w:color w:val="auto"/>
                      <w:kern w:val="0"/>
                      <w:sz w:val="21"/>
                      <w:szCs w:val="21"/>
                    </w:rPr>
                    <w:t>105</w:t>
                  </w:r>
                </w:p>
              </w:tc>
              <w:tc>
                <w:tcPr>
                  <w:tcW w:w="248" w:type="pct"/>
                  <w:vMerge w:val="restart"/>
                  <w:tcBorders>
                    <w:tl2br w:val="nil"/>
                    <w:tr2bl w:val="nil"/>
                  </w:tcBorders>
                  <w:vAlign w:val="center"/>
                </w:tcPr>
                <w:p w14:paraId="412E1726">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4</w:t>
                  </w:r>
                </w:p>
              </w:tc>
              <w:tc>
                <w:tcPr>
                  <w:tcW w:w="171" w:type="pct"/>
                  <w:vMerge w:val="restart"/>
                  <w:tcBorders>
                    <w:tl2br w:val="nil"/>
                    <w:tr2bl w:val="nil"/>
                  </w:tcBorders>
                  <w:vAlign w:val="center"/>
                </w:tcPr>
                <w:p w14:paraId="7F0D0AD4">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61240B16">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33B7D768">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1574305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vAlign w:val="center"/>
                </w:tcPr>
                <w:p w14:paraId="0674D9B7">
                  <w:pPr>
                    <w:widowControl/>
                    <w:autoSpaceDE w:val="0"/>
                    <w:adjustRightInd w:val="0"/>
                    <w:snapToGrid w:val="0"/>
                    <w:spacing w:line="320" w:lineRule="exact"/>
                    <w:jc w:val="center"/>
                    <w:rPr>
                      <w:rFonts w:eastAsiaTheme="minorEastAsia"/>
                      <w:color w:val="auto"/>
                    </w:rPr>
                  </w:pPr>
                  <w:r>
                    <w:rPr>
                      <w:rFonts w:hint="eastAsia" w:eastAsiaTheme="minorEastAsia"/>
                      <w:color w:val="auto"/>
                      <w:szCs w:val="21"/>
                    </w:rPr>
                    <w:t>昼间</w:t>
                  </w:r>
                </w:p>
              </w:tc>
              <w:tc>
                <w:tcPr>
                  <w:tcW w:w="423" w:type="pct"/>
                  <w:vMerge w:val="restart"/>
                  <w:tcBorders>
                    <w:tl2br w:val="nil"/>
                    <w:tr2bl w:val="nil"/>
                  </w:tcBorders>
                  <w:vAlign w:val="center"/>
                </w:tcPr>
                <w:p w14:paraId="767C4780">
                  <w:pPr>
                    <w:widowControl/>
                    <w:spacing w:line="320" w:lineRule="exact"/>
                    <w:jc w:val="center"/>
                    <w:rPr>
                      <w:rFonts w:eastAsiaTheme="minorEastAsia"/>
                      <w:color w:val="auto"/>
                      <w:kern w:val="0"/>
                      <w:szCs w:val="21"/>
                    </w:rPr>
                  </w:pPr>
                  <w:r>
                    <w:rPr>
                      <w:rFonts w:hint="eastAsia" w:eastAsiaTheme="minorEastAsia"/>
                      <w:color w:val="auto"/>
                      <w:kern w:val="0"/>
                      <w:szCs w:val="21"/>
                    </w:rPr>
                    <w:t>15</w:t>
                  </w:r>
                </w:p>
              </w:tc>
              <w:tc>
                <w:tcPr>
                  <w:tcW w:w="446" w:type="pct"/>
                  <w:tcBorders>
                    <w:tl2br w:val="nil"/>
                    <w:tr2bl w:val="nil"/>
                  </w:tcBorders>
                  <w:vAlign w:val="center"/>
                </w:tcPr>
                <w:p w14:paraId="267A7363">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00105664">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41726F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9F34DB1">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3BC8648">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0A68541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BFA463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E9F56CE">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A1D2963">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5AC68B45">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E3AB7A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07A8BBE6">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3AAADD1D">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33C8D891">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49C0AA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3ACCD0F6">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5D267AD7">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B85A391">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00511641">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5FBFA9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EBC90A3">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55A66E87">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1A015A59">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FE5E60D">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2AF490D5">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5482D23F">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29C1448D">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14D99034">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2B532C3">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2B06E79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2EE39D27">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366F27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47A59ADF">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D603D76">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1AC02B3D">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1E6AD925">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709EA0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77DF000">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62AE8897">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C5FEC2A">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6730D80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3CA90587">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E3D43B7">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3DA717C9">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391546DD">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7B9D649">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3AD0F79">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北</w:t>
                  </w:r>
                </w:p>
              </w:tc>
              <w:tc>
                <w:tcPr>
                  <w:tcW w:w="294" w:type="pct"/>
                  <w:tcBorders>
                    <w:tl2br w:val="nil"/>
                    <w:tr2bl w:val="nil"/>
                  </w:tcBorders>
                  <w:vAlign w:val="center"/>
                </w:tcPr>
                <w:p w14:paraId="14D99145">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2A99771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4CA9C49B">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FD8875A">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73F072AF">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60B8D02D">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4EB6B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459E481D">
                  <w:pPr>
                    <w:widowControl/>
                    <w:spacing w:line="32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10</w:t>
                  </w:r>
                </w:p>
              </w:tc>
              <w:tc>
                <w:tcPr>
                  <w:tcW w:w="321" w:type="pct"/>
                  <w:vMerge w:val="continue"/>
                  <w:tcBorders>
                    <w:tl2br w:val="nil"/>
                    <w:tr2bl w:val="nil"/>
                  </w:tcBorders>
                  <w:vAlign w:val="center"/>
                </w:tcPr>
                <w:p w14:paraId="39D5CB9F">
                  <w:pPr>
                    <w:widowControl/>
                    <w:spacing w:line="320" w:lineRule="exact"/>
                    <w:jc w:val="center"/>
                    <w:rPr>
                      <w:rFonts w:eastAsia="宋体"/>
                      <w:color w:val="auto"/>
                      <w:sz w:val="21"/>
                      <w:szCs w:val="21"/>
                    </w:rPr>
                  </w:pPr>
                </w:p>
              </w:tc>
              <w:tc>
                <w:tcPr>
                  <w:tcW w:w="365" w:type="pct"/>
                  <w:vMerge w:val="restart"/>
                  <w:tcBorders>
                    <w:tl2br w:val="nil"/>
                    <w:tr2bl w:val="nil"/>
                  </w:tcBorders>
                  <w:vAlign w:val="center"/>
                </w:tcPr>
                <w:p w14:paraId="7EB593BD">
                  <w:pPr>
                    <w:widowControl/>
                    <w:spacing w:line="320" w:lineRule="exact"/>
                    <w:jc w:val="center"/>
                    <w:rPr>
                      <w:rFonts w:eastAsia="宋体"/>
                      <w:color w:val="auto"/>
                      <w:sz w:val="21"/>
                      <w:szCs w:val="21"/>
                    </w:rPr>
                  </w:pPr>
                  <w:r>
                    <w:rPr>
                      <w:rFonts w:hint="eastAsia" w:eastAsia="宋体"/>
                      <w:color w:val="auto"/>
                      <w:sz w:val="21"/>
                      <w:szCs w:val="21"/>
                    </w:rPr>
                    <w:t>计量泵</w:t>
                  </w:r>
                </w:p>
              </w:tc>
              <w:tc>
                <w:tcPr>
                  <w:tcW w:w="319" w:type="pct"/>
                  <w:vMerge w:val="restart"/>
                  <w:tcBorders>
                    <w:tl2br w:val="nil"/>
                    <w:tr2bl w:val="nil"/>
                  </w:tcBorders>
                  <w:vAlign w:val="center"/>
                </w:tcPr>
                <w:p w14:paraId="1F84020B">
                  <w:pPr>
                    <w:widowControl/>
                    <w:spacing w:line="320" w:lineRule="exact"/>
                    <w:jc w:val="center"/>
                    <w:rPr>
                      <w:rFonts w:eastAsia="宋体"/>
                      <w:color w:val="auto"/>
                      <w:sz w:val="21"/>
                      <w:szCs w:val="21"/>
                    </w:rPr>
                  </w:pPr>
                  <w:r>
                    <w:rPr>
                      <w:rFonts w:hint="eastAsia" w:eastAsia="宋体"/>
                      <w:color w:val="auto"/>
                      <w:sz w:val="21"/>
                      <w:szCs w:val="21"/>
                    </w:rPr>
                    <w:t>-</w:t>
                  </w:r>
                </w:p>
              </w:tc>
              <w:tc>
                <w:tcPr>
                  <w:tcW w:w="351" w:type="pct"/>
                  <w:vMerge w:val="restart"/>
                  <w:tcBorders>
                    <w:tl2br w:val="nil"/>
                    <w:tr2bl w:val="nil"/>
                  </w:tcBorders>
                  <w:vAlign w:val="center"/>
                </w:tcPr>
                <w:p w14:paraId="2234DE44">
                  <w:pPr>
                    <w:widowControl/>
                    <w:spacing w:line="320" w:lineRule="exact"/>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75</w:t>
                  </w:r>
                </w:p>
              </w:tc>
              <w:tc>
                <w:tcPr>
                  <w:tcW w:w="363" w:type="pct"/>
                  <w:vMerge w:val="continue"/>
                  <w:tcBorders>
                    <w:tl2br w:val="nil"/>
                    <w:tr2bl w:val="nil"/>
                  </w:tcBorders>
                  <w:vAlign w:val="center"/>
                </w:tcPr>
                <w:p w14:paraId="0B0760B7">
                  <w:pPr>
                    <w:widowControl/>
                    <w:spacing w:line="320" w:lineRule="exact"/>
                    <w:jc w:val="center"/>
                    <w:rPr>
                      <w:rFonts w:eastAsia="宋体"/>
                      <w:color w:val="auto"/>
                      <w:kern w:val="0"/>
                      <w:sz w:val="21"/>
                      <w:szCs w:val="21"/>
                    </w:rPr>
                  </w:pPr>
                </w:p>
              </w:tc>
              <w:tc>
                <w:tcPr>
                  <w:tcW w:w="263" w:type="pct"/>
                  <w:vMerge w:val="restart"/>
                  <w:tcBorders>
                    <w:tl2br w:val="nil"/>
                    <w:tr2bl w:val="nil"/>
                  </w:tcBorders>
                  <w:vAlign w:val="center"/>
                </w:tcPr>
                <w:p w14:paraId="471D42EC">
                  <w:pPr>
                    <w:widowControl/>
                    <w:spacing w:line="320" w:lineRule="exact"/>
                    <w:jc w:val="center"/>
                    <w:rPr>
                      <w:rFonts w:eastAsia="宋体"/>
                      <w:color w:val="auto"/>
                      <w:kern w:val="0"/>
                      <w:sz w:val="21"/>
                      <w:szCs w:val="21"/>
                    </w:rPr>
                  </w:pPr>
                  <w:r>
                    <w:rPr>
                      <w:rFonts w:hint="eastAsia" w:eastAsia="宋体"/>
                      <w:color w:val="auto"/>
                      <w:kern w:val="0"/>
                      <w:sz w:val="21"/>
                      <w:szCs w:val="21"/>
                    </w:rPr>
                    <w:t>105</w:t>
                  </w:r>
                </w:p>
              </w:tc>
              <w:tc>
                <w:tcPr>
                  <w:tcW w:w="248" w:type="pct"/>
                  <w:vMerge w:val="restart"/>
                  <w:tcBorders>
                    <w:tl2br w:val="nil"/>
                    <w:tr2bl w:val="nil"/>
                  </w:tcBorders>
                  <w:vAlign w:val="center"/>
                </w:tcPr>
                <w:p w14:paraId="3815EC25">
                  <w:pPr>
                    <w:widowControl/>
                    <w:spacing w:line="320" w:lineRule="exact"/>
                    <w:jc w:val="center"/>
                    <w:rPr>
                      <w:rFonts w:eastAsia="宋体"/>
                      <w:color w:val="auto"/>
                      <w:kern w:val="0"/>
                      <w:sz w:val="21"/>
                      <w:szCs w:val="21"/>
                    </w:rPr>
                  </w:pPr>
                  <w:r>
                    <w:rPr>
                      <w:rFonts w:hint="eastAsia"/>
                      <w:color w:val="auto"/>
                      <w:kern w:val="0"/>
                      <w:sz w:val="21"/>
                      <w:szCs w:val="21"/>
                      <w:lang w:val="en-US" w:eastAsia="zh-CN"/>
                    </w:rPr>
                    <w:t>18</w:t>
                  </w:r>
                  <w:r>
                    <w:rPr>
                      <w:rFonts w:hint="eastAsia" w:eastAsia="宋体"/>
                      <w:color w:val="auto"/>
                      <w:kern w:val="0"/>
                      <w:sz w:val="21"/>
                      <w:szCs w:val="21"/>
                    </w:rPr>
                    <w:t>5</w:t>
                  </w:r>
                </w:p>
              </w:tc>
              <w:tc>
                <w:tcPr>
                  <w:tcW w:w="171" w:type="pct"/>
                  <w:vMerge w:val="restart"/>
                  <w:tcBorders>
                    <w:tl2br w:val="nil"/>
                    <w:tr2bl w:val="nil"/>
                  </w:tcBorders>
                  <w:vAlign w:val="center"/>
                </w:tcPr>
                <w:p w14:paraId="6CA3D539">
                  <w:pPr>
                    <w:widowControl/>
                    <w:spacing w:line="320" w:lineRule="exact"/>
                    <w:jc w:val="center"/>
                    <w:rPr>
                      <w:rFonts w:eastAsia="宋体"/>
                      <w:color w:val="auto"/>
                      <w:kern w:val="0"/>
                      <w:sz w:val="21"/>
                      <w:szCs w:val="21"/>
                    </w:rPr>
                  </w:pPr>
                  <w:r>
                    <w:rPr>
                      <w:rFonts w:hint="eastAsia" w:eastAsia="宋体"/>
                      <w:color w:val="auto"/>
                      <w:kern w:val="0"/>
                      <w:sz w:val="21"/>
                      <w:szCs w:val="21"/>
                    </w:rPr>
                    <w:t>1</w:t>
                  </w:r>
                </w:p>
              </w:tc>
              <w:tc>
                <w:tcPr>
                  <w:tcW w:w="209" w:type="pct"/>
                  <w:tcBorders>
                    <w:tl2br w:val="nil"/>
                    <w:tr2bl w:val="nil"/>
                  </w:tcBorders>
                  <w:vAlign w:val="center"/>
                </w:tcPr>
                <w:p w14:paraId="1ED8EFCC">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东</w:t>
                  </w:r>
                </w:p>
              </w:tc>
              <w:tc>
                <w:tcPr>
                  <w:tcW w:w="294" w:type="pct"/>
                  <w:tcBorders>
                    <w:tl2br w:val="nil"/>
                    <w:tr2bl w:val="nil"/>
                  </w:tcBorders>
                  <w:vAlign w:val="center"/>
                </w:tcPr>
                <w:p w14:paraId="20CDA20D">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45</w:t>
                  </w:r>
                </w:p>
              </w:tc>
              <w:tc>
                <w:tcPr>
                  <w:tcW w:w="353" w:type="pct"/>
                  <w:tcBorders>
                    <w:tl2br w:val="nil"/>
                    <w:tr2bl w:val="nil"/>
                  </w:tcBorders>
                  <w:vAlign w:val="center"/>
                </w:tcPr>
                <w:p w14:paraId="0EAF851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41.9</w:t>
                  </w:r>
                </w:p>
              </w:tc>
              <w:tc>
                <w:tcPr>
                  <w:tcW w:w="289" w:type="pct"/>
                  <w:vMerge w:val="restart"/>
                  <w:tcBorders>
                    <w:tl2br w:val="nil"/>
                    <w:tr2bl w:val="nil"/>
                  </w:tcBorders>
                  <w:shd w:val="clear" w:color="auto" w:fill="auto"/>
                  <w:vAlign w:val="center"/>
                </w:tcPr>
                <w:p w14:paraId="117F8A18">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昼间</w:t>
                  </w:r>
                </w:p>
                <w:p w14:paraId="2532B6D7">
                  <w:pPr>
                    <w:widowControl/>
                    <w:autoSpaceDE w:val="0"/>
                    <w:adjustRightInd w:val="0"/>
                    <w:snapToGrid w:val="0"/>
                    <w:spacing w:line="320" w:lineRule="exact"/>
                    <w:jc w:val="center"/>
                    <w:rPr>
                      <w:rFonts w:eastAsiaTheme="minorEastAsia"/>
                      <w:color w:val="auto"/>
                    </w:rPr>
                  </w:pPr>
                </w:p>
              </w:tc>
              <w:tc>
                <w:tcPr>
                  <w:tcW w:w="423" w:type="pct"/>
                  <w:vMerge w:val="restart"/>
                  <w:tcBorders>
                    <w:tl2br w:val="nil"/>
                    <w:tr2bl w:val="nil"/>
                  </w:tcBorders>
                  <w:shd w:val="clear" w:color="auto" w:fill="auto"/>
                  <w:vAlign w:val="center"/>
                </w:tcPr>
                <w:p w14:paraId="5B85B253">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p w14:paraId="367672EF">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52B2F9D5">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415" w:type="pct"/>
                  <w:tcBorders>
                    <w:tl2br w:val="nil"/>
                    <w:tr2bl w:val="nil"/>
                  </w:tcBorders>
                  <w:vAlign w:val="center"/>
                </w:tcPr>
                <w:p w14:paraId="52BEE546">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69195F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0A9482AC">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FDB7E8C">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71C04CD">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4557B67">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0753602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ED561D1">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26F4405A">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F9B4520">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242D3E6E">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1D57794B">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南</w:t>
                  </w:r>
                </w:p>
              </w:tc>
              <w:tc>
                <w:tcPr>
                  <w:tcW w:w="294" w:type="pct"/>
                  <w:tcBorders>
                    <w:tl2br w:val="nil"/>
                    <w:tr2bl w:val="nil"/>
                  </w:tcBorders>
                  <w:vAlign w:val="center"/>
                </w:tcPr>
                <w:p w14:paraId="387FF3B4">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31DCAF8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F307A5F">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1437DD2B">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0A4B3D7D">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5CBF05E">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lang w:val="en-US" w:eastAsia="zh-CN"/>
                    </w:rPr>
                    <w:t>1</w:t>
                  </w:r>
                </w:p>
              </w:tc>
            </w:tr>
            <w:tr w14:paraId="2D3B29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60D61E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323AFFD">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142C385D">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F56DA41">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6E45DBE">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107968ED">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4CED943B">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E97435B">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6FBD66C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53952C88">
                  <w:pPr>
                    <w:widowControl/>
                    <w:autoSpaceDE w:val="0"/>
                    <w:adjustRightInd w:val="0"/>
                    <w:snapToGrid w:val="0"/>
                    <w:spacing w:line="320" w:lineRule="exact"/>
                    <w:jc w:val="center"/>
                    <w:textAlignment w:val="center"/>
                    <w:rPr>
                      <w:rFonts w:eastAsia="宋体"/>
                      <w:color w:val="auto"/>
                      <w:kern w:val="0"/>
                      <w:sz w:val="21"/>
                      <w:szCs w:val="21"/>
                    </w:rPr>
                  </w:pPr>
                  <w:r>
                    <w:rPr>
                      <w:rFonts w:eastAsia="宋体"/>
                      <w:color w:val="auto"/>
                      <w:kern w:val="0"/>
                      <w:sz w:val="21"/>
                      <w:szCs w:val="21"/>
                    </w:rPr>
                    <w:t>西</w:t>
                  </w:r>
                </w:p>
              </w:tc>
              <w:tc>
                <w:tcPr>
                  <w:tcW w:w="294" w:type="pct"/>
                  <w:tcBorders>
                    <w:tl2br w:val="nil"/>
                    <w:tr2bl w:val="nil"/>
                  </w:tcBorders>
                  <w:vAlign w:val="center"/>
                </w:tcPr>
                <w:p w14:paraId="691ED01A">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w:t>
                  </w:r>
                </w:p>
              </w:tc>
              <w:tc>
                <w:tcPr>
                  <w:tcW w:w="353" w:type="pct"/>
                  <w:tcBorders>
                    <w:tl2br w:val="nil"/>
                    <w:tr2bl w:val="nil"/>
                  </w:tcBorders>
                  <w:vAlign w:val="center"/>
                </w:tcPr>
                <w:p w14:paraId="08B48B3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289" w:type="pct"/>
                  <w:vMerge w:val="continue"/>
                  <w:tcBorders>
                    <w:tl2br w:val="nil"/>
                    <w:tr2bl w:val="nil"/>
                  </w:tcBorders>
                  <w:vAlign w:val="center"/>
                </w:tcPr>
                <w:p w14:paraId="73A21015">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01CB3D52">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A302BEC">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415" w:type="pct"/>
                  <w:tcBorders>
                    <w:tl2br w:val="nil"/>
                    <w:tr2bl w:val="nil"/>
                  </w:tcBorders>
                  <w:vAlign w:val="center"/>
                </w:tcPr>
                <w:p w14:paraId="40993174">
                  <w:pPr>
                    <w:widowControl/>
                    <w:autoSpaceDE w:val="0"/>
                    <w:adjustRightInd w:val="0"/>
                    <w:snapToGrid w:val="0"/>
                    <w:spacing w:line="320" w:lineRule="exact"/>
                    <w:jc w:val="center"/>
                    <w:textAlignment w:val="center"/>
                    <w:rPr>
                      <w:rFonts w:hint="eastAsia" w:eastAsiaTheme="minorEastAsia"/>
                      <w:color w:val="auto"/>
                      <w:kern w:val="0"/>
                      <w:szCs w:val="21"/>
                      <w:lang w:eastAsia="zh-CN"/>
                    </w:rPr>
                  </w:pPr>
                  <w:r>
                    <w:rPr>
                      <w:rFonts w:hint="eastAsia" w:eastAsiaTheme="minorEastAsia"/>
                      <w:color w:val="auto"/>
                      <w:kern w:val="0"/>
                      <w:szCs w:val="21"/>
                      <w:lang w:val="en-US" w:eastAsia="zh-CN"/>
                    </w:rPr>
                    <w:t>1</w:t>
                  </w:r>
                </w:p>
              </w:tc>
            </w:tr>
            <w:tr w14:paraId="7ACD46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3A8634C3">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7789B034">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56577D3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A1A27E8">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7AFCBF1D">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76CB54D3">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0961C215">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76018707">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6E314C9D">
                  <w:pPr>
                    <w:widowControl/>
                    <w:spacing w:line="320" w:lineRule="exact"/>
                    <w:jc w:val="center"/>
                    <w:rPr>
                      <w:rFonts w:eastAsia="宋体"/>
                      <w:color w:val="auto"/>
                      <w:kern w:val="0"/>
                      <w:sz w:val="21"/>
                      <w:szCs w:val="21"/>
                    </w:rPr>
                  </w:pPr>
                </w:p>
              </w:tc>
              <w:tc>
                <w:tcPr>
                  <w:tcW w:w="209" w:type="pct"/>
                  <w:tcBorders>
                    <w:tl2br w:val="nil"/>
                    <w:tr2bl w:val="nil"/>
                  </w:tcBorders>
                  <w:vAlign w:val="center"/>
                </w:tcPr>
                <w:p w14:paraId="7247AC84">
                  <w:pPr>
                    <w:widowControl/>
                    <w:autoSpaceDE w:val="0"/>
                    <w:adjustRightInd w:val="0"/>
                    <w:snapToGrid w:val="0"/>
                    <w:spacing w:line="320" w:lineRule="exact"/>
                    <w:jc w:val="center"/>
                    <w:textAlignment w:val="center"/>
                    <w:rPr>
                      <w:rFonts w:hint="eastAsia" w:eastAsia="宋体"/>
                      <w:color w:val="auto"/>
                      <w:kern w:val="0"/>
                      <w:sz w:val="21"/>
                      <w:szCs w:val="21"/>
                      <w:lang w:val="en-US" w:eastAsia="zh-CN"/>
                    </w:rPr>
                  </w:pPr>
                  <w:r>
                    <w:rPr>
                      <w:rFonts w:hint="eastAsia" w:eastAsia="宋体"/>
                      <w:color w:val="auto"/>
                      <w:kern w:val="0"/>
                      <w:sz w:val="21"/>
                      <w:szCs w:val="21"/>
                      <w:lang w:val="en-US" w:eastAsia="zh-CN"/>
                    </w:rPr>
                    <w:t>北</w:t>
                  </w:r>
                </w:p>
              </w:tc>
              <w:tc>
                <w:tcPr>
                  <w:tcW w:w="294" w:type="pct"/>
                  <w:tcBorders>
                    <w:tl2br w:val="nil"/>
                    <w:tr2bl w:val="nil"/>
                  </w:tcBorders>
                  <w:vAlign w:val="center"/>
                </w:tcPr>
                <w:p w14:paraId="7772851D">
                  <w:pPr>
                    <w:widowControl/>
                    <w:spacing w:line="320" w:lineRule="exact"/>
                    <w:jc w:val="center"/>
                    <w:textAlignment w:val="center"/>
                    <w:rPr>
                      <w:rFonts w:eastAsia="宋体" w:cs="宋体"/>
                      <w:color w:val="auto"/>
                      <w:kern w:val="0"/>
                      <w:sz w:val="21"/>
                      <w:szCs w:val="22"/>
                      <w:lang w:bidi="ar"/>
                    </w:rPr>
                  </w:pPr>
                  <w:r>
                    <w:rPr>
                      <w:rFonts w:hint="eastAsia" w:eastAsia="宋体"/>
                      <w:color w:val="auto"/>
                      <w:kern w:val="0"/>
                      <w:sz w:val="21"/>
                      <w:szCs w:val="21"/>
                    </w:rPr>
                    <w:t>175</w:t>
                  </w:r>
                </w:p>
              </w:tc>
              <w:tc>
                <w:tcPr>
                  <w:tcW w:w="353" w:type="pct"/>
                  <w:tcBorders>
                    <w:tl2br w:val="nil"/>
                    <w:tr2bl w:val="nil"/>
                  </w:tcBorders>
                  <w:vAlign w:val="center"/>
                </w:tcPr>
                <w:p w14:paraId="4E192AA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289" w:type="pct"/>
                  <w:vMerge w:val="continue"/>
                  <w:tcBorders>
                    <w:tl2br w:val="nil"/>
                    <w:tr2bl w:val="nil"/>
                  </w:tcBorders>
                  <w:vAlign w:val="center"/>
                </w:tcPr>
                <w:p w14:paraId="3506D8C9">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1F4324E">
                  <w:pPr>
                    <w:widowControl/>
                    <w:spacing w:line="320" w:lineRule="exact"/>
                    <w:jc w:val="center"/>
                    <w:rPr>
                      <w:rFonts w:eastAsiaTheme="minorEastAsia"/>
                      <w:color w:val="auto"/>
                      <w:kern w:val="0"/>
                      <w:szCs w:val="21"/>
                    </w:rPr>
                  </w:pPr>
                </w:p>
              </w:tc>
              <w:tc>
                <w:tcPr>
                  <w:tcW w:w="446" w:type="pct"/>
                  <w:tcBorders>
                    <w:tl2br w:val="nil"/>
                    <w:tr2bl w:val="nil"/>
                  </w:tcBorders>
                  <w:vAlign w:val="center"/>
                </w:tcPr>
                <w:p w14:paraId="6F0E3DF3">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15.1</w:t>
                  </w:r>
                </w:p>
              </w:tc>
              <w:tc>
                <w:tcPr>
                  <w:tcW w:w="415" w:type="pct"/>
                  <w:tcBorders>
                    <w:tl2br w:val="nil"/>
                    <w:tr2bl w:val="nil"/>
                  </w:tcBorders>
                  <w:vAlign w:val="center"/>
                </w:tcPr>
                <w:p w14:paraId="59E2B358">
                  <w:pPr>
                    <w:widowControl/>
                    <w:autoSpaceDE w:val="0"/>
                    <w:adjustRightInd w:val="0"/>
                    <w:snapToGrid w:val="0"/>
                    <w:spacing w:line="320" w:lineRule="exact"/>
                    <w:jc w:val="center"/>
                    <w:textAlignment w:val="center"/>
                    <w:rPr>
                      <w:rFonts w:eastAsiaTheme="minorEastAsia"/>
                      <w:color w:val="auto"/>
                      <w:kern w:val="0"/>
                      <w:szCs w:val="21"/>
                    </w:rPr>
                  </w:pPr>
                  <w:r>
                    <w:rPr>
                      <w:rFonts w:hint="eastAsia" w:eastAsiaTheme="minorEastAsia"/>
                      <w:color w:val="auto"/>
                      <w:kern w:val="0"/>
                      <w:szCs w:val="21"/>
                    </w:rPr>
                    <w:t>1</w:t>
                  </w:r>
                </w:p>
              </w:tc>
            </w:tr>
            <w:tr w14:paraId="5D55B7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restart"/>
                  <w:tcBorders>
                    <w:tl2br w:val="nil"/>
                    <w:tr2bl w:val="nil"/>
                  </w:tcBorders>
                  <w:vAlign w:val="center"/>
                </w:tcPr>
                <w:p w14:paraId="5C2C8056">
                  <w:pPr>
                    <w:widowControl/>
                    <w:spacing w:line="32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11</w:t>
                  </w:r>
                </w:p>
              </w:tc>
              <w:tc>
                <w:tcPr>
                  <w:tcW w:w="321" w:type="pct"/>
                  <w:vMerge w:val="continue"/>
                  <w:tcBorders>
                    <w:tl2br w:val="nil"/>
                    <w:tr2bl w:val="nil"/>
                  </w:tcBorders>
                  <w:vAlign w:val="center"/>
                </w:tcPr>
                <w:p w14:paraId="6BF5E0B9">
                  <w:pPr>
                    <w:widowControl/>
                    <w:spacing w:line="320" w:lineRule="exact"/>
                    <w:jc w:val="center"/>
                    <w:rPr>
                      <w:rFonts w:eastAsia="宋体"/>
                      <w:color w:val="auto"/>
                      <w:sz w:val="21"/>
                      <w:szCs w:val="21"/>
                    </w:rPr>
                  </w:pPr>
                </w:p>
              </w:tc>
              <w:tc>
                <w:tcPr>
                  <w:tcW w:w="365" w:type="pct"/>
                  <w:vMerge w:val="restart"/>
                  <w:tcBorders>
                    <w:tl2br w:val="nil"/>
                    <w:tr2bl w:val="nil"/>
                  </w:tcBorders>
                  <w:shd w:val="clear" w:color="auto" w:fill="auto"/>
                  <w:vAlign w:val="center"/>
                </w:tcPr>
                <w:p w14:paraId="7781726B">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eastAsia="zh-CN"/>
                    </w:rPr>
                    <w:t>喷淋装置</w:t>
                  </w:r>
                </w:p>
              </w:tc>
              <w:tc>
                <w:tcPr>
                  <w:tcW w:w="319" w:type="pct"/>
                  <w:vMerge w:val="restart"/>
                  <w:tcBorders>
                    <w:tl2br w:val="nil"/>
                    <w:tr2bl w:val="nil"/>
                  </w:tcBorders>
                  <w:shd w:val="clear" w:color="auto" w:fill="auto"/>
                  <w:vAlign w:val="center"/>
                </w:tcPr>
                <w:p w14:paraId="243F8347">
                  <w:pPr>
                    <w:widowControl/>
                    <w:spacing w:line="320" w:lineRule="exact"/>
                    <w:jc w:val="center"/>
                    <w:rPr>
                      <w:rFonts w:hint="eastAsia"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w:t>
                  </w:r>
                </w:p>
              </w:tc>
              <w:tc>
                <w:tcPr>
                  <w:tcW w:w="351" w:type="pct"/>
                  <w:vMerge w:val="restart"/>
                  <w:tcBorders>
                    <w:tl2br w:val="nil"/>
                    <w:tr2bl w:val="nil"/>
                  </w:tcBorders>
                  <w:shd w:val="clear" w:color="auto" w:fill="auto"/>
                  <w:vAlign w:val="center"/>
                </w:tcPr>
                <w:p w14:paraId="16ADF63F">
                  <w:pPr>
                    <w:widowControl/>
                    <w:spacing w:line="320" w:lineRule="exact"/>
                    <w:jc w:val="center"/>
                    <w:rPr>
                      <w:rFonts w:hint="default"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lang w:val="en-US" w:eastAsia="zh-CN"/>
                    </w:rPr>
                    <w:t>85</w:t>
                  </w:r>
                </w:p>
              </w:tc>
              <w:tc>
                <w:tcPr>
                  <w:tcW w:w="363" w:type="pct"/>
                  <w:vMerge w:val="continue"/>
                  <w:tcBorders>
                    <w:tl2br w:val="nil"/>
                    <w:tr2bl w:val="nil"/>
                  </w:tcBorders>
                  <w:vAlign w:val="center"/>
                </w:tcPr>
                <w:p w14:paraId="72389E04">
                  <w:pPr>
                    <w:widowControl/>
                    <w:spacing w:line="320" w:lineRule="exact"/>
                    <w:jc w:val="center"/>
                    <w:rPr>
                      <w:rFonts w:eastAsia="宋体"/>
                      <w:color w:val="auto"/>
                      <w:kern w:val="0"/>
                      <w:sz w:val="21"/>
                      <w:szCs w:val="21"/>
                    </w:rPr>
                  </w:pPr>
                </w:p>
              </w:tc>
              <w:tc>
                <w:tcPr>
                  <w:tcW w:w="263" w:type="pct"/>
                  <w:vMerge w:val="restart"/>
                  <w:tcBorders>
                    <w:tl2br w:val="nil"/>
                    <w:tr2bl w:val="nil"/>
                  </w:tcBorders>
                  <w:shd w:val="clear" w:color="auto" w:fill="auto"/>
                  <w:vAlign w:val="center"/>
                </w:tcPr>
                <w:p w14:paraId="3B8B6128">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96</w:t>
                  </w:r>
                </w:p>
                <w:p w14:paraId="44B8B59C">
                  <w:pPr>
                    <w:widowControl/>
                    <w:spacing w:line="320" w:lineRule="exact"/>
                    <w:jc w:val="center"/>
                    <w:rPr>
                      <w:rFonts w:eastAsia="宋体"/>
                      <w:color w:val="auto"/>
                      <w:kern w:val="0"/>
                      <w:sz w:val="21"/>
                      <w:szCs w:val="21"/>
                    </w:rPr>
                  </w:pPr>
                </w:p>
              </w:tc>
              <w:tc>
                <w:tcPr>
                  <w:tcW w:w="248" w:type="pct"/>
                  <w:vMerge w:val="restart"/>
                  <w:tcBorders>
                    <w:tl2br w:val="nil"/>
                    <w:tr2bl w:val="nil"/>
                  </w:tcBorders>
                  <w:shd w:val="clear" w:color="auto" w:fill="auto"/>
                  <w:vAlign w:val="center"/>
                </w:tcPr>
                <w:p w14:paraId="7CE54518">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225</w:t>
                  </w:r>
                </w:p>
                <w:p w14:paraId="2C970E50">
                  <w:pPr>
                    <w:widowControl/>
                    <w:spacing w:line="320" w:lineRule="exact"/>
                    <w:jc w:val="center"/>
                    <w:rPr>
                      <w:rFonts w:eastAsia="宋体"/>
                      <w:color w:val="auto"/>
                      <w:kern w:val="0"/>
                      <w:sz w:val="21"/>
                      <w:szCs w:val="21"/>
                    </w:rPr>
                  </w:pPr>
                </w:p>
              </w:tc>
              <w:tc>
                <w:tcPr>
                  <w:tcW w:w="171" w:type="pct"/>
                  <w:vMerge w:val="restart"/>
                  <w:tcBorders>
                    <w:tl2br w:val="nil"/>
                    <w:tr2bl w:val="nil"/>
                  </w:tcBorders>
                  <w:shd w:val="clear" w:color="auto" w:fill="auto"/>
                  <w:vAlign w:val="center"/>
                </w:tcPr>
                <w:p w14:paraId="495CE929">
                  <w:pPr>
                    <w:widowControl/>
                    <w:spacing w:line="320" w:lineRule="exact"/>
                    <w:jc w:val="center"/>
                    <w:rPr>
                      <w:rFonts w:hint="default"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11</w:t>
                  </w:r>
                </w:p>
                <w:p w14:paraId="160C5331">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0F32E629">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东</w:t>
                  </w:r>
                </w:p>
              </w:tc>
              <w:tc>
                <w:tcPr>
                  <w:tcW w:w="294" w:type="pct"/>
                  <w:tcBorders>
                    <w:tl2br w:val="nil"/>
                    <w:tr2bl w:val="nil"/>
                  </w:tcBorders>
                  <w:shd w:val="clear" w:color="auto" w:fill="auto"/>
                  <w:vAlign w:val="center"/>
                </w:tcPr>
                <w:p w14:paraId="1CA2550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2</w:t>
                  </w:r>
                  <w:r>
                    <w:rPr>
                      <w:rFonts w:hint="eastAsia" w:cs="宋体" w:eastAsiaTheme="minorEastAsia"/>
                      <w:color w:val="auto"/>
                      <w:kern w:val="0"/>
                      <w:szCs w:val="22"/>
                      <w:lang w:val="en-US" w:eastAsia="zh-CN" w:bidi="ar"/>
                    </w:rPr>
                    <w:t>3</w:t>
                  </w:r>
                </w:p>
              </w:tc>
              <w:tc>
                <w:tcPr>
                  <w:tcW w:w="353" w:type="pct"/>
                  <w:tcBorders>
                    <w:tl2br w:val="nil"/>
                    <w:tr2bl w:val="nil"/>
                  </w:tcBorders>
                  <w:shd w:val="clear" w:color="auto" w:fill="auto"/>
                  <w:vAlign w:val="center"/>
                </w:tcPr>
                <w:p w14:paraId="7E72387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57.0</w:t>
                  </w:r>
                </w:p>
              </w:tc>
              <w:tc>
                <w:tcPr>
                  <w:tcW w:w="289" w:type="pct"/>
                  <w:vMerge w:val="restart"/>
                  <w:tcBorders>
                    <w:tl2br w:val="nil"/>
                    <w:tr2bl w:val="nil"/>
                  </w:tcBorders>
                  <w:shd w:val="clear" w:color="auto" w:fill="auto"/>
                  <w:vAlign w:val="center"/>
                </w:tcPr>
                <w:p w14:paraId="19763D46">
                  <w:pPr>
                    <w:widowControl/>
                    <w:autoSpaceDE w:val="0"/>
                    <w:adjustRightInd w:val="0"/>
                    <w:snapToGrid w:val="0"/>
                    <w:spacing w:line="320" w:lineRule="exact"/>
                    <w:jc w:val="center"/>
                    <w:rPr>
                      <w:rFonts w:ascii="Times New Roman" w:hAnsi="Times New Roman" w:eastAsia="宋体" w:cs="Times New Roman"/>
                      <w:color w:val="auto"/>
                      <w:kern w:val="2"/>
                      <w:sz w:val="21"/>
                      <w:szCs w:val="24"/>
                      <w:lang w:val="en-US" w:eastAsia="zh-CN" w:bidi="ar-SA"/>
                    </w:rPr>
                  </w:pPr>
                  <w:r>
                    <w:rPr>
                      <w:rFonts w:hint="eastAsia" w:eastAsiaTheme="minorEastAsia"/>
                      <w:color w:val="auto"/>
                      <w:szCs w:val="21"/>
                    </w:rPr>
                    <w:t>昼间</w:t>
                  </w:r>
                </w:p>
              </w:tc>
              <w:tc>
                <w:tcPr>
                  <w:tcW w:w="423" w:type="pct"/>
                  <w:vMerge w:val="restart"/>
                  <w:tcBorders>
                    <w:tl2br w:val="nil"/>
                    <w:tr2bl w:val="nil"/>
                  </w:tcBorders>
                  <w:shd w:val="clear" w:color="auto" w:fill="auto"/>
                  <w:vAlign w:val="center"/>
                </w:tcPr>
                <w:p w14:paraId="0A1C412A">
                  <w:pPr>
                    <w:widowControl/>
                    <w:autoSpaceDE w:val="0"/>
                    <w:adjustRightInd w:val="0"/>
                    <w:snapToGrid w:val="0"/>
                    <w:spacing w:line="320" w:lineRule="exact"/>
                    <w:jc w:val="center"/>
                    <w:rPr>
                      <w:rFonts w:ascii="Times New Roman" w:hAnsi="Times New Roman" w:cs="Times New Roman" w:eastAsiaTheme="minorEastAsia"/>
                      <w:color w:val="auto"/>
                      <w:kern w:val="2"/>
                      <w:sz w:val="21"/>
                      <w:szCs w:val="21"/>
                      <w:lang w:val="en-US" w:eastAsia="zh-CN" w:bidi="ar-SA"/>
                    </w:rPr>
                  </w:pPr>
                  <w:r>
                    <w:rPr>
                      <w:rFonts w:hint="eastAsia" w:eastAsiaTheme="minorEastAsia"/>
                      <w:color w:val="auto"/>
                      <w:szCs w:val="21"/>
                    </w:rPr>
                    <w:t>15</w:t>
                  </w:r>
                </w:p>
              </w:tc>
              <w:tc>
                <w:tcPr>
                  <w:tcW w:w="446" w:type="pct"/>
                  <w:tcBorders>
                    <w:tl2br w:val="nil"/>
                    <w:tr2bl w:val="nil"/>
                  </w:tcBorders>
                  <w:shd w:val="clear" w:color="auto" w:fill="auto"/>
                  <w:vAlign w:val="center"/>
                </w:tcPr>
                <w:p w14:paraId="117A2D3E">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42.0</w:t>
                  </w:r>
                </w:p>
              </w:tc>
              <w:tc>
                <w:tcPr>
                  <w:tcW w:w="415" w:type="pct"/>
                  <w:tcBorders>
                    <w:tl2br w:val="nil"/>
                    <w:tr2bl w:val="nil"/>
                  </w:tcBorders>
                  <w:shd w:val="clear" w:color="auto" w:fill="auto"/>
                  <w:vAlign w:val="center"/>
                </w:tcPr>
                <w:p w14:paraId="6C48BA12">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r w14:paraId="6B9EEE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F37DF6D">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6CA574F5">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51765A3">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0BA1FD2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4BBBF10D">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75FFD800">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1F793D5C">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4419196">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7249B436">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190C2ABA">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南</w:t>
                  </w:r>
                </w:p>
              </w:tc>
              <w:tc>
                <w:tcPr>
                  <w:tcW w:w="294" w:type="pct"/>
                  <w:tcBorders>
                    <w:tl2br w:val="nil"/>
                    <w:tr2bl w:val="nil"/>
                  </w:tcBorders>
                  <w:shd w:val="clear" w:color="auto" w:fill="auto"/>
                  <w:vAlign w:val="center"/>
                </w:tcPr>
                <w:p w14:paraId="58CEC541">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35</w:t>
                  </w:r>
                </w:p>
              </w:tc>
              <w:tc>
                <w:tcPr>
                  <w:tcW w:w="353" w:type="pct"/>
                  <w:tcBorders>
                    <w:tl2br w:val="nil"/>
                    <w:tr2bl w:val="nil"/>
                  </w:tcBorders>
                  <w:shd w:val="clear" w:color="auto" w:fill="auto"/>
                  <w:vAlign w:val="center"/>
                </w:tcPr>
                <w:p w14:paraId="6E03678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71.0</w:t>
                  </w:r>
                </w:p>
              </w:tc>
              <w:tc>
                <w:tcPr>
                  <w:tcW w:w="289" w:type="pct"/>
                  <w:vMerge w:val="continue"/>
                  <w:tcBorders>
                    <w:tl2br w:val="nil"/>
                    <w:tr2bl w:val="nil"/>
                  </w:tcBorders>
                  <w:vAlign w:val="center"/>
                </w:tcPr>
                <w:p w14:paraId="370D149D">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ED2BE55">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745BAE9D">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56.0</w:t>
                  </w:r>
                </w:p>
              </w:tc>
              <w:tc>
                <w:tcPr>
                  <w:tcW w:w="415" w:type="pct"/>
                  <w:tcBorders>
                    <w:tl2br w:val="nil"/>
                    <w:tr2bl w:val="nil"/>
                  </w:tcBorders>
                  <w:shd w:val="clear" w:color="auto" w:fill="auto"/>
                  <w:vAlign w:val="center"/>
                </w:tcPr>
                <w:p w14:paraId="0D327DF0">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2D9FF6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2AC211DA">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0E81451A">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30075F5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2063D0BB">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1BD8FEC9">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03D87CDA">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60C366B8">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0DC4953B">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19A528DE">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2FD34C52">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西</w:t>
                  </w:r>
                </w:p>
              </w:tc>
              <w:tc>
                <w:tcPr>
                  <w:tcW w:w="294" w:type="pct"/>
                  <w:tcBorders>
                    <w:tl2br w:val="nil"/>
                    <w:tr2bl w:val="nil"/>
                  </w:tcBorders>
                  <w:shd w:val="clear" w:color="auto" w:fill="auto"/>
                  <w:vAlign w:val="center"/>
                </w:tcPr>
                <w:p w14:paraId="283D57F6">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bidi="ar"/>
                    </w:rPr>
                    <w:t>30</w:t>
                  </w:r>
                </w:p>
              </w:tc>
              <w:tc>
                <w:tcPr>
                  <w:tcW w:w="353" w:type="pct"/>
                  <w:tcBorders>
                    <w:tl2br w:val="nil"/>
                    <w:tr2bl w:val="nil"/>
                  </w:tcBorders>
                  <w:shd w:val="clear" w:color="auto" w:fill="auto"/>
                  <w:vAlign w:val="center"/>
                </w:tcPr>
                <w:p w14:paraId="37724998">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55.5</w:t>
                  </w:r>
                </w:p>
              </w:tc>
              <w:tc>
                <w:tcPr>
                  <w:tcW w:w="289" w:type="pct"/>
                  <w:vMerge w:val="continue"/>
                  <w:tcBorders>
                    <w:tl2br w:val="nil"/>
                    <w:tr2bl w:val="nil"/>
                  </w:tcBorders>
                  <w:vAlign w:val="center"/>
                </w:tcPr>
                <w:p w14:paraId="4C3CAA0A">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2FAE7A24">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3D087E44">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40.5</w:t>
                  </w:r>
                </w:p>
              </w:tc>
              <w:tc>
                <w:tcPr>
                  <w:tcW w:w="415" w:type="pct"/>
                  <w:tcBorders>
                    <w:tl2br w:val="nil"/>
                    <w:tr2bl w:val="nil"/>
                  </w:tcBorders>
                  <w:shd w:val="clear" w:color="auto" w:fill="auto"/>
                  <w:vAlign w:val="center"/>
                </w:tcPr>
                <w:p w14:paraId="42AEEA9F">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lang w:val="en-US" w:eastAsia="zh-CN"/>
                    </w:rPr>
                    <w:t>1</w:t>
                  </w:r>
                </w:p>
              </w:tc>
            </w:tr>
            <w:tr w14:paraId="66E8AF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 w:hRule="atLeast"/>
                <w:jc w:val="center"/>
              </w:trPr>
              <w:tc>
                <w:tcPr>
                  <w:tcW w:w="163" w:type="pct"/>
                  <w:vMerge w:val="continue"/>
                  <w:tcBorders>
                    <w:tl2br w:val="nil"/>
                    <w:tr2bl w:val="nil"/>
                  </w:tcBorders>
                  <w:vAlign w:val="center"/>
                </w:tcPr>
                <w:p w14:paraId="77673FCE">
                  <w:pPr>
                    <w:widowControl/>
                    <w:spacing w:line="320" w:lineRule="exact"/>
                    <w:jc w:val="center"/>
                    <w:rPr>
                      <w:rFonts w:eastAsia="宋体"/>
                      <w:color w:val="auto"/>
                      <w:kern w:val="0"/>
                      <w:sz w:val="21"/>
                      <w:szCs w:val="21"/>
                    </w:rPr>
                  </w:pPr>
                </w:p>
              </w:tc>
              <w:tc>
                <w:tcPr>
                  <w:tcW w:w="321" w:type="pct"/>
                  <w:vMerge w:val="continue"/>
                  <w:tcBorders>
                    <w:tl2br w:val="nil"/>
                    <w:tr2bl w:val="nil"/>
                  </w:tcBorders>
                  <w:vAlign w:val="center"/>
                </w:tcPr>
                <w:p w14:paraId="2A905AB9">
                  <w:pPr>
                    <w:widowControl/>
                    <w:spacing w:line="320" w:lineRule="exact"/>
                    <w:jc w:val="center"/>
                    <w:rPr>
                      <w:rFonts w:eastAsia="宋体"/>
                      <w:color w:val="auto"/>
                      <w:sz w:val="21"/>
                      <w:szCs w:val="21"/>
                    </w:rPr>
                  </w:pPr>
                </w:p>
              </w:tc>
              <w:tc>
                <w:tcPr>
                  <w:tcW w:w="365" w:type="pct"/>
                  <w:vMerge w:val="continue"/>
                  <w:tcBorders>
                    <w:tl2br w:val="nil"/>
                    <w:tr2bl w:val="nil"/>
                  </w:tcBorders>
                  <w:vAlign w:val="center"/>
                </w:tcPr>
                <w:p w14:paraId="6192D770">
                  <w:pPr>
                    <w:widowControl/>
                    <w:spacing w:line="320" w:lineRule="exact"/>
                    <w:jc w:val="center"/>
                    <w:rPr>
                      <w:rFonts w:eastAsia="宋体"/>
                      <w:color w:val="auto"/>
                      <w:sz w:val="21"/>
                      <w:szCs w:val="21"/>
                    </w:rPr>
                  </w:pPr>
                </w:p>
              </w:tc>
              <w:tc>
                <w:tcPr>
                  <w:tcW w:w="319" w:type="pct"/>
                  <w:vMerge w:val="continue"/>
                  <w:tcBorders>
                    <w:tl2br w:val="nil"/>
                    <w:tr2bl w:val="nil"/>
                  </w:tcBorders>
                  <w:vAlign w:val="center"/>
                </w:tcPr>
                <w:p w14:paraId="53B1C024">
                  <w:pPr>
                    <w:widowControl/>
                    <w:spacing w:line="320" w:lineRule="exact"/>
                    <w:jc w:val="center"/>
                    <w:rPr>
                      <w:rFonts w:eastAsia="宋体"/>
                      <w:color w:val="auto"/>
                      <w:sz w:val="21"/>
                      <w:szCs w:val="21"/>
                    </w:rPr>
                  </w:pPr>
                </w:p>
              </w:tc>
              <w:tc>
                <w:tcPr>
                  <w:tcW w:w="351" w:type="pct"/>
                  <w:vMerge w:val="continue"/>
                  <w:tcBorders>
                    <w:tl2br w:val="nil"/>
                    <w:tr2bl w:val="nil"/>
                  </w:tcBorders>
                  <w:vAlign w:val="center"/>
                </w:tcPr>
                <w:p w14:paraId="07BAC486">
                  <w:pPr>
                    <w:widowControl/>
                    <w:spacing w:line="320" w:lineRule="exact"/>
                    <w:jc w:val="center"/>
                    <w:rPr>
                      <w:rFonts w:eastAsia="宋体"/>
                      <w:color w:val="auto"/>
                      <w:kern w:val="0"/>
                      <w:sz w:val="21"/>
                      <w:szCs w:val="21"/>
                    </w:rPr>
                  </w:pPr>
                </w:p>
              </w:tc>
              <w:tc>
                <w:tcPr>
                  <w:tcW w:w="363" w:type="pct"/>
                  <w:vMerge w:val="continue"/>
                  <w:tcBorders>
                    <w:tl2br w:val="nil"/>
                    <w:tr2bl w:val="nil"/>
                  </w:tcBorders>
                  <w:vAlign w:val="center"/>
                </w:tcPr>
                <w:p w14:paraId="4F6DD491">
                  <w:pPr>
                    <w:widowControl/>
                    <w:spacing w:line="320" w:lineRule="exact"/>
                    <w:jc w:val="center"/>
                    <w:rPr>
                      <w:rFonts w:eastAsia="宋体"/>
                      <w:color w:val="auto"/>
                      <w:kern w:val="0"/>
                      <w:sz w:val="21"/>
                      <w:szCs w:val="21"/>
                    </w:rPr>
                  </w:pPr>
                </w:p>
              </w:tc>
              <w:tc>
                <w:tcPr>
                  <w:tcW w:w="263" w:type="pct"/>
                  <w:vMerge w:val="continue"/>
                  <w:tcBorders>
                    <w:tl2br w:val="nil"/>
                    <w:tr2bl w:val="nil"/>
                  </w:tcBorders>
                  <w:vAlign w:val="center"/>
                </w:tcPr>
                <w:p w14:paraId="4E1CCD02">
                  <w:pPr>
                    <w:widowControl/>
                    <w:spacing w:line="320" w:lineRule="exact"/>
                    <w:jc w:val="center"/>
                    <w:rPr>
                      <w:rFonts w:eastAsia="宋体"/>
                      <w:color w:val="auto"/>
                      <w:kern w:val="0"/>
                      <w:sz w:val="21"/>
                      <w:szCs w:val="21"/>
                    </w:rPr>
                  </w:pPr>
                </w:p>
              </w:tc>
              <w:tc>
                <w:tcPr>
                  <w:tcW w:w="248" w:type="pct"/>
                  <w:vMerge w:val="continue"/>
                  <w:tcBorders>
                    <w:tl2br w:val="nil"/>
                    <w:tr2bl w:val="nil"/>
                  </w:tcBorders>
                  <w:vAlign w:val="center"/>
                </w:tcPr>
                <w:p w14:paraId="51C2F2C0">
                  <w:pPr>
                    <w:widowControl/>
                    <w:spacing w:line="320" w:lineRule="exact"/>
                    <w:jc w:val="center"/>
                    <w:rPr>
                      <w:rFonts w:eastAsia="宋体"/>
                      <w:color w:val="auto"/>
                      <w:kern w:val="0"/>
                      <w:sz w:val="21"/>
                      <w:szCs w:val="21"/>
                    </w:rPr>
                  </w:pPr>
                </w:p>
              </w:tc>
              <w:tc>
                <w:tcPr>
                  <w:tcW w:w="171" w:type="pct"/>
                  <w:vMerge w:val="continue"/>
                  <w:tcBorders>
                    <w:tl2br w:val="nil"/>
                    <w:tr2bl w:val="nil"/>
                  </w:tcBorders>
                  <w:vAlign w:val="center"/>
                </w:tcPr>
                <w:p w14:paraId="32B9D8FC">
                  <w:pPr>
                    <w:widowControl/>
                    <w:spacing w:line="320" w:lineRule="exact"/>
                    <w:jc w:val="center"/>
                    <w:rPr>
                      <w:rFonts w:eastAsia="宋体"/>
                      <w:color w:val="auto"/>
                      <w:kern w:val="0"/>
                      <w:sz w:val="21"/>
                      <w:szCs w:val="21"/>
                    </w:rPr>
                  </w:pPr>
                </w:p>
              </w:tc>
              <w:tc>
                <w:tcPr>
                  <w:tcW w:w="209" w:type="pct"/>
                  <w:tcBorders>
                    <w:tl2br w:val="nil"/>
                    <w:tr2bl w:val="nil"/>
                  </w:tcBorders>
                  <w:shd w:val="clear" w:color="auto" w:fill="auto"/>
                  <w:vAlign w:val="center"/>
                </w:tcPr>
                <w:p w14:paraId="6500B191">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eastAsiaTheme="minorEastAsia"/>
                      <w:color w:val="auto"/>
                      <w:kern w:val="0"/>
                      <w:szCs w:val="21"/>
                    </w:rPr>
                    <w:t>北</w:t>
                  </w:r>
                </w:p>
              </w:tc>
              <w:tc>
                <w:tcPr>
                  <w:tcW w:w="294" w:type="pct"/>
                  <w:tcBorders>
                    <w:tl2br w:val="nil"/>
                    <w:tr2bl w:val="nil"/>
                  </w:tcBorders>
                  <w:shd w:val="clear" w:color="auto" w:fill="auto"/>
                  <w:vAlign w:val="center"/>
                </w:tcPr>
                <w:p w14:paraId="7F016B31">
                  <w:pPr>
                    <w:widowControl/>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cs="宋体" w:eastAsiaTheme="minorEastAsia"/>
                      <w:color w:val="auto"/>
                      <w:kern w:val="0"/>
                      <w:szCs w:val="22"/>
                      <w:lang w:val="en-US" w:eastAsia="zh-CN" w:bidi="ar"/>
                    </w:rPr>
                    <w:t>60</w:t>
                  </w:r>
                </w:p>
              </w:tc>
              <w:tc>
                <w:tcPr>
                  <w:tcW w:w="353" w:type="pct"/>
                  <w:tcBorders>
                    <w:tl2br w:val="nil"/>
                    <w:tr2bl w:val="nil"/>
                  </w:tcBorders>
                  <w:shd w:val="clear" w:color="auto" w:fill="auto"/>
                  <w:vAlign w:val="center"/>
                </w:tcPr>
                <w:p w14:paraId="2B4BCE66">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40.1</w:t>
                  </w:r>
                </w:p>
              </w:tc>
              <w:tc>
                <w:tcPr>
                  <w:tcW w:w="289" w:type="pct"/>
                  <w:vMerge w:val="continue"/>
                  <w:tcBorders>
                    <w:tl2br w:val="nil"/>
                    <w:tr2bl w:val="nil"/>
                  </w:tcBorders>
                  <w:vAlign w:val="center"/>
                </w:tcPr>
                <w:p w14:paraId="4D8C2EA8">
                  <w:pPr>
                    <w:widowControl/>
                    <w:spacing w:line="320" w:lineRule="exact"/>
                    <w:jc w:val="center"/>
                    <w:rPr>
                      <w:rFonts w:eastAsiaTheme="minorEastAsia"/>
                      <w:color w:val="auto"/>
                      <w:szCs w:val="21"/>
                    </w:rPr>
                  </w:pPr>
                </w:p>
              </w:tc>
              <w:tc>
                <w:tcPr>
                  <w:tcW w:w="423" w:type="pct"/>
                  <w:vMerge w:val="continue"/>
                  <w:tcBorders>
                    <w:tl2br w:val="nil"/>
                    <w:tr2bl w:val="nil"/>
                  </w:tcBorders>
                  <w:vAlign w:val="center"/>
                </w:tcPr>
                <w:p w14:paraId="6A8F945F">
                  <w:pPr>
                    <w:widowControl/>
                    <w:spacing w:line="320" w:lineRule="exact"/>
                    <w:jc w:val="center"/>
                    <w:rPr>
                      <w:rFonts w:eastAsiaTheme="minorEastAsia"/>
                      <w:color w:val="auto"/>
                      <w:kern w:val="0"/>
                      <w:szCs w:val="21"/>
                    </w:rPr>
                  </w:pPr>
                </w:p>
              </w:tc>
              <w:tc>
                <w:tcPr>
                  <w:tcW w:w="446" w:type="pct"/>
                  <w:tcBorders>
                    <w:tl2br w:val="nil"/>
                    <w:tr2bl w:val="nil"/>
                  </w:tcBorders>
                  <w:shd w:val="clear" w:color="auto" w:fill="auto"/>
                  <w:vAlign w:val="center"/>
                </w:tcPr>
                <w:p w14:paraId="13A9BF31">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25.1</w:t>
                  </w:r>
                </w:p>
              </w:tc>
              <w:tc>
                <w:tcPr>
                  <w:tcW w:w="415" w:type="pct"/>
                  <w:tcBorders>
                    <w:tl2br w:val="nil"/>
                    <w:tr2bl w:val="nil"/>
                  </w:tcBorders>
                  <w:shd w:val="clear" w:color="auto" w:fill="auto"/>
                  <w:vAlign w:val="center"/>
                </w:tcPr>
                <w:p w14:paraId="35E02086">
                  <w:pPr>
                    <w:widowControl/>
                    <w:autoSpaceDE w:val="0"/>
                    <w:adjustRightInd w:val="0"/>
                    <w:snapToGrid w:val="0"/>
                    <w:spacing w:line="320" w:lineRule="exact"/>
                    <w:jc w:val="center"/>
                    <w:textAlignment w:val="center"/>
                    <w:rPr>
                      <w:rFonts w:hint="eastAsia" w:ascii="Times New Roman" w:hAnsi="Times New Roman" w:cs="Times New Roman" w:eastAsiaTheme="minorEastAsia"/>
                      <w:color w:val="auto"/>
                      <w:kern w:val="0"/>
                      <w:sz w:val="21"/>
                      <w:szCs w:val="21"/>
                      <w:lang w:val="en-US" w:eastAsia="zh-CN" w:bidi="ar-SA"/>
                    </w:rPr>
                  </w:pPr>
                  <w:r>
                    <w:rPr>
                      <w:rFonts w:hint="eastAsia" w:eastAsiaTheme="minorEastAsia"/>
                      <w:color w:val="auto"/>
                      <w:kern w:val="0"/>
                      <w:szCs w:val="21"/>
                    </w:rPr>
                    <w:t>1</w:t>
                  </w:r>
                </w:p>
              </w:tc>
            </w:tr>
          </w:tbl>
          <w:p w14:paraId="433C0ED1">
            <w:pPr>
              <w:pStyle w:val="6"/>
              <w:spacing w:line="500" w:lineRule="exact"/>
              <w:ind w:firstLine="480"/>
              <w:rPr>
                <w:rFonts w:ascii="Times New Roman" w:hAnsi="Times New Roman"/>
                <w:b/>
                <w:bCs/>
                <w:color w:val="auto"/>
                <w:sz w:val="24"/>
                <w:szCs w:val="24"/>
              </w:rPr>
            </w:pPr>
            <w:r>
              <w:rPr>
                <w:rFonts w:ascii="Times New Roman" w:hAnsi="Times New Roman" w:cs="Times New Roman"/>
                <w:color w:val="auto"/>
                <w:sz w:val="24"/>
                <w:szCs w:val="24"/>
              </w:rPr>
              <w:t>预测计算噪声源对各厂界贡献值结果见下表。</w:t>
            </w:r>
          </w:p>
          <w:p w14:paraId="6845250D">
            <w:pPr>
              <w:pStyle w:val="6"/>
              <w:numPr>
                <w:ilvl w:val="0"/>
                <w:numId w:val="0"/>
              </w:numPr>
              <w:tabs>
                <w:tab w:val="left" w:pos="0"/>
              </w:tabs>
              <w:spacing w:line="500" w:lineRule="exact"/>
              <w:ind w:left="3373" w:leftChars="0" w:hanging="3373" w:hangingChars="1400"/>
              <w:jc w:val="center"/>
              <w:rPr>
                <w:rFonts w:ascii="Times New Roman" w:hAnsi="Times New Roman"/>
                <w:color w:val="auto"/>
                <w:sz w:val="24"/>
              </w:rPr>
            </w:pPr>
            <w:r>
              <w:rPr>
                <w:rFonts w:hint="default" w:ascii="Times New Roman" w:hAnsi="Times New Roman" w:eastAsia="宋体" w:cs="Arial"/>
                <w:b/>
                <w:bCs/>
                <w:color w:val="auto"/>
                <w:kern w:val="2"/>
                <w:sz w:val="24"/>
                <w:szCs w:val="28"/>
                <w:lang w:val="en-US" w:eastAsia="zh-CN" w:bidi="ar-SA"/>
              </w:rPr>
              <w:t>表</w:t>
            </w:r>
            <w:r>
              <w:rPr>
                <w:rFonts w:hint="eastAsia" w:ascii="Times New Roman" w:hAnsi="Times New Roman" w:cs="Arial"/>
                <w:b/>
                <w:bCs/>
                <w:color w:val="auto"/>
                <w:kern w:val="2"/>
                <w:sz w:val="24"/>
                <w:szCs w:val="28"/>
                <w:lang w:val="en-US" w:eastAsia="zh-CN" w:bidi="ar-SA"/>
              </w:rPr>
              <w:t>25</w:t>
            </w:r>
            <w:r>
              <w:rPr>
                <w:rFonts w:hint="eastAsia" w:ascii="Times New Roman" w:hAnsi="Times New Roman"/>
                <w:b/>
                <w:color w:val="auto"/>
                <w:sz w:val="24"/>
                <w:szCs w:val="24"/>
                <w:lang w:val="en-US" w:eastAsia="zh-CN"/>
              </w:rPr>
              <w:t xml:space="preserve"> </w:t>
            </w:r>
            <w:r>
              <w:rPr>
                <w:rFonts w:hint="eastAsia" w:ascii="Times New Roman" w:hAnsi="Times New Roman"/>
                <w:b/>
                <w:color w:val="auto"/>
                <w:sz w:val="24"/>
                <w:szCs w:val="24"/>
              </w:rPr>
              <w:t xml:space="preserve">  本项目</w:t>
            </w:r>
            <w:r>
              <w:rPr>
                <w:rFonts w:ascii="Times New Roman" w:hAnsi="Times New Roman" w:cs="Times New Roman"/>
                <w:b/>
                <w:bCs/>
                <w:color w:val="auto"/>
                <w:sz w:val="24"/>
                <w:szCs w:val="24"/>
              </w:rPr>
              <w:t>各厂界噪声贡献值预测结果     单位：dB(A)</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35"/>
              <w:gridCol w:w="2485"/>
              <w:gridCol w:w="2380"/>
              <w:gridCol w:w="2209"/>
              <w:gridCol w:w="2170"/>
              <w:gridCol w:w="1757"/>
            </w:tblGrid>
            <w:tr w14:paraId="1BC6E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2035" w:type="dxa"/>
                  <w:vMerge w:val="restart"/>
                  <w:vAlign w:val="center"/>
                </w:tcPr>
                <w:p w14:paraId="1059A6B5">
                  <w:pPr>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位置</w:t>
                  </w:r>
                </w:p>
              </w:tc>
              <w:tc>
                <w:tcPr>
                  <w:tcW w:w="4865" w:type="dxa"/>
                  <w:gridSpan w:val="2"/>
                  <w:vAlign w:val="center"/>
                </w:tcPr>
                <w:p w14:paraId="52F95CE6">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贡献值</w:t>
                  </w:r>
                </w:p>
              </w:tc>
              <w:tc>
                <w:tcPr>
                  <w:tcW w:w="4379" w:type="dxa"/>
                  <w:gridSpan w:val="2"/>
                  <w:vAlign w:val="center"/>
                </w:tcPr>
                <w:p w14:paraId="4866ED6F">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评价标准</w:t>
                  </w:r>
                </w:p>
              </w:tc>
              <w:tc>
                <w:tcPr>
                  <w:tcW w:w="1757" w:type="dxa"/>
                  <w:vMerge w:val="restart"/>
                  <w:vAlign w:val="center"/>
                </w:tcPr>
                <w:p w14:paraId="6137B1E8">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达标情况</w:t>
                  </w:r>
                </w:p>
              </w:tc>
            </w:tr>
            <w:tr w14:paraId="4A305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2035" w:type="dxa"/>
                  <w:vMerge w:val="continue"/>
                  <w:vAlign w:val="center"/>
                </w:tcPr>
                <w:p w14:paraId="3FAA2156">
                  <w:pPr>
                    <w:widowControl/>
                    <w:spacing w:line="320" w:lineRule="exact"/>
                    <w:jc w:val="left"/>
                    <w:rPr>
                      <w:rFonts w:ascii="Times New Roman" w:hAnsi="Times New Roman" w:eastAsia="宋体"/>
                      <w:color w:val="auto"/>
                      <w:szCs w:val="21"/>
                    </w:rPr>
                  </w:pPr>
                </w:p>
              </w:tc>
              <w:tc>
                <w:tcPr>
                  <w:tcW w:w="2485" w:type="dxa"/>
                  <w:vAlign w:val="center"/>
                </w:tcPr>
                <w:p w14:paraId="7A0A3A4D">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昼间</w:t>
                  </w:r>
                </w:p>
              </w:tc>
              <w:tc>
                <w:tcPr>
                  <w:tcW w:w="2380" w:type="dxa"/>
                  <w:vAlign w:val="center"/>
                </w:tcPr>
                <w:p w14:paraId="769FA6F1">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夜间</w:t>
                  </w:r>
                </w:p>
              </w:tc>
              <w:tc>
                <w:tcPr>
                  <w:tcW w:w="2209" w:type="dxa"/>
                  <w:vAlign w:val="center"/>
                </w:tcPr>
                <w:p w14:paraId="43BFD9BC">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昼间</w:t>
                  </w:r>
                </w:p>
              </w:tc>
              <w:tc>
                <w:tcPr>
                  <w:tcW w:w="2170" w:type="dxa"/>
                  <w:vAlign w:val="center"/>
                </w:tcPr>
                <w:p w14:paraId="65B2856F">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夜间</w:t>
                  </w:r>
                </w:p>
              </w:tc>
              <w:tc>
                <w:tcPr>
                  <w:tcW w:w="1757" w:type="dxa"/>
                  <w:vMerge w:val="continue"/>
                  <w:vAlign w:val="center"/>
                </w:tcPr>
                <w:p w14:paraId="2EF0881A">
                  <w:pPr>
                    <w:widowControl/>
                    <w:spacing w:line="320" w:lineRule="exact"/>
                    <w:jc w:val="left"/>
                    <w:rPr>
                      <w:rFonts w:ascii="Times New Roman" w:hAnsi="Times New Roman" w:eastAsia="宋体"/>
                      <w:b/>
                      <w:bCs/>
                      <w:color w:val="auto"/>
                      <w:szCs w:val="21"/>
                    </w:rPr>
                  </w:pPr>
                </w:p>
              </w:tc>
            </w:tr>
            <w:tr w14:paraId="67693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2035" w:type="dxa"/>
                  <w:vAlign w:val="center"/>
                </w:tcPr>
                <w:p w14:paraId="11A805B5">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w:t>
                  </w:r>
                  <w:r>
                    <w:rPr>
                      <w:rFonts w:hint="eastAsia" w:ascii="Times New Roman" w:hAnsi="Times New Roman" w:eastAsia="宋体"/>
                      <w:color w:val="auto"/>
                      <w:szCs w:val="21"/>
                    </w:rPr>
                    <w:t>界</w:t>
                  </w:r>
                  <w:r>
                    <w:rPr>
                      <w:rFonts w:ascii="Times New Roman" w:hAnsi="Times New Roman" w:eastAsia="宋体"/>
                      <w:color w:val="auto"/>
                      <w:szCs w:val="21"/>
                    </w:rPr>
                    <w:t>东侧</w:t>
                  </w:r>
                </w:p>
              </w:tc>
              <w:tc>
                <w:tcPr>
                  <w:tcW w:w="2485" w:type="dxa"/>
                  <w:vAlign w:val="center"/>
                </w:tcPr>
                <w:p w14:paraId="4E8AE286">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48.6</w:t>
                  </w:r>
                </w:p>
              </w:tc>
              <w:tc>
                <w:tcPr>
                  <w:tcW w:w="2380" w:type="dxa"/>
                  <w:tcBorders>
                    <w:bottom w:val="single" w:color="auto" w:sz="4" w:space="0"/>
                  </w:tcBorders>
                  <w:vAlign w:val="center"/>
                </w:tcPr>
                <w:p w14:paraId="23140DAB">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bottom w:val="single" w:color="auto" w:sz="4" w:space="0"/>
                  </w:tcBorders>
                  <w:vAlign w:val="center"/>
                </w:tcPr>
                <w:p w14:paraId="741D61D0">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restart"/>
                  <w:vAlign w:val="center"/>
                </w:tcPr>
                <w:p w14:paraId="673994F7">
                  <w:pPr>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1757" w:type="dxa"/>
                  <w:vMerge w:val="restart"/>
                  <w:vAlign w:val="center"/>
                </w:tcPr>
                <w:p w14:paraId="2DD79CB1">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达标</w:t>
                  </w:r>
                </w:p>
              </w:tc>
            </w:tr>
            <w:tr w14:paraId="35928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2035" w:type="dxa"/>
                  <w:vAlign w:val="center"/>
                </w:tcPr>
                <w:p w14:paraId="6A9ECE0D">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南</w:t>
                  </w:r>
                  <w:r>
                    <w:rPr>
                      <w:rFonts w:ascii="Times New Roman" w:hAnsi="Times New Roman" w:eastAsia="宋体"/>
                      <w:color w:val="auto"/>
                      <w:szCs w:val="21"/>
                    </w:rPr>
                    <w:t>侧</w:t>
                  </w:r>
                </w:p>
              </w:tc>
              <w:tc>
                <w:tcPr>
                  <w:tcW w:w="2485" w:type="dxa"/>
                  <w:vAlign w:val="center"/>
                </w:tcPr>
                <w:p w14:paraId="15CD81B1">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49.3</w:t>
                  </w:r>
                </w:p>
              </w:tc>
              <w:tc>
                <w:tcPr>
                  <w:tcW w:w="2380" w:type="dxa"/>
                  <w:tcBorders>
                    <w:top w:val="single" w:color="auto" w:sz="4" w:space="0"/>
                    <w:bottom w:val="single" w:color="auto" w:sz="4" w:space="0"/>
                  </w:tcBorders>
                  <w:vAlign w:val="center"/>
                </w:tcPr>
                <w:p w14:paraId="116C21BE">
                  <w:pPr>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2209" w:type="dxa"/>
                  <w:tcBorders>
                    <w:top w:val="single" w:color="auto" w:sz="4" w:space="0"/>
                    <w:bottom w:val="single" w:color="auto" w:sz="4" w:space="0"/>
                  </w:tcBorders>
                  <w:vAlign w:val="center"/>
                </w:tcPr>
                <w:p w14:paraId="314F09A2">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70</w:t>
                  </w:r>
                </w:p>
              </w:tc>
              <w:tc>
                <w:tcPr>
                  <w:tcW w:w="2170" w:type="dxa"/>
                  <w:vMerge w:val="continue"/>
                  <w:vAlign w:val="center"/>
                </w:tcPr>
                <w:p w14:paraId="247B9320">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6597706C">
                  <w:pPr>
                    <w:adjustRightInd w:val="0"/>
                    <w:snapToGrid w:val="0"/>
                    <w:spacing w:line="320" w:lineRule="exact"/>
                    <w:jc w:val="center"/>
                    <w:rPr>
                      <w:rFonts w:ascii="Times New Roman" w:hAnsi="Times New Roman" w:eastAsia="宋体"/>
                      <w:color w:val="auto"/>
                      <w:szCs w:val="21"/>
                    </w:rPr>
                  </w:pPr>
                </w:p>
              </w:tc>
            </w:tr>
            <w:tr w14:paraId="13D4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2035" w:type="dxa"/>
                  <w:vAlign w:val="center"/>
                </w:tcPr>
                <w:p w14:paraId="1E344F8E">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西</w:t>
                  </w:r>
                  <w:r>
                    <w:rPr>
                      <w:rFonts w:ascii="Times New Roman" w:hAnsi="Times New Roman" w:eastAsia="宋体"/>
                      <w:color w:val="auto"/>
                      <w:szCs w:val="21"/>
                    </w:rPr>
                    <w:t>侧</w:t>
                  </w:r>
                </w:p>
              </w:tc>
              <w:tc>
                <w:tcPr>
                  <w:tcW w:w="2485" w:type="dxa"/>
                  <w:vAlign w:val="center"/>
                </w:tcPr>
                <w:p w14:paraId="23C9919C">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bCs/>
                      <w:color w:val="auto"/>
                      <w:szCs w:val="21"/>
                      <w:lang w:val="en-US" w:eastAsia="zh-CN"/>
                    </w:rPr>
                    <w:t>4</w:t>
                  </w:r>
                  <w:r>
                    <w:rPr>
                      <w:rFonts w:hint="eastAsia"/>
                      <w:bCs/>
                      <w:color w:val="auto"/>
                      <w:szCs w:val="21"/>
                      <w:lang w:val="en-US" w:eastAsia="zh-CN"/>
                    </w:rPr>
                    <w:t>9.6</w:t>
                  </w:r>
                </w:p>
              </w:tc>
              <w:tc>
                <w:tcPr>
                  <w:tcW w:w="2380" w:type="dxa"/>
                  <w:tcBorders>
                    <w:top w:val="single" w:color="auto" w:sz="4" w:space="0"/>
                  </w:tcBorders>
                  <w:vAlign w:val="center"/>
                </w:tcPr>
                <w:p w14:paraId="45C8D0EB">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top w:val="single" w:color="auto" w:sz="4" w:space="0"/>
                    <w:bottom w:val="single" w:color="auto" w:sz="4" w:space="0"/>
                  </w:tcBorders>
                  <w:vAlign w:val="center"/>
                </w:tcPr>
                <w:p w14:paraId="2A336BD2">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continue"/>
                  <w:vAlign w:val="center"/>
                </w:tcPr>
                <w:p w14:paraId="50489AFD">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533335C7">
                  <w:pPr>
                    <w:adjustRightInd w:val="0"/>
                    <w:snapToGrid w:val="0"/>
                    <w:spacing w:line="320" w:lineRule="exact"/>
                    <w:jc w:val="center"/>
                    <w:rPr>
                      <w:rFonts w:ascii="Times New Roman" w:hAnsi="Times New Roman" w:eastAsia="宋体"/>
                      <w:color w:val="auto"/>
                      <w:szCs w:val="21"/>
                    </w:rPr>
                  </w:pPr>
                </w:p>
              </w:tc>
            </w:tr>
            <w:tr w14:paraId="1934B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2035" w:type="dxa"/>
                  <w:vAlign w:val="center"/>
                </w:tcPr>
                <w:p w14:paraId="19E4F858">
                  <w:pPr>
                    <w:adjustRightInd w:val="0"/>
                    <w:snapToGrid w:val="0"/>
                    <w:spacing w:line="320" w:lineRule="exact"/>
                    <w:jc w:val="center"/>
                    <w:rPr>
                      <w:rFonts w:ascii="Times New Roman" w:hAnsi="Times New Roman" w:eastAsia="宋体"/>
                      <w:color w:val="auto"/>
                      <w:szCs w:val="21"/>
                    </w:rPr>
                  </w:pPr>
                  <w:r>
                    <w:rPr>
                      <w:rFonts w:ascii="Times New Roman" w:hAnsi="Times New Roman" w:eastAsia="宋体"/>
                      <w:color w:val="auto"/>
                      <w:szCs w:val="21"/>
                    </w:rPr>
                    <w:t>厂界</w:t>
                  </w:r>
                  <w:r>
                    <w:rPr>
                      <w:rFonts w:hint="eastAsia" w:ascii="Times New Roman" w:hAnsi="Times New Roman" w:eastAsia="宋体"/>
                      <w:color w:val="auto"/>
                      <w:szCs w:val="21"/>
                    </w:rPr>
                    <w:t>北</w:t>
                  </w:r>
                  <w:r>
                    <w:rPr>
                      <w:rFonts w:ascii="Times New Roman" w:hAnsi="Times New Roman" w:eastAsia="宋体"/>
                      <w:color w:val="auto"/>
                      <w:szCs w:val="21"/>
                    </w:rPr>
                    <w:t>侧</w:t>
                  </w:r>
                </w:p>
              </w:tc>
              <w:tc>
                <w:tcPr>
                  <w:tcW w:w="2485" w:type="dxa"/>
                  <w:vAlign w:val="center"/>
                </w:tcPr>
                <w:p w14:paraId="2E933955">
                  <w:pPr>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42.5</w:t>
                  </w:r>
                </w:p>
              </w:tc>
              <w:tc>
                <w:tcPr>
                  <w:tcW w:w="2380" w:type="dxa"/>
                  <w:vAlign w:val="center"/>
                </w:tcPr>
                <w:p w14:paraId="012DC507">
                  <w:pPr>
                    <w:spacing w:line="320" w:lineRule="exact"/>
                    <w:jc w:val="center"/>
                    <w:rPr>
                      <w:rFonts w:ascii="Times New Roman" w:hAnsi="Times New Roman" w:eastAsia="宋体"/>
                      <w:color w:val="auto"/>
                      <w:szCs w:val="21"/>
                    </w:rPr>
                  </w:pPr>
                  <w:r>
                    <w:rPr>
                      <w:rFonts w:hint="eastAsia" w:ascii="Times New Roman" w:hAnsi="Times New Roman" w:eastAsia="宋体"/>
                      <w:bCs/>
                      <w:color w:val="auto"/>
                      <w:szCs w:val="21"/>
                    </w:rPr>
                    <w:t>/</w:t>
                  </w:r>
                </w:p>
              </w:tc>
              <w:tc>
                <w:tcPr>
                  <w:tcW w:w="2209" w:type="dxa"/>
                  <w:tcBorders>
                    <w:top w:val="single" w:color="auto" w:sz="4" w:space="0"/>
                  </w:tcBorders>
                  <w:vAlign w:val="center"/>
                </w:tcPr>
                <w:p w14:paraId="49E94E04">
                  <w:pPr>
                    <w:adjustRightInd w:val="0"/>
                    <w:snapToGrid w:val="0"/>
                    <w:spacing w:line="320" w:lineRule="exact"/>
                    <w:jc w:val="center"/>
                    <w:rPr>
                      <w:rFonts w:hint="default" w:ascii="Times New Roman" w:hAnsi="Times New Roman" w:eastAsia="宋体"/>
                      <w:color w:val="auto"/>
                      <w:szCs w:val="21"/>
                      <w:lang w:val="en-US" w:eastAsia="zh-CN"/>
                    </w:rPr>
                  </w:pPr>
                  <w:r>
                    <w:rPr>
                      <w:rFonts w:hint="eastAsia"/>
                      <w:color w:val="auto"/>
                      <w:szCs w:val="21"/>
                      <w:lang w:val="en-US" w:eastAsia="zh-CN"/>
                    </w:rPr>
                    <w:t>65</w:t>
                  </w:r>
                </w:p>
              </w:tc>
              <w:tc>
                <w:tcPr>
                  <w:tcW w:w="2170" w:type="dxa"/>
                  <w:vMerge w:val="continue"/>
                  <w:vAlign w:val="center"/>
                </w:tcPr>
                <w:p w14:paraId="3C588381">
                  <w:pPr>
                    <w:adjustRightInd w:val="0"/>
                    <w:snapToGrid w:val="0"/>
                    <w:spacing w:line="320" w:lineRule="exact"/>
                    <w:jc w:val="center"/>
                    <w:rPr>
                      <w:rFonts w:ascii="Times New Roman" w:hAnsi="Times New Roman" w:eastAsia="宋体"/>
                      <w:color w:val="auto"/>
                      <w:szCs w:val="21"/>
                    </w:rPr>
                  </w:pPr>
                </w:p>
              </w:tc>
              <w:tc>
                <w:tcPr>
                  <w:tcW w:w="1757" w:type="dxa"/>
                  <w:vMerge w:val="continue"/>
                  <w:vAlign w:val="center"/>
                </w:tcPr>
                <w:p w14:paraId="4375ACEE">
                  <w:pPr>
                    <w:adjustRightInd w:val="0"/>
                    <w:snapToGrid w:val="0"/>
                    <w:spacing w:line="320" w:lineRule="exact"/>
                    <w:jc w:val="center"/>
                    <w:rPr>
                      <w:rFonts w:ascii="Times New Roman" w:hAnsi="Times New Roman" w:eastAsia="宋体"/>
                      <w:color w:val="auto"/>
                      <w:szCs w:val="21"/>
                    </w:rPr>
                  </w:pPr>
                </w:p>
              </w:tc>
            </w:tr>
          </w:tbl>
          <w:p w14:paraId="68965C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color w:val="auto"/>
                <w:sz w:val="24"/>
              </w:rPr>
              <w:t>由上表可知，</w:t>
            </w:r>
            <w:r>
              <w:rPr>
                <w:rFonts w:hint="eastAsia"/>
                <w:color w:val="auto"/>
                <w:sz w:val="24"/>
              </w:rPr>
              <w:t>本项目</w:t>
            </w:r>
            <w:r>
              <w:rPr>
                <w:color w:val="auto"/>
                <w:sz w:val="24"/>
              </w:rPr>
              <w:t>四周厂界噪声</w:t>
            </w:r>
            <w:r>
              <w:rPr>
                <w:rFonts w:hint="eastAsia"/>
                <w:color w:val="auto"/>
                <w:sz w:val="24"/>
              </w:rPr>
              <w:t>昼间预</w:t>
            </w:r>
            <w:r>
              <w:rPr>
                <w:rFonts w:hint="eastAsia"/>
                <w:color w:val="auto"/>
                <w:sz w:val="24"/>
                <w:highlight w:val="none"/>
              </w:rPr>
              <w:t>测</w:t>
            </w:r>
            <w:r>
              <w:rPr>
                <w:color w:val="auto"/>
                <w:sz w:val="24"/>
                <w:highlight w:val="none"/>
              </w:rPr>
              <w:t>值为</w:t>
            </w:r>
            <w:r>
              <w:rPr>
                <w:rFonts w:hint="eastAsia"/>
                <w:color w:val="auto"/>
                <w:sz w:val="24"/>
                <w:highlight w:val="none"/>
                <w:lang w:val="en-US" w:eastAsia="zh-CN"/>
              </w:rPr>
              <w:t>42.5</w:t>
            </w:r>
            <w:r>
              <w:rPr>
                <w:color w:val="auto"/>
                <w:sz w:val="24"/>
                <w:highlight w:val="none"/>
              </w:rPr>
              <w:t>～</w:t>
            </w:r>
            <w:r>
              <w:rPr>
                <w:rFonts w:hint="eastAsia"/>
                <w:color w:val="auto"/>
                <w:sz w:val="24"/>
                <w:highlight w:val="none"/>
                <w:lang w:val="en-US" w:eastAsia="zh-CN"/>
              </w:rPr>
              <w:t>49.6</w:t>
            </w:r>
            <w:r>
              <w:rPr>
                <w:color w:val="auto"/>
                <w:sz w:val="24"/>
                <w:highlight w:val="none"/>
              </w:rPr>
              <w:t>dB(A)，满足《</w:t>
            </w:r>
            <w:r>
              <w:rPr>
                <w:color w:val="auto"/>
                <w:sz w:val="24"/>
              </w:rPr>
              <w:t>工业企业厂界环境噪声排放标准》（GB12348-2008）</w:t>
            </w:r>
            <w:r>
              <w:rPr>
                <w:rFonts w:hint="eastAsia"/>
                <w:color w:val="auto"/>
                <w:sz w:val="24"/>
                <w:lang w:val="en-US" w:eastAsia="zh-CN"/>
              </w:rPr>
              <w:t>3、4</w:t>
            </w:r>
            <w:r>
              <w:rPr>
                <w:rFonts w:hint="eastAsia"/>
                <w:color w:val="auto"/>
                <w:sz w:val="24"/>
              </w:rPr>
              <w:t>类标准限值要求。</w:t>
            </w:r>
          </w:p>
          <w:p w14:paraId="0E118A77">
            <w:pPr>
              <w:spacing w:line="500" w:lineRule="exact"/>
              <w:ind w:firstLine="480" w:firstLineChars="200"/>
              <w:rPr>
                <w:color w:val="auto"/>
                <w:sz w:val="24"/>
              </w:rPr>
            </w:pPr>
            <w:r>
              <w:rPr>
                <w:rFonts w:hint="eastAsia"/>
                <w:color w:val="auto"/>
                <w:sz w:val="24"/>
              </w:rPr>
              <w:t>（2）监测计划</w:t>
            </w:r>
          </w:p>
          <w:p w14:paraId="412BFA84">
            <w:pPr>
              <w:spacing w:line="500" w:lineRule="exact"/>
              <w:ind w:firstLine="480" w:firstLineChars="200"/>
              <w:rPr>
                <w:color w:val="auto"/>
                <w:sz w:val="24"/>
              </w:rPr>
            </w:pPr>
            <w:r>
              <w:rPr>
                <w:rFonts w:hint="eastAsia"/>
                <w:color w:val="auto"/>
                <w:sz w:val="24"/>
              </w:rPr>
              <w:t>本项目噪声监测计划一览表见下表。</w:t>
            </w:r>
          </w:p>
          <w:p w14:paraId="536DEA0B">
            <w:pPr>
              <w:keepNext/>
              <w:keepLines/>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26 </w:t>
            </w:r>
            <w:r>
              <w:rPr>
                <w:rFonts w:hint="eastAsia"/>
                <w:b/>
                <w:bCs/>
                <w:color w:val="auto"/>
                <w:sz w:val="24"/>
              </w:rPr>
              <w:t xml:space="preserve">   本项目噪声监测</w:t>
            </w:r>
            <w:r>
              <w:rPr>
                <w:rFonts w:hint="eastAsia"/>
                <w:b/>
                <w:bCs/>
                <w:color w:val="auto"/>
                <w:sz w:val="24"/>
                <w:lang w:eastAsia="zh-CN"/>
              </w:rPr>
              <w:t>计划</w:t>
            </w:r>
            <w:r>
              <w:rPr>
                <w:rFonts w:hint="eastAsia"/>
                <w:b/>
                <w:bCs/>
                <w:color w:val="auto"/>
                <w:sz w:val="24"/>
              </w:rPr>
              <w:t>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2380"/>
              <w:gridCol w:w="1880"/>
              <w:gridCol w:w="6885"/>
            </w:tblGrid>
            <w:tr w14:paraId="5D446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tcBorders>
                    <w:top w:val="single" w:color="auto" w:sz="12" w:space="0"/>
                    <w:left w:val="single" w:color="auto" w:sz="12" w:space="0"/>
                    <w:bottom w:val="single" w:color="auto" w:sz="4" w:space="0"/>
                    <w:right w:val="single" w:color="auto" w:sz="4" w:space="0"/>
                  </w:tcBorders>
                  <w:vAlign w:val="center"/>
                </w:tcPr>
                <w:p w14:paraId="1C10EA98">
                  <w:pPr>
                    <w:spacing w:line="320" w:lineRule="exact"/>
                    <w:jc w:val="center"/>
                    <w:rPr>
                      <w:b/>
                      <w:bCs/>
                      <w:color w:val="auto"/>
                      <w:szCs w:val="21"/>
                    </w:rPr>
                  </w:pPr>
                  <w:r>
                    <w:rPr>
                      <w:b/>
                      <w:bCs/>
                      <w:color w:val="auto"/>
                    </w:rPr>
                    <w:t>监测点位</w:t>
                  </w:r>
                </w:p>
              </w:tc>
              <w:tc>
                <w:tcPr>
                  <w:tcW w:w="913" w:type="pct"/>
                  <w:tcBorders>
                    <w:top w:val="single" w:color="auto" w:sz="12" w:space="0"/>
                    <w:left w:val="single" w:color="auto" w:sz="4" w:space="0"/>
                    <w:bottom w:val="single" w:color="auto" w:sz="4" w:space="0"/>
                    <w:right w:val="single" w:color="auto" w:sz="4" w:space="0"/>
                  </w:tcBorders>
                  <w:vAlign w:val="center"/>
                </w:tcPr>
                <w:p w14:paraId="6A82CB40">
                  <w:pPr>
                    <w:spacing w:line="320" w:lineRule="exact"/>
                    <w:jc w:val="center"/>
                    <w:rPr>
                      <w:b/>
                      <w:bCs/>
                      <w:color w:val="auto"/>
                      <w:szCs w:val="21"/>
                    </w:rPr>
                  </w:pPr>
                  <w:r>
                    <w:rPr>
                      <w:b/>
                      <w:bCs/>
                      <w:color w:val="auto"/>
                    </w:rPr>
                    <w:t>监测因子</w:t>
                  </w:r>
                </w:p>
              </w:tc>
              <w:tc>
                <w:tcPr>
                  <w:tcW w:w="721" w:type="pct"/>
                  <w:tcBorders>
                    <w:top w:val="single" w:color="auto" w:sz="12" w:space="0"/>
                    <w:left w:val="single" w:color="auto" w:sz="4" w:space="0"/>
                    <w:bottom w:val="single" w:color="auto" w:sz="4" w:space="0"/>
                    <w:right w:val="single" w:color="auto" w:sz="4" w:space="0"/>
                  </w:tcBorders>
                  <w:vAlign w:val="center"/>
                </w:tcPr>
                <w:p w14:paraId="5A52916A">
                  <w:pPr>
                    <w:spacing w:line="320" w:lineRule="exact"/>
                    <w:jc w:val="center"/>
                    <w:rPr>
                      <w:b/>
                      <w:bCs/>
                      <w:color w:val="auto"/>
                      <w:szCs w:val="21"/>
                    </w:rPr>
                  </w:pPr>
                  <w:r>
                    <w:rPr>
                      <w:b/>
                      <w:bCs/>
                      <w:color w:val="auto"/>
                    </w:rPr>
                    <w:t>监测频次</w:t>
                  </w:r>
                </w:p>
              </w:tc>
              <w:tc>
                <w:tcPr>
                  <w:tcW w:w="2641" w:type="pct"/>
                  <w:tcBorders>
                    <w:top w:val="single" w:color="auto" w:sz="12" w:space="0"/>
                    <w:left w:val="single" w:color="auto" w:sz="4" w:space="0"/>
                    <w:bottom w:val="single" w:color="auto" w:sz="4" w:space="0"/>
                    <w:right w:val="single" w:color="auto" w:sz="12" w:space="0"/>
                  </w:tcBorders>
                  <w:vAlign w:val="center"/>
                </w:tcPr>
                <w:p w14:paraId="7660D2A6">
                  <w:pPr>
                    <w:spacing w:line="320" w:lineRule="exact"/>
                    <w:jc w:val="center"/>
                    <w:rPr>
                      <w:b/>
                      <w:bCs/>
                      <w:color w:val="auto"/>
                      <w:szCs w:val="21"/>
                    </w:rPr>
                  </w:pPr>
                  <w:r>
                    <w:rPr>
                      <w:b/>
                      <w:bCs/>
                      <w:color w:val="auto"/>
                    </w:rPr>
                    <w:t>执行排放标准</w:t>
                  </w:r>
                </w:p>
              </w:tc>
            </w:tr>
            <w:tr w14:paraId="29507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4" w:type="pct"/>
                  <w:tcBorders>
                    <w:top w:val="single" w:color="auto" w:sz="4" w:space="0"/>
                    <w:left w:val="single" w:color="auto" w:sz="12" w:space="0"/>
                    <w:bottom w:val="single" w:color="auto" w:sz="12" w:space="0"/>
                    <w:right w:val="single" w:color="auto" w:sz="4" w:space="0"/>
                  </w:tcBorders>
                  <w:vAlign w:val="center"/>
                </w:tcPr>
                <w:p w14:paraId="4D2C35A8">
                  <w:pPr>
                    <w:spacing w:line="320" w:lineRule="exact"/>
                    <w:jc w:val="center"/>
                    <w:rPr>
                      <w:bCs/>
                      <w:color w:val="auto"/>
                      <w:szCs w:val="21"/>
                    </w:rPr>
                  </w:pPr>
                  <w:r>
                    <w:rPr>
                      <w:color w:val="auto"/>
                    </w:rPr>
                    <w:t>厂界外1m处</w:t>
                  </w:r>
                </w:p>
              </w:tc>
              <w:tc>
                <w:tcPr>
                  <w:tcW w:w="913" w:type="pct"/>
                  <w:tcBorders>
                    <w:top w:val="single" w:color="auto" w:sz="4" w:space="0"/>
                    <w:left w:val="single" w:color="auto" w:sz="4" w:space="0"/>
                    <w:bottom w:val="single" w:color="auto" w:sz="12" w:space="0"/>
                    <w:right w:val="single" w:color="auto" w:sz="4" w:space="0"/>
                  </w:tcBorders>
                  <w:vAlign w:val="center"/>
                </w:tcPr>
                <w:p w14:paraId="42BB707D">
                  <w:pPr>
                    <w:spacing w:line="320" w:lineRule="exact"/>
                    <w:jc w:val="center"/>
                    <w:rPr>
                      <w:bCs/>
                      <w:color w:val="auto"/>
                      <w:szCs w:val="21"/>
                    </w:rPr>
                  </w:pPr>
                  <w:r>
                    <w:rPr>
                      <w:color w:val="auto"/>
                    </w:rPr>
                    <w:t>等效连续A声级</w:t>
                  </w:r>
                </w:p>
              </w:tc>
              <w:tc>
                <w:tcPr>
                  <w:tcW w:w="721" w:type="pct"/>
                  <w:tcBorders>
                    <w:top w:val="single" w:color="auto" w:sz="4" w:space="0"/>
                    <w:left w:val="single" w:color="auto" w:sz="4" w:space="0"/>
                    <w:bottom w:val="single" w:color="auto" w:sz="12" w:space="0"/>
                    <w:right w:val="single" w:color="auto" w:sz="4" w:space="0"/>
                  </w:tcBorders>
                  <w:vAlign w:val="center"/>
                </w:tcPr>
                <w:p w14:paraId="281FCF38">
                  <w:pPr>
                    <w:spacing w:line="320" w:lineRule="exact"/>
                    <w:jc w:val="center"/>
                    <w:rPr>
                      <w:bCs/>
                      <w:color w:val="auto"/>
                      <w:szCs w:val="21"/>
                    </w:rPr>
                  </w:pPr>
                  <w:r>
                    <w:rPr>
                      <w:rFonts w:hint="eastAsia"/>
                      <w:bCs/>
                      <w:color w:val="auto"/>
                    </w:rPr>
                    <w:t>1</w:t>
                  </w:r>
                  <w:r>
                    <w:rPr>
                      <w:bCs/>
                      <w:color w:val="auto"/>
                    </w:rPr>
                    <w:t>次/</w:t>
                  </w:r>
                  <w:r>
                    <w:rPr>
                      <w:rFonts w:hint="eastAsia"/>
                      <w:bCs/>
                      <w:color w:val="auto"/>
                    </w:rPr>
                    <w:t>季度</w:t>
                  </w:r>
                </w:p>
              </w:tc>
              <w:tc>
                <w:tcPr>
                  <w:tcW w:w="2641" w:type="pct"/>
                  <w:tcBorders>
                    <w:top w:val="single" w:color="auto" w:sz="4" w:space="0"/>
                    <w:left w:val="single" w:color="auto" w:sz="4" w:space="0"/>
                    <w:bottom w:val="single" w:color="auto" w:sz="12" w:space="0"/>
                    <w:right w:val="single" w:color="auto" w:sz="12" w:space="0"/>
                  </w:tcBorders>
                  <w:vAlign w:val="center"/>
                </w:tcPr>
                <w:p w14:paraId="2611DE4D">
                  <w:pPr>
                    <w:spacing w:line="320" w:lineRule="exact"/>
                    <w:jc w:val="center"/>
                    <w:rPr>
                      <w:bCs/>
                      <w:color w:val="auto"/>
                      <w:szCs w:val="21"/>
                    </w:rPr>
                  </w:pPr>
                  <w:r>
                    <w:rPr>
                      <w:color w:val="auto"/>
                    </w:rPr>
                    <w:t>《工业企业厂界环境噪声排放标准》（GB12348-2008）</w:t>
                  </w:r>
                  <w:r>
                    <w:rPr>
                      <w:rFonts w:hint="eastAsia"/>
                      <w:color w:val="auto"/>
                      <w:lang w:val="en-US" w:eastAsia="zh-CN"/>
                    </w:rPr>
                    <w:t>3、4</w:t>
                  </w:r>
                  <w:r>
                    <w:rPr>
                      <w:color w:val="auto"/>
                    </w:rPr>
                    <w:t>类标准限值要求</w:t>
                  </w:r>
                </w:p>
              </w:tc>
            </w:tr>
          </w:tbl>
          <w:p w14:paraId="45F20960">
            <w:pPr>
              <w:pStyle w:val="22"/>
              <w:spacing w:after="0" w:line="500" w:lineRule="exact"/>
              <w:ind w:left="0" w:leftChars="0" w:firstLine="480"/>
              <w:rPr>
                <w:rFonts w:eastAsiaTheme="minorEastAsia"/>
                <w:color w:val="auto"/>
                <w:sz w:val="24"/>
              </w:rPr>
            </w:pPr>
          </w:p>
        </w:tc>
      </w:tr>
    </w:tbl>
    <w:p w14:paraId="5A529EE1">
      <w:pPr>
        <w:pStyle w:val="2"/>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471"/>
      </w:tblGrid>
      <w:tr w14:paraId="03BA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3" w:hRule="atLeast"/>
        </w:trPr>
        <w:tc>
          <w:tcPr>
            <w:tcW w:w="439" w:type="pct"/>
            <w:vAlign w:val="center"/>
          </w:tcPr>
          <w:p w14:paraId="1D048C40">
            <w:pPr>
              <w:pStyle w:val="6"/>
              <w:ind w:firstLine="0" w:firstLineChars="0"/>
              <w:jc w:val="center"/>
              <w:rPr>
                <w:rFonts w:ascii="Times New Roman" w:hAnsi="Times New Roman" w:eastAsiaTheme="minorEastAsia"/>
                <w:color w:val="auto"/>
                <w:sz w:val="24"/>
              </w:rPr>
            </w:pPr>
            <w:r>
              <w:rPr>
                <w:rFonts w:ascii="Times New Roman" w:hAnsi="Times New Roman" w:eastAsiaTheme="minorEastAsia"/>
                <w:color w:val="auto"/>
                <w:sz w:val="24"/>
              </w:rPr>
              <w:t>运营期环境影响和保护措施</w:t>
            </w:r>
          </w:p>
        </w:tc>
        <w:tc>
          <w:tcPr>
            <w:tcW w:w="4560" w:type="pct"/>
          </w:tcPr>
          <w:p w14:paraId="6BA74B84">
            <w:pPr>
              <w:spacing w:line="500" w:lineRule="exact"/>
              <w:ind w:firstLine="482" w:firstLineChars="200"/>
              <w:rPr>
                <w:color w:val="auto"/>
                <w:sz w:val="24"/>
              </w:rPr>
            </w:pPr>
            <w:r>
              <w:rPr>
                <w:rFonts w:hint="eastAsia"/>
                <w:b/>
                <w:bCs/>
                <w:color w:val="auto"/>
                <w:sz w:val="24"/>
              </w:rPr>
              <w:t>4.固体废物环境影响分析</w:t>
            </w:r>
          </w:p>
          <w:p w14:paraId="2CE056D6">
            <w:pPr>
              <w:autoSpaceDE w:val="0"/>
              <w:autoSpaceDN w:val="0"/>
              <w:adjustRightInd w:val="0"/>
              <w:spacing w:line="500" w:lineRule="exact"/>
              <w:ind w:firstLine="480" w:firstLineChars="200"/>
              <w:rPr>
                <w:color w:val="auto"/>
                <w:sz w:val="24"/>
              </w:rPr>
            </w:pPr>
            <w:r>
              <w:rPr>
                <w:rFonts w:hint="eastAsia"/>
                <w:color w:val="auto"/>
                <w:sz w:val="24"/>
              </w:rPr>
              <w:t>（1）固废产生情况</w:t>
            </w:r>
          </w:p>
          <w:p w14:paraId="4B747AB4">
            <w:pPr>
              <w:pStyle w:val="6"/>
              <w:adjustRightInd/>
              <w:spacing w:line="500" w:lineRule="exact"/>
              <w:ind w:firstLine="480"/>
              <w:rPr>
                <w:rFonts w:ascii="Times New Roman" w:hAnsi="Times New Roman"/>
                <w:color w:val="auto"/>
                <w:sz w:val="24"/>
                <w:szCs w:val="21"/>
              </w:rPr>
            </w:pPr>
            <w:r>
              <w:rPr>
                <w:rFonts w:hint="eastAsia" w:ascii="Times New Roman" w:hAnsi="Times New Roman"/>
                <w:color w:val="auto"/>
                <w:sz w:val="24"/>
              </w:rPr>
              <w:t>本项目</w:t>
            </w:r>
            <w:r>
              <w:rPr>
                <w:rFonts w:ascii="Times New Roman" w:hAnsi="Times New Roman"/>
                <w:color w:val="auto"/>
                <w:sz w:val="24"/>
              </w:rPr>
              <w:t>一般固废主要为</w:t>
            </w:r>
            <w:r>
              <w:rPr>
                <w:rFonts w:hint="eastAsia"/>
                <w:color w:val="auto"/>
                <w:sz w:val="24"/>
              </w:rPr>
              <w:t>洗车平台产生的煤泥，定期清理掺入原煤中外售；</w:t>
            </w:r>
            <w:r>
              <w:rPr>
                <w:rFonts w:hint="eastAsia" w:ascii="Times New Roman" w:hAnsi="Times New Roman"/>
                <w:color w:val="auto"/>
                <w:sz w:val="24"/>
              </w:rPr>
              <w:t>职工产生的生活垃圾集中收集后交由环卫部门处置</w:t>
            </w:r>
            <w:r>
              <w:rPr>
                <w:rFonts w:hint="eastAsia" w:ascii="Times New Roman" w:hAnsi="Times New Roman" w:cs="Times New Roman"/>
                <w:color w:val="auto"/>
                <w:kern w:val="0"/>
                <w:sz w:val="24"/>
                <w:szCs w:val="21"/>
                <w:lang w:bidi="ar"/>
              </w:rPr>
              <w:t>。</w:t>
            </w:r>
          </w:p>
          <w:p w14:paraId="50A78EA3">
            <w:pPr>
              <w:autoSpaceDE w:val="0"/>
              <w:autoSpaceDN w:val="0"/>
              <w:adjustRightInd w:val="0"/>
              <w:spacing w:line="500" w:lineRule="exact"/>
              <w:ind w:firstLine="480" w:firstLineChars="200"/>
              <w:rPr>
                <w:color w:val="auto"/>
                <w:sz w:val="24"/>
              </w:rPr>
            </w:pPr>
            <w:r>
              <w:rPr>
                <w:rFonts w:hint="eastAsia"/>
                <w:color w:val="auto"/>
                <w:sz w:val="24"/>
              </w:rPr>
              <w:t>危险废物主要为</w:t>
            </w:r>
            <w:r>
              <w:rPr>
                <w:color w:val="auto"/>
                <w:sz w:val="24"/>
              </w:rPr>
              <w:t>废</w:t>
            </w:r>
            <w:r>
              <w:rPr>
                <w:rFonts w:hint="eastAsia"/>
                <w:color w:val="auto"/>
                <w:sz w:val="24"/>
              </w:rPr>
              <w:t>润滑</w:t>
            </w:r>
            <w:r>
              <w:rPr>
                <w:color w:val="auto"/>
                <w:sz w:val="24"/>
              </w:rPr>
              <w:t>油</w:t>
            </w:r>
            <w:r>
              <w:rPr>
                <w:rFonts w:hint="eastAsia"/>
                <w:color w:val="auto"/>
                <w:sz w:val="24"/>
              </w:rPr>
              <w:t>和</w:t>
            </w:r>
            <w:r>
              <w:rPr>
                <w:color w:val="auto"/>
                <w:sz w:val="24"/>
              </w:rPr>
              <w:t>废油桶</w:t>
            </w:r>
            <w:r>
              <w:rPr>
                <w:rFonts w:hint="eastAsia"/>
                <w:color w:val="auto"/>
                <w:sz w:val="24"/>
              </w:rPr>
              <w:t>，收集后暂存于危废间，定期交由有资质单位处理。</w:t>
            </w:r>
          </w:p>
          <w:p w14:paraId="28B4AF65">
            <w:pPr>
              <w:numPr>
                <w:ilvl w:val="0"/>
                <w:numId w:val="0"/>
              </w:numPr>
              <w:tabs>
                <w:tab w:val="left" w:pos="0"/>
              </w:tabs>
              <w:spacing w:line="500" w:lineRule="exact"/>
              <w:ind w:left="3573" w:leftChars="0" w:hanging="3573" w:hangingChars="1483"/>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27</w:t>
            </w:r>
            <w:r>
              <w:rPr>
                <w:rFonts w:hint="eastAsia"/>
                <w:b/>
                <w:bCs/>
                <w:color w:val="auto"/>
                <w:sz w:val="24"/>
                <w:lang w:val="en-US" w:eastAsia="zh-CN"/>
              </w:rPr>
              <w:t xml:space="preserve"> </w:t>
            </w:r>
            <w:r>
              <w:rPr>
                <w:rFonts w:hint="eastAsia"/>
                <w:b/>
                <w:bCs/>
                <w:color w:val="auto"/>
                <w:sz w:val="24"/>
              </w:rPr>
              <w:t xml:space="preserve"> </w:t>
            </w:r>
            <w:r>
              <w:rPr>
                <w:b/>
                <w:bCs/>
                <w:color w:val="auto"/>
                <w:sz w:val="24"/>
              </w:rPr>
              <w:t>本项目一般固体废物产生及处理处置情况一览表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90"/>
              <w:gridCol w:w="1279"/>
              <w:gridCol w:w="1198"/>
              <w:gridCol w:w="1461"/>
              <w:gridCol w:w="1117"/>
              <w:gridCol w:w="1421"/>
            </w:tblGrid>
            <w:tr w14:paraId="797E6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27" w:hRule="atLeast"/>
                <w:jc w:val="center"/>
              </w:trPr>
              <w:tc>
                <w:tcPr>
                  <w:tcW w:w="277" w:type="pct"/>
                  <w:vAlign w:val="center"/>
                </w:tcPr>
                <w:p w14:paraId="113234D8">
                  <w:pPr>
                    <w:topLinePunct/>
                    <w:adjustRightInd w:val="0"/>
                    <w:snapToGrid w:val="0"/>
                    <w:spacing w:line="320" w:lineRule="exact"/>
                    <w:jc w:val="center"/>
                    <w:rPr>
                      <w:color w:val="auto"/>
                      <w:kern w:val="0"/>
                      <w:szCs w:val="21"/>
                    </w:rPr>
                  </w:pPr>
                  <w:r>
                    <w:rPr>
                      <w:color w:val="auto"/>
                      <w:kern w:val="0"/>
                      <w:szCs w:val="21"/>
                    </w:rPr>
                    <w:t>序号</w:t>
                  </w:r>
                </w:p>
              </w:tc>
              <w:tc>
                <w:tcPr>
                  <w:tcW w:w="784" w:type="pct"/>
                  <w:vAlign w:val="center"/>
                </w:tcPr>
                <w:p w14:paraId="422EFC8E">
                  <w:pPr>
                    <w:topLinePunct/>
                    <w:adjustRightInd w:val="0"/>
                    <w:snapToGrid w:val="0"/>
                    <w:spacing w:line="320" w:lineRule="exact"/>
                    <w:jc w:val="center"/>
                    <w:rPr>
                      <w:color w:val="auto"/>
                      <w:kern w:val="0"/>
                      <w:szCs w:val="21"/>
                    </w:rPr>
                  </w:pPr>
                  <w:r>
                    <w:rPr>
                      <w:color w:val="auto"/>
                      <w:kern w:val="0"/>
                      <w:szCs w:val="21"/>
                    </w:rPr>
                    <w:t>产生环节</w:t>
                  </w:r>
                </w:p>
              </w:tc>
              <w:tc>
                <w:tcPr>
                  <w:tcW w:w="777" w:type="pct"/>
                  <w:vAlign w:val="center"/>
                </w:tcPr>
                <w:p w14:paraId="3A0864AE">
                  <w:pPr>
                    <w:topLinePunct/>
                    <w:adjustRightInd w:val="0"/>
                    <w:snapToGrid w:val="0"/>
                    <w:spacing w:line="320" w:lineRule="exact"/>
                    <w:jc w:val="center"/>
                    <w:rPr>
                      <w:color w:val="auto"/>
                      <w:kern w:val="0"/>
                      <w:szCs w:val="21"/>
                    </w:rPr>
                  </w:pPr>
                  <w:r>
                    <w:rPr>
                      <w:color w:val="auto"/>
                      <w:kern w:val="0"/>
                      <w:szCs w:val="21"/>
                    </w:rPr>
                    <w:t>一般固废名称</w:t>
                  </w:r>
                </w:p>
              </w:tc>
              <w:tc>
                <w:tcPr>
                  <w:tcW w:w="728" w:type="pct"/>
                  <w:vAlign w:val="center"/>
                </w:tcPr>
                <w:p w14:paraId="06D23BAE">
                  <w:pPr>
                    <w:topLinePunct/>
                    <w:adjustRightInd w:val="0"/>
                    <w:snapToGrid w:val="0"/>
                    <w:spacing w:line="320" w:lineRule="exact"/>
                    <w:jc w:val="center"/>
                    <w:rPr>
                      <w:color w:val="auto"/>
                      <w:kern w:val="0"/>
                      <w:szCs w:val="21"/>
                    </w:rPr>
                  </w:pPr>
                  <w:r>
                    <w:rPr>
                      <w:color w:val="auto"/>
                      <w:kern w:val="0"/>
                      <w:szCs w:val="21"/>
                    </w:rPr>
                    <w:t>一般固废类别</w:t>
                  </w:r>
                </w:p>
              </w:tc>
              <w:tc>
                <w:tcPr>
                  <w:tcW w:w="888" w:type="pct"/>
                  <w:vAlign w:val="center"/>
                </w:tcPr>
                <w:p w14:paraId="6670929F">
                  <w:pPr>
                    <w:topLinePunct/>
                    <w:adjustRightInd w:val="0"/>
                    <w:snapToGrid w:val="0"/>
                    <w:spacing w:line="320" w:lineRule="exact"/>
                    <w:jc w:val="center"/>
                    <w:rPr>
                      <w:color w:val="auto"/>
                      <w:kern w:val="0"/>
                      <w:szCs w:val="21"/>
                    </w:rPr>
                  </w:pPr>
                  <w:r>
                    <w:rPr>
                      <w:color w:val="auto"/>
                      <w:kern w:val="0"/>
                      <w:szCs w:val="21"/>
                    </w:rPr>
                    <w:t>一般固废代码</w:t>
                  </w:r>
                </w:p>
              </w:tc>
              <w:tc>
                <w:tcPr>
                  <w:tcW w:w="679" w:type="pct"/>
                  <w:vAlign w:val="center"/>
                </w:tcPr>
                <w:p w14:paraId="795192AC">
                  <w:pPr>
                    <w:topLinePunct/>
                    <w:adjustRightInd w:val="0"/>
                    <w:snapToGrid w:val="0"/>
                    <w:spacing w:line="320" w:lineRule="exact"/>
                    <w:jc w:val="center"/>
                    <w:rPr>
                      <w:color w:val="auto"/>
                      <w:kern w:val="0"/>
                      <w:szCs w:val="21"/>
                    </w:rPr>
                  </w:pPr>
                  <w:r>
                    <w:rPr>
                      <w:color w:val="auto"/>
                      <w:kern w:val="0"/>
                      <w:szCs w:val="21"/>
                    </w:rPr>
                    <w:t>产生量（t/a）</w:t>
                  </w:r>
                </w:p>
              </w:tc>
              <w:tc>
                <w:tcPr>
                  <w:tcW w:w="863" w:type="pct"/>
                  <w:vAlign w:val="center"/>
                </w:tcPr>
                <w:p w14:paraId="6999724F">
                  <w:pPr>
                    <w:topLinePunct/>
                    <w:adjustRightInd w:val="0"/>
                    <w:snapToGrid w:val="0"/>
                    <w:spacing w:line="320" w:lineRule="exact"/>
                    <w:jc w:val="center"/>
                    <w:rPr>
                      <w:color w:val="auto"/>
                      <w:kern w:val="0"/>
                      <w:szCs w:val="21"/>
                    </w:rPr>
                  </w:pPr>
                  <w:r>
                    <w:rPr>
                      <w:color w:val="auto"/>
                      <w:kern w:val="0"/>
                      <w:szCs w:val="21"/>
                    </w:rPr>
                    <w:t>处置方式和去向</w:t>
                  </w:r>
                </w:p>
              </w:tc>
            </w:tr>
            <w:tr w14:paraId="7EB53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77" w:type="pct"/>
                  <w:vAlign w:val="center"/>
                </w:tcPr>
                <w:p w14:paraId="27DDE858">
                  <w:pPr>
                    <w:topLinePunct/>
                    <w:adjustRightInd w:val="0"/>
                    <w:snapToGrid w:val="0"/>
                    <w:spacing w:line="320" w:lineRule="exact"/>
                    <w:jc w:val="center"/>
                    <w:rPr>
                      <w:color w:val="auto"/>
                      <w:kern w:val="0"/>
                      <w:szCs w:val="21"/>
                    </w:rPr>
                  </w:pPr>
                  <w:r>
                    <w:rPr>
                      <w:rFonts w:hint="eastAsia"/>
                      <w:color w:val="auto"/>
                      <w:kern w:val="0"/>
                      <w:szCs w:val="21"/>
                    </w:rPr>
                    <w:t>1</w:t>
                  </w:r>
                </w:p>
              </w:tc>
              <w:tc>
                <w:tcPr>
                  <w:tcW w:w="784" w:type="pct"/>
                  <w:vAlign w:val="center"/>
                </w:tcPr>
                <w:p w14:paraId="1A49AD44">
                  <w:pPr>
                    <w:autoSpaceDE w:val="0"/>
                    <w:autoSpaceDN w:val="0"/>
                    <w:adjustRightInd w:val="0"/>
                    <w:spacing w:line="320" w:lineRule="exact"/>
                    <w:jc w:val="center"/>
                    <w:rPr>
                      <w:color w:val="auto"/>
                      <w:szCs w:val="21"/>
                    </w:rPr>
                  </w:pPr>
                  <w:r>
                    <w:rPr>
                      <w:rFonts w:hint="eastAsia"/>
                      <w:color w:val="auto"/>
                      <w:szCs w:val="21"/>
                    </w:rPr>
                    <w:t>职工生活</w:t>
                  </w:r>
                </w:p>
              </w:tc>
              <w:tc>
                <w:tcPr>
                  <w:tcW w:w="777" w:type="pct"/>
                  <w:vAlign w:val="center"/>
                </w:tcPr>
                <w:p w14:paraId="25877467">
                  <w:pPr>
                    <w:autoSpaceDE w:val="0"/>
                    <w:autoSpaceDN w:val="0"/>
                    <w:adjustRightInd w:val="0"/>
                    <w:spacing w:line="320" w:lineRule="exact"/>
                    <w:jc w:val="center"/>
                    <w:rPr>
                      <w:color w:val="auto"/>
                      <w:szCs w:val="21"/>
                    </w:rPr>
                  </w:pPr>
                  <w:r>
                    <w:rPr>
                      <w:rFonts w:hint="eastAsia"/>
                      <w:color w:val="auto"/>
                      <w:szCs w:val="21"/>
                    </w:rPr>
                    <w:t>生活垃圾</w:t>
                  </w:r>
                </w:p>
              </w:tc>
              <w:tc>
                <w:tcPr>
                  <w:tcW w:w="728" w:type="pct"/>
                  <w:vAlign w:val="center"/>
                </w:tcPr>
                <w:p w14:paraId="2352DE62">
                  <w:pPr>
                    <w:autoSpaceDE w:val="0"/>
                    <w:autoSpaceDN w:val="0"/>
                    <w:adjustRightInd w:val="0"/>
                    <w:spacing w:line="320" w:lineRule="exact"/>
                    <w:jc w:val="center"/>
                    <w:rPr>
                      <w:color w:val="auto"/>
                      <w:szCs w:val="21"/>
                    </w:rPr>
                  </w:pPr>
                  <w:r>
                    <w:rPr>
                      <w:rFonts w:hint="eastAsia"/>
                      <w:color w:val="auto"/>
                      <w:szCs w:val="21"/>
                    </w:rPr>
                    <w:t>—</w:t>
                  </w:r>
                </w:p>
              </w:tc>
              <w:tc>
                <w:tcPr>
                  <w:tcW w:w="888" w:type="pct"/>
                  <w:vAlign w:val="center"/>
                </w:tcPr>
                <w:p w14:paraId="1995DF3A">
                  <w:pPr>
                    <w:autoSpaceDE w:val="0"/>
                    <w:autoSpaceDN w:val="0"/>
                    <w:adjustRightInd w:val="0"/>
                    <w:spacing w:line="320" w:lineRule="exact"/>
                    <w:jc w:val="center"/>
                    <w:rPr>
                      <w:color w:val="auto"/>
                      <w:szCs w:val="21"/>
                    </w:rPr>
                  </w:pPr>
                  <w:r>
                    <w:rPr>
                      <w:rFonts w:hint="eastAsia"/>
                      <w:color w:val="auto"/>
                      <w:szCs w:val="21"/>
                    </w:rPr>
                    <w:t>900-002-S62</w:t>
                  </w:r>
                </w:p>
              </w:tc>
              <w:tc>
                <w:tcPr>
                  <w:tcW w:w="679" w:type="pct"/>
                  <w:vAlign w:val="center"/>
                </w:tcPr>
                <w:p w14:paraId="5362CBFA">
                  <w:pPr>
                    <w:topLinePunct/>
                    <w:adjustRightInd w:val="0"/>
                    <w:snapToGrid w:val="0"/>
                    <w:spacing w:line="320" w:lineRule="exact"/>
                    <w:jc w:val="center"/>
                    <w:rPr>
                      <w:color w:val="auto"/>
                      <w:szCs w:val="21"/>
                    </w:rPr>
                  </w:pPr>
                  <w:r>
                    <w:rPr>
                      <w:rFonts w:hint="eastAsia"/>
                      <w:color w:val="auto"/>
                      <w:szCs w:val="21"/>
                    </w:rPr>
                    <w:t>2.4</w:t>
                  </w:r>
                </w:p>
              </w:tc>
              <w:tc>
                <w:tcPr>
                  <w:tcW w:w="863" w:type="pct"/>
                  <w:vAlign w:val="center"/>
                </w:tcPr>
                <w:p w14:paraId="10050058">
                  <w:pPr>
                    <w:topLinePunct/>
                    <w:adjustRightInd w:val="0"/>
                    <w:snapToGrid w:val="0"/>
                    <w:spacing w:line="320" w:lineRule="exact"/>
                    <w:jc w:val="center"/>
                    <w:rPr>
                      <w:color w:val="auto"/>
                      <w:kern w:val="0"/>
                      <w:szCs w:val="21"/>
                    </w:rPr>
                  </w:pPr>
                  <w:r>
                    <w:rPr>
                      <w:rFonts w:hint="eastAsia"/>
                      <w:color w:val="auto"/>
                      <w:kern w:val="0"/>
                      <w:szCs w:val="21"/>
                    </w:rPr>
                    <w:t>交由环卫部门处置</w:t>
                  </w:r>
                </w:p>
              </w:tc>
            </w:tr>
            <w:tr w14:paraId="64301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77" w:type="pct"/>
                  <w:vAlign w:val="center"/>
                </w:tcPr>
                <w:p w14:paraId="1855E9E0">
                  <w:pPr>
                    <w:topLinePunct/>
                    <w:adjustRightInd w:val="0"/>
                    <w:snapToGrid w:val="0"/>
                    <w:spacing w:line="320" w:lineRule="exact"/>
                    <w:jc w:val="center"/>
                    <w:rPr>
                      <w:color w:val="auto"/>
                      <w:kern w:val="0"/>
                      <w:szCs w:val="21"/>
                    </w:rPr>
                  </w:pPr>
                  <w:r>
                    <w:rPr>
                      <w:rFonts w:hint="eastAsia"/>
                      <w:color w:val="auto"/>
                      <w:kern w:val="0"/>
                      <w:szCs w:val="21"/>
                    </w:rPr>
                    <w:t>2</w:t>
                  </w:r>
                </w:p>
              </w:tc>
              <w:tc>
                <w:tcPr>
                  <w:tcW w:w="784" w:type="pct"/>
                  <w:vAlign w:val="center"/>
                </w:tcPr>
                <w:p w14:paraId="506073A7">
                  <w:pPr>
                    <w:autoSpaceDE w:val="0"/>
                    <w:autoSpaceDN w:val="0"/>
                    <w:adjustRightInd w:val="0"/>
                    <w:spacing w:line="320" w:lineRule="exact"/>
                    <w:jc w:val="center"/>
                    <w:rPr>
                      <w:color w:val="auto"/>
                      <w:szCs w:val="21"/>
                    </w:rPr>
                  </w:pPr>
                  <w:r>
                    <w:rPr>
                      <w:rFonts w:hint="eastAsia"/>
                      <w:color w:val="auto"/>
                      <w:szCs w:val="21"/>
                    </w:rPr>
                    <w:t>洗车平台</w:t>
                  </w:r>
                </w:p>
              </w:tc>
              <w:tc>
                <w:tcPr>
                  <w:tcW w:w="777" w:type="pct"/>
                  <w:vAlign w:val="center"/>
                </w:tcPr>
                <w:p w14:paraId="62CB3F36">
                  <w:pPr>
                    <w:autoSpaceDE w:val="0"/>
                    <w:autoSpaceDN w:val="0"/>
                    <w:adjustRightInd w:val="0"/>
                    <w:spacing w:line="320" w:lineRule="exact"/>
                    <w:jc w:val="center"/>
                    <w:rPr>
                      <w:color w:val="auto"/>
                      <w:szCs w:val="21"/>
                    </w:rPr>
                  </w:pPr>
                  <w:r>
                    <w:rPr>
                      <w:rFonts w:hint="eastAsia"/>
                      <w:color w:val="auto"/>
                      <w:szCs w:val="21"/>
                    </w:rPr>
                    <w:t>煤泥</w:t>
                  </w:r>
                </w:p>
              </w:tc>
              <w:tc>
                <w:tcPr>
                  <w:tcW w:w="728" w:type="pct"/>
                  <w:vAlign w:val="center"/>
                </w:tcPr>
                <w:p w14:paraId="1B04F779">
                  <w:pPr>
                    <w:autoSpaceDE w:val="0"/>
                    <w:autoSpaceDN w:val="0"/>
                    <w:adjustRightInd w:val="0"/>
                    <w:spacing w:line="320" w:lineRule="exact"/>
                    <w:jc w:val="center"/>
                    <w:rPr>
                      <w:color w:val="auto"/>
                      <w:szCs w:val="21"/>
                    </w:rPr>
                  </w:pPr>
                  <w:r>
                    <w:rPr>
                      <w:rFonts w:hint="eastAsia"/>
                      <w:color w:val="auto"/>
                      <w:szCs w:val="21"/>
                    </w:rPr>
                    <w:t>其他废物</w:t>
                  </w:r>
                </w:p>
              </w:tc>
              <w:tc>
                <w:tcPr>
                  <w:tcW w:w="888" w:type="pct"/>
                  <w:vAlign w:val="center"/>
                </w:tcPr>
                <w:p w14:paraId="2CF15DEE">
                  <w:pPr>
                    <w:autoSpaceDE w:val="0"/>
                    <w:autoSpaceDN w:val="0"/>
                    <w:adjustRightInd w:val="0"/>
                    <w:spacing w:line="320" w:lineRule="exact"/>
                    <w:jc w:val="center"/>
                    <w:rPr>
                      <w:color w:val="auto"/>
                      <w:szCs w:val="21"/>
                    </w:rPr>
                  </w:pPr>
                  <w:r>
                    <w:rPr>
                      <w:rFonts w:hint="eastAsia"/>
                      <w:color w:val="auto"/>
                      <w:szCs w:val="21"/>
                    </w:rPr>
                    <w:t>900-099-S07</w:t>
                  </w:r>
                </w:p>
              </w:tc>
              <w:tc>
                <w:tcPr>
                  <w:tcW w:w="679" w:type="pct"/>
                  <w:vAlign w:val="center"/>
                </w:tcPr>
                <w:p w14:paraId="0258B8DA">
                  <w:pPr>
                    <w:topLinePunct/>
                    <w:adjustRightInd w:val="0"/>
                    <w:snapToGrid w:val="0"/>
                    <w:spacing w:line="320" w:lineRule="exact"/>
                    <w:jc w:val="center"/>
                    <w:rPr>
                      <w:color w:val="auto"/>
                      <w:szCs w:val="21"/>
                    </w:rPr>
                  </w:pPr>
                  <w:r>
                    <w:rPr>
                      <w:rFonts w:hint="eastAsia"/>
                      <w:color w:val="auto"/>
                      <w:szCs w:val="21"/>
                    </w:rPr>
                    <w:t>0.5</w:t>
                  </w:r>
                </w:p>
              </w:tc>
              <w:tc>
                <w:tcPr>
                  <w:tcW w:w="863" w:type="pct"/>
                  <w:vAlign w:val="center"/>
                </w:tcPr>
                <w:p w14:paraId="48317C2E">
                  <w:pPr>
                    <w:topLinePunct/>
                    <w:adjustRightInd w:val="0"/>
                    <w:snapToGrid w:val="0"/>
                    <w:spacing w:line="320" w:lineRule="exact"/>
                    <w:jc w:val="center"/>
                    <w:rPr>
                      <w:color w:val="auto"/>
                      <w:kern w:val="0"/>
                      <w:szCs w:val="21"/>
                    </w:rPr>
                  </w:pPr>
                  <w:r>
                    <w:rPr>
                      <w:rFonts w:hint="eastAsia"/>
                      <w:color w:val="auto"/>
                      <w:kern w:val="0"/>
                      <w:szCs w:val="21"/>
                    </w:rPr>
                    <w:t>定期清理，掺入原煤中外售</w:t>
                  </w:r>
                </w:p>
              </w:tc>
            </w:tr>
          </w:tbl>
          <w:p w14:paraId="47FE2A90">
            <w:pPr>
              <w:spacing w:line="500" w:lineRule="exact"/>
              <w:ind w:firstLine="480" w:firstLineChars="200"/>
              <w:rPr>
                <w:b/>
                <w:bCs/>
                <w:color w:val="auto"/>
                <w:sz w:val="24"/>
              </w:rPr>
            </w:pPr>
            <w:r>
              <w:rPr>
                <w:color w:val="auto"/>
                <w:sz w:val="24"/>
              </w:rPr>
              <w:t>项目危险废物汇总表见下表。</w:t>
            </w:r>
          </w:p>
          <w:p w14:paraId="51103FE6">
            <w:pPr>
              <w:numPr>
                <w:ilvl w:val="0"/>
                <w:numId w:val="0"/>
              </w:numPr>
              <w:tabs>
                <w:tab w:val="left" w:pos="0"/>
              </w:tabs>
              <w:spacing w:line="50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28</w:t>
            </w:r>
            <w:r>
              <w:rPr>
                <w:rFonts w:hint="eastAsia"/>
                <w:b/>
                <w:bCs/>
                <w:color w:val="auto"/>
                <w:sz w:val="24"/>
                <w:lang w:val="en-US" w:eastAsia="zh-CN"/>
              </w:rPr>
              <w:t xml:space="preserve"> </w:t>
            </w:r>
            <w:r>
              <w:rPr>
                <w:b/>
                <w:bCs/>
                <w:color w:val="auto"/>
                <w:sz w:val="24"/>
              </w:rPr>
              <w:t xml:space="preserve">  项目危险废物汇总表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32"/>
              <w:gridCol w:w="1283"/>
              <w:gridCol w:w="965"/>
              <w:gridCol w:w="785"/>
              <w:gridCol w:w="471"/>
              <w:gridCol w:w="456"/>
              <w:gridCol w:w="502"/>
              <w:gridCol w:w="489"/>
              <w:gridCol w:w="530"/>
              <w:gridCol w:w="621"/>
              <w:gridCol w:w="715"/>
            </w:tblGrid>
            <w:tr w14:paraId="512C7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50" w:type="pct"/>
                  <w:vAlign w:val="center"/>
                </w:tcPr>
                <w:p w14:paraId="4485C810">
                  <w:pPr>
                    <w:topLinePunct/>
                    <w:adjustRightInd w:val="0"/>
                    <w:snapToGrid w:val="0"/>
                    <w:spacing w:line="320" w:lineRule="exact"/>
                    <w:jc w:val="center"/>
                    <w:rPr>
                      <w:color w:val="auto"/>
                      <w:kern w:val="0"/>
                      <w:szCs w:val="21"/>
                    </w:rPr>
                  </w:pPr>
                  <w:r>
                    <w:rPr>
                      <w:color w:val="auto"/>
                      <w:kern w:val="0"/>
                      <w:szCs w:val="21"/>
                    </w:rPr>
                    <w:t>危险废物名称</w:t>
                  </w:r>
                </w:p>
              </w:tc>
              <w:tc>
                <w:tcPr>
                  <w:tcW w:w="505" w:type="pct"/>
                  <w:vAlign w:val="center"/>
                </w:tcPr>
                <w:p w14:paraId="12A427D0">
                  <w:pPr>
                    <w:topLinePunct/>
                    <w:adjustRightInd w:val="0"/>
                    <w:snapToGrid w:val="0"/>
                    <w:spacing w:line="320" w:lineRule="exact"/>
                    <w:jc w:val="center"/>
                    <w:rPr>
                      <w:color w:val="auto"/>
                      <w:kern w:val="0"/>
                      <w:szCs w:val="21"/>
                    </w:rPr>
                  </w:pPr>
                  <w:r>
                    <w:rPr>
                      <w:color w:val="auto"/>
                      <w:kern w:val="0"/>
                      <w:szCs w:val="21"/>
                    </w:rPr>
                    <w:t>危险废物类别</w:t>
                  </w:r>
                </w:p>
              </w:tc>
              <w:tc>
                <w:tcPr>
                  <w:tcW w:w="779" w:type="pct"/>
                  <w:vAlign w:val="center"/>
                </w:tcPr>
                <w:p w14:paraId="2C800A49">
                  <w:pPr>
                    <w:topLinePunct/>
                    <w:adjustRightInd w:val="0"/>
                    <w:snapToGrid w:val="0"/>
                    <w:spacing w:line="320" w:lineRule="exact"/>
                    <w:jc w:val="center"/>
                    <w:rPr>
                      <w:color w:val="auto"/>
                      <w:kern w:val="0"/>
                      <w:szCs w:val="21"/>
                    </w:rPr>
                  </w:pPr>
                  <w:r>
                    <w:rPr>
                      <w:color w:val="auto"/>
                      <w:kern w:val="0"/>
                      <w:szCs w:val="21"/>
                    </w:rPr>
                    <w:t>危险废物代码</w:t>
                  </w:r>
                </w:p>
              </w:tc>
              <w:tc>
                <w:tcPr>
                  <w:tcW w:w="586" w:type="pct"/>
                  <w:vAlign w:val="center"/>
                </w:tcPr>
                <w:p w14:paraId="04972409">
                  <w:pPr>
                    <w:topLinePunct/>
                    <w:adjustRightInd w:val="0"/>
                    <w:snapToGrid w:val="0"/>
                    <w:spacing w:line="320" w:lineRule="exact"/>
                    <w:jc w:val="center"/>
                    <w:rPr>
                      <w:color w:val="auto"/>
                      <w:kern w:val="0"/>
                      <w:szCs w:val="21"/>
                    </w:rPr>
                  </w:pPr>
                  <w:r>
                    <w:rPr>
                      <w:color w:val="auto"/>
                      <w:kern w:val="0"/>
                      <w:szCs w:val="21"/>
                    </w:rPr>
                    <w:t>产生量（</w:t>
                  </w:r>
                  <w:r>
                    <w:rPr>
                      <w:rFonts w:hint="eastAsia"/>
                      <w:color w:val="auto"/>
                      <w:kern w:val="0"/>
                      <w:szCs w:val="21"/>
                      <w:lang w:val="en-US" w:eastAsia="zh-CN"/>
                    </w:rPr>
                    <w:t>t</w:t>
                  </w:r>
                  <w:r>
                    <w:rPr>
                      <w:color w:val="auto"/>
                      <w:kern w:val="0"/>
                      <w:szCs w:val="21"/>
                    </w:rPr>
                    <w:t>/a）</w:t>
                  </w:r>
                </w:p>
              </w:tc>
              <w:tc>
                <w:tcPr>
                  <w:tcW w:w="477" w:type="pct"/>
                  <w:vAlign w:val="center"/>
                </w:tcPr>
                <w:p w14:paraId="7DAD61D1">
                  <w:pPr>
                    <w:topLinePunct/>
                    <w:adjustRightInd w:val="0"/>
                    <w:snapToGrid w:val="0"/>
                    <w:spacing w:line="320" w:lineRule="exact"/>
                    <w:jc w:val="center"/>
                    <w:rPr>
                      <w:color w:val="auto"/>
                      <w:kern w:val="0"/>
                      <w:szCs w:val="21"/>
                    </w:rPr>
                  </w:pPr>
                  <w:r>
                    <w:rPr>
                      <w:color w:val="auto"/>
                      <w:kern w:val="0"/>
                      <w:szCs w:val="21"/>
                    </w:rPr>
                    <w:t>产生工序及装置</w:t>
                  </w:r>
                </w:p>
              </w:tc>
              <w:tc>
                <w:tcPr>
                  <w:tcW w:w="286" w:type="pct"/>
                  <w:vAlign w:val="center"/>
                </w:tcPr>
                <w:p w14:paraId="6085D6DA">
                  <w:pPr>
                    <w:topLinePunct/>
                    <w:adjustRightInd w:val="0"/>
                    <w:snapToGrid w:val="0"/>
                    <w:spacing w:line="320" w:lineRule="exact"/>
                    <w:jc w:val="center"/>
                    <w:rPr>
                      <w:color w:val="auto"/>
                      <w:kern w:val="0"/>
                      <w:szCs w:val="21"/>
                    </w:rPr>
                  </w:pPr>
                  <w:r>
                    <w:rPr>
                      <w:color w:val="auto"/>
                      <w:kern w:val="0"/>
                      <w:szCs w:val="21"/>
                    </w:rPr>
                    <w:t>形态</w:t>
                  </w:r>
                </w:p>
              </w:tc>
              <w:tc>
                <w:tcPr>
                  <w:tcW w:w="277" w:type="pct"/>
                  <w:vAlign w:val="center"/>
                </w:tcPr>
                <w:p w14:paraId="11115BBE">
                  <w:pPr>
                    <w:topLinePunct/>
                    <w:adjustRightInd w:val="0"/>
                    <w:snapToGrid w:val="0"/>
                    <w:spacing w:line="320" w:lineRule="exact"/>
                    <w:jc w:val="center"/>
                    <w:rPr>
                      <w:color w:val="auto"/>
                      <w:kern w:val="0"/>
                      <w:szCs w:val="21"/>
                    </w:rPr>
                  </w:pPr>
                  <w:r>
                    <w:rPr>
                      <w:color w:val="auto"/>
                      <w:kern w:val="0"/>
                      <w:szCs w:val="21"/>
                    </w:rPr>
                    <w:t>主要成分</w:t>
                  </w:r>
                </w:p>
              </w:tc>
              <w:tc>
                <w:tcPr>
                  <w:tcW w:w="305" w:type="pct"/>
                  <w:vAlign w:val="center"/>
                </w:tcPr>
                <w:p w14:paraId="3B0DCCEE">
                  <w:pPr>
                    <w:topLinePunct/>
                    <w:adjustRightInd w:val="0"/>
                    <w:snapToGrid w:val="0"/>
                    <w:spacing w:line="320" w:lineRule="exact"/>
                    <w:jc w:val="center"/>
                    <w:rPr>
                      <w:color w:val="auto"/>
                      <w:kern w:val="0"/>
                      <w:szCs w:val="21"/>
                    </w:rPr>
                  </w:pPr>
                  <w:r>
                    <w:rPr>
                      <w:rFonts w:hint="eastAsia"/>
                      <w:color w:val="auto"/>
                      <w:kern w:val="0"/>
                      <w:szCs w:val="21"/>
                    </w:rPr>
                    <w:t>有害成分</w:t>
                  </w:r>
                </w:p>
              </w:tc>
              <w:tc>
                <w:tcPr>
                  <w:tcW w:w="297" w:type="pct"/>
                  <w:vAlign w:val="center"/>
                </w:tcPr>
                <w:p w14:paraId="0FDB4048">
                  <w:pPr>
                    <w:topLinePunct/>
                    <w:adjustRightInd w:val="0"/>
                    <w:snapToGrid w:val="0"/>
                    <w:spacing w:line="320" w:lineRule="exact"/>
                    <w:jc w:val="center"/>
                    <w:rPr>
                      <w:color w:val="auto"/>
                      <w:kern w:val="0"/>
                      <w:szCs w:val="21"/>
                    </w:rPr>
                  </w:pPr>
                  <w:r>
                    <w:rPr>
                      <w:color w:val="auto"/>
                      <w:kern w:val="0"/>
                      <w:szCs w:val="21"/>
                    </w:rPr>
                    <w:t>产废周期</w:t>
                  </w:r>
                </w:p>
              </w:tc>
              <w:tc>
                <w:tcPr>
                  <w:tcW w:w="322" w:type="pct"/>
                  <w:vAlign w:val="center"/>
                </w:tcPr>
                <w:p w14:paraId="3644CE46">
                  <w:pPr>
                    <w:pStyle w:val="8"/>
                    <w:spacing w:line="320" w:lineRule="exact"/>
                    <w:jc w:val="center"/>
                    <w:rPr>
                      <w:color w:val="auto"/>
                      <w:sz w:val="21"/>
                      <w:szCs w:val="21"/>
                    </w:rPr>
                  </w:pPr>
                  <w:r>
                    <w:rPr>
                      <w:rFonts w:hint="eastAsia"/>
                      <w:color w:val="auto"/>
                      <w:sz w:val="21"/>
                      <w:szCs w:val="21"/>
                    </w:rPr>
                    <w:t>贮存周期</w:t>
                  </w:r>
                </w:p>
              </w:tc>
              <w:tc>
                <w:tcPr>
                  <w:tcW w:w="377" w:type="pct"/>
                  <w:vAlign w:val="center"/>
                </w:tcPr>
                <w:p w14:paraId="5AA04C4C">
                  <w:pPr>
                    <w:pStyle w:val="8"/>
                    <w:spacing w:line="320" w:lineRule="exact"/>
                    <w:jc w:val="center"/>
                    <w:rPr>
                      <w:color w:val="auto"/>
                      <w:sz w:val="21"/>
                      <w:szCs w:val="21"/>
                    </w:rPr>
                  </w:pPr>
                  <w:r>
                    <w:rPr>
                      <w:rFonts w:hint="eastAsia"/>
                      <w:color w:val="auto"/>
                      <w:sz w:val="21"/>
                      <w:szCs w:val="21"/>
                    </w:rPr>
                    <w:t>危险特性</w:t>
                  </w:r>
                </w:p>
              </w:tc>
              <w:tc>
                <w:tcPr>
                  <w:tcW w:w="434" w:type="pct"/>
                  <w:vAlign w:val="center"/>
                </w:tcPr>
                <w:p w14:paraId="7893536E">
                  <w:pPr>
                    <w:topLinePunct/>
                    <w:adjustRightInd w:val="0"/>
                    <w:snapToGrid w:val="0"/>
                    <w:spacing w:line="320" w:lineRule="exact"/>
                    <w:jc w:val="center"/>
                    <w:rPr>
                      <w:color w:val="auto"/>
                      <w:kern w:val="0"/>
                      <w:szCs w:val="21"/>
                    </w:rPr>
                  </w:pPr>
                  <w:r>
                    <w:rPr>
                      <w:color w:val="auto"/>
                      <w:kern w:val="0"/>
                      <w:szCs w:val="21"/>
                    </w:rPr>
                    <w:t>污染防治措施</w:t>
                  </w:r>
                </w:p>
              </w:tc>
            </w:tr>
            <w:tr w14:paraId="34652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50" w:type="pct"/>
                  <w:vAlign w:val="center"/>
                </w:tcPr>
                <w:p w14:paraId="6B2E5194">
                  <w:pPr>
                    <w:topLinePunct/>
                    <w:adjustRightInd w:val="0"/>
                    <w:snapToGrid w:val="0"/>
                    <w:spacing w:line="320" w:lineRule="exact"/>
                    <w:jc w:val="center"/>
                    <w:rPr>
                      <w:color w:val="auto"/>
                      <w:kern w:val="0"/>
                      <w:szCs w:val="21"/>
                    </w:rPr>
                  </w:pPr>
                  <w:r>
                    <w:rPr>
                      <w:color w:val="auto"/>
                      <w:kern w:val="0"/>
                      <w:szCs w:val="21"/>
                    </w:rPr>
                    <w:t>废润滑油</w:t>
                  </w:r>
                </w:p>
              </w:tc>
              <w:tc>
                <w:tcPr>
                  <w:tcW w:w="505" w:type="pct"/>
                  <w:vAlign w:val="center"/>
                </w:tcPr>
                <w:p w14:paraId="0C4D7F80">
                  <w:pPr>
                    <w:topLinePunct/>
                    <w:adjustRightInd w:val="0"/>
                    <w:snapToGrid w:val="0"/>
                    <w:spacing w:line="320" w:lineRule="exact"/>
                    <w:jc w:val="center"/>
                    <w:rPr>
                      <w:color w:val="auto"/>
                      <w:kern w:val="0"/>
                      <w:szCs w:val="21"/>
                    </w:rPr>
                  </w:pPr>
                  <w:r>
                    <w:rPr>
                      <w:color w:val="auto"/>
                      <w:kern w:val="0"/>
                      <w:szCs w:val="21"/>
                    </w:rPr>
                    <w:t>HW08</w:t>
                  </w:r>
                </w:p>
              </w:tc>
              <w:tc>
                <w:tcPr>
                  <w:tcW w:w="779" w:type="pct"/>
                  <w:vAlign w:val="center"/>
                </w:tcPr>
                <w:p w14:paraId="0AD49405">
                  <w:pPr>
                    <w:topLinePunct/>
                    <w:adjustRightInd w:val="0"/>
                    <w:snapToGrid w:val="0"/>
                    <w:spacing w:line="320" w:lineRule="exact"/>
                    <w:jc w:val="center"/>
                    <w:rPr>
                      <w:color w:val="auto"/>
                      <w:kern w:val="0"/>
                      <w:szCs w:val="21"/>
                    </w:rPr>
                  </w:pPr>
                  <w:r>
                    <w:rPr>
                      <w:color w:val="auto"/>
                      <w:kern w:val="0"/>
                      <w:szCs w:val="21"/>
                    </w:rPr>
                    <w:t>900-217-08</w:t>
                  </w:r>
                </w:p>
              </w:tc>
              <w:tc>
                <w:tcPr>
                  <w:tcW w:w="586" w:type="pct"/>
                  <w:vAlign w:val="center"/>
                </w:tcPr>
                <w:p w14:paraId="4928355A">
                  <w:pPr>
                    <w:topLinePunct/>
                    <w:adjustRightInd w:val="0"/>
                    <w:snapToGrid w:val="0"/>
                    <w:spacing w:line="320" w:lineRule="exact"/>
                    <w:jc w:val="center"/>
                    <w:rPr>
                      <w:rFonts w:hint="default" w:eastAsia="宋体"/>
                      <w:color w:val="auto"/>
                      <w:kern w:val="0"/>
                      <w:szCs w:val="21"/>
                      <w:lang w:val="en-US" w:eastAsia="zh-CN"/>
                    </w:rPr>
                  </w:pPr>
                  <w:r>
                    <w:rPr>
                      <w:rFonts w:hint="eastAsia"/>
                      <w:color w:val="auto"/>
                    </w:rPr>
                    <w:t>0.</w:t>
                  </w:r>
                  <w:r>
                    <w:rPr>
                      <w:rFonts w:hint="eastAsia"/>
                      <w:color w:val="auto"/>
                      <w:lang w:val="en-US" w:eastAsia="zh-CN"/>
                    </w:rPr>
                    <w:t>02</w:t>
                  </w:r>
                </w:p>
              </w:tc>
              <w:tc>
                <w:tcPr>
                  <w:tcW w:w="477" w:type="pct"/>
                  <w:vMerge w:val="restart"/>
                  <w:vAlign w:val="center"/>
                </w:tcPr>
                <w:p w14:paraId="3F777B67">
                  <w:pPr>
                    <w:topLinePunct/>
                    <w:adjustRightInd w:val="0"/>
                    <w:snapToGrid w:val="0"/>
                    <w:spacing w:line="320" w:lineRule="exact"/>
                    <w:jc w:val="center"/>
                    <w:rPr>
                      <w:color w:val="auto"/>
                      <w:kern w:val="0"/>
                      <w:szCs w:val="21"/>
                    </w:rPr>
                  </w:pPr>
                  <w:r>
                    <w:rPr>
                      <w:color w:val="auto"/>
                      <w:kern w:val="0"/>
                      <w:szCs w:val="21"/>
                    </w:rPr>
                    <w:t>设备维修</w:t>
                  </w:r>
                </w:p>
              </w:tc>
              <w:tc>
                <w:tcPr>
                  <w:tcW w:w="286" w:type="pct"/>
                  <w:vAlign w:val="center"/>
                </w:tcPr>
                <w:p w14:paraId="1C98CBBF">
                  <w:pPr>
                    <w:topLinePunct/>
                    <w:adjustRightInd w:val="0"/>
                    <w:snapToGrid w:val="0"/>
                    <w:spacing w:line="320" w:lineRule="exact"/>
                    <w:jc w:val="center"/>
                    <w:rPr>
                      <w:color w:val="auto"/>
                      <w:kern w:val="0"/>
                      <w:szCs w:val="21"/>
                    </w:rPr>
                  </w:pPr>
                  <w:r>
                    <w:rPr>
                      <w:color w:val="auto"/>
                      <w:kern w:val="0"/>
                      <w:szCs w:val="21"/>
                    </w:rPr>
                    <w:t>液态</w:t>
                  </w:r>
                </w:p>
              </w:tc>
              <w:tc>
                <w:tcPr>
                  <w:tcW w:w="277" w:type="pct"/>
                  <w:vAlign w:val="center"/>
                </w:tcPr>
                <w:p w14:paraId="2560B206">
                  <w:pPr>
                    <w:topLinePunct/>
                    <w:adjustRightInd w:val="0"/>
                    <w:snapToGrid w:val="0"/>
                    <w:spacing w:line="320" w:lineRule="exact"/>
                    <w:jc w:val="center"/>
                    <w:rPr>
                      <w:color w:val="auto"/>
                      <w:kern w:val="0"/>
                      <w:szCs w:val="21"/>
                    </w:rPr>
                  </w:pPr>
                  <w:r>
                    <w:rPr>
                      <w:rFonts w:hint="eastAsia"/>
                      <w:color w:val="auto"/>
                      <w:kern w:val="0"/>
                      <w:szCs w:val="21"/>
                    </w:rPr>
                    <w:t>矿物油</w:t>
                  </w:r>
                </w:p>
              </w:tc>
              <w:tc>
                <w:tcPr>
                  <w:tcW w:w="305" w:type="pct"/>
                  <w:vMerge w:val="restart"/>
                  <w:vAlign w:val="center"/>
                </w:tcPr>
                <w:p w14:paraId="50295DF3">
                  <w:pPr>
                    <w:topLinePunct/>
                    <w:adjustRightInd w:val="0"/>
                    <w:snapToGrid w:val="0"/>
                    <w:spacing w:line="320" w:lineRule="exact"/>
                    <w:jc w:val="center"/>
                    <w:rPr>
                      <w:color w:val="auto"/>
                      <w:kern w:val="0"/>
                      <w:szCs w:val="21"/>
                    </w:rPr>
                  </w:pPr>
                  <w:r>
                    <w:rPr>
                      <w:rFonts w:hint="eastAsia"/>
                      <w:color w:val="auto"/>
                      <w:kern w:val="0"/>
                      <w:szCs w:val="21"/>
                    </w:rPr>
                    <w:t>石油类</w:t>
                  </w:r>
                </w:p>
              </w:tc>
              <w:tc>
                <w:tcPr>
                  <w:tcW w:w="297" w:type="pct"/>
                  <w:vMerge w:val="restart"/>
                  <w:vAlign w:val="center"/>
                </w:tcPr>
                <w:p w14:paraId="2912AA8A">
                  <w:pPr>
                    <w:topLinePunct/>
                    <w:adjustRightInd w:val="0"/>
                    <w:snapToGrid w:val="0"/>
                    <w:spacing w:line="320" w:lineRule="exact"/>
                    <w:jc w:val="center"/>
                    <w:rPr>
                      <w:color w:val="auto"/>
                      <w:kern w:val="0"/>
                      <w:szCs w:val="21"/>
                    </w:rPr>
                  </w:pPr>
                  <w:r>
                    <w:rPr>
                      <w:rFonts w:hint="eastAsia"/>
                      <w:color w:val="auto"/>
                      <w:kern w:val="0"/>
                      <w:szCs w:val="21"/>
                    </w:rPr>
                    <w:t>一年</w:t>
                  </w:r>
                </w:p>
              </w:tc>
              <w:tc>
                <w:tcPr>
                  <w:tcW w:w="322" w:type="pct"/>
                  <w:vMerge w:val="restart"/>
                  <w:vAlign w:val="center"/>
                </w:tcPr>
                <w:p w14:paraId="64AFA684">
                  <w:pPr>
                    <w:topLinePunct/>
                    <w:adjustRightInd w:val="0"/>
                    <w:snapToGrid w:val="0"/>
                    <w:spacing w:line="320" w:lineRule="exact"/>
                    <w:jc w:val="center"/>
                    <w:rPr>
                      <w:color w:val="auto"/>
                      <w:kern w:val="0"/>
                      <w:szCs w:val="21"/>
                    </w:rPr>
                  </w:pPr>
                  <w:r>
                    <w:rPr>
                      <w:rFonts w:hint="eastAsia"/>
                      <w:color w:val="auto"/>
                      <w:szCs w:val="21"/>
                    </w:rPr>
                    <w:t>一年</w:t>
                  </w:r>
                </w:p>
              </w:tc>
              <w:tc>
                <w:tcPr>
                  <w:tcW w:w="377" w:type="pct"/>
                  <w:vMerge w:val="restart"/>
                  <w:vAlign w:val="center"/>
                </w:tcPr>
                <w:p w14:paraId="4649AD39">
                  <w:pPr>
                    <w:topLinePunct/>
                    <w:adjustRightInd w:val="0"/>
                    <w:snapToGrid w:val="0"/>
                    <w:spacing w:line="320" w:lineRule="exact"/>
                    <w:jc w:val="center"/>
                    <w:rPr>
                      <w:color w:val="auto"/>
                      <w:kern w:val="0"/>
                      <w:szCs w:val="21"/>
                    </w:rPr>
                  </w:pPr>
                  <w:r>
                    <w:rPr>
                      <w:rFonts w:hint="eastAsia"/>
                      <w:color w:val="auto"/>
                      <w:kern w:val="0"/>
                      <w:szCs w:val="21"/>
                    </w:rPr>
                    <w:t>T/I</w:t>
                  </w:r>
                </w:p>
              </w:tc>
              <w:tc>
                <w:tcPr>
                  <w:tcW w:w="434" w:type="pct"/>
                  <w:vMerge w:val="restart"/>
                  <w:vAlign w:val="center"/>
                </w:tcPr>
                <w:p w14:paraId="683E6329">
                  <w:pPr>
                    <w:topLinePunct/>
                    <w:adjustRightInd w:val="0"/>
                    <w:snapToGrid w:val="0"/>
                    <w:spacing w:line="320" w:lineRule="exact"/>
                    <w:jc w:val="center"/>
                    <w:rPr>
                      <w:color w:val="auto"/>
                      <w:kern w:val="0"/>
                      <w:szCs w:val="21"/>
                    </w:rPr>
                  </w:pPr>
                  <w:r>
                    <w:rPr>
                      <w:color w:val="auto"/>
                      <w:kern w:val="0"/>
                      <w:szCs w:val="21"/>
                    </w:rPr>
                    <w:t>采用专用容器密封储存，暂存于</w:t>
                  </w:r>
                  <w:r>
                    <w:rPr>
                      <w:color w:val="auto"/>
                      <w:szCs w:val="21"/>
                    </w:rPr>
                    <w:t>危废间内</w:t>
                  </w:r>
                  <w:r>
                    <w:rPr>
                      <w:color w:val="auto"/>
                      <w:kern w:val="0"/>
                      <w:szCs w:val="21"/>
                    </w:rPr>
                    <w:t>，定期交有资质单位统一处理</w:t>
                  </w:r>
                </w:p>
              </w:tc>
            </w:tr>
            <w:tr w14:paraId="706CE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0" w:type="pct"/>
                  <w:vAlign w:val="center"/>
                </w:tcPr>
                <w:p w14:paraId="1D2EE5DE">
                  <w:pPr>
                    <w:topLinePunct/>
                    <w:adjustRightInd w:val="0"/>
                    <w:snapToGrid w:val="0"/>
                    <w:spacing w:line="320" w:lineRule="exact"/>
                    <w:jc w:val="center"/>
                    <w:rPr>
                      <w:color w:val="auto"/>
                      <w:kern w:val="0"/>
                      <w:szCs w:val="21"/>
                    </w:rPr>
                  </w:pPr>
                  <w:r>
                    <w:rPr>
                      <w:color w:val="auto"/>
                      <w:kern w:val="0"/>
                      <w:szCs w:val="21"/>
                    </w:rPr>
                    <w:t>废油桶</w:t>
                  </w:r>
                </w:p>
              </w:tc>
              <w:tc>
                <w:tcPr>
                  <w:tcW w:w="505" w:type="pct"/>
                  <w:vAlign w:val="center"/>
                </w:tcPr>
                <w:p w14:paraId="5A433F47">
                  <w:pPr>
                    <w:topLinePunct/>
                    <w:adjustRightInd w:val="0"/>
                    <w:snapToGrid w:val="0"/>
                    <w:spacing w:line="320" w:lineRule="exact"/>
                    <w:jc w:val="center"/>
                    <w:rPr>
                      <w:color w:val="auto"/>
                      <w:kern w:val="0"/>
                      <w:szCs w:val="21"/>
                    </w:rPr>
                  </w:pPr>
                  <w:r>
                    <w:rPr>
                      <w:color w:val="auto"/>
                      <w:kern w:val="0"/>
                      <w:szCs w:val="21"/>
                    </w:rPr>
                    <w:t>HW08</w:t>
                  </w:r>
                </w:p>
              </w:tc>
              <w:tc>
                <w:tcPr>
                  <w:tcW w:w="779" w:type="pct"/>
                  <w:vAlign w:val="center"/>
                </w:tcPr>
                <w:p w14:paraId="33A42F16">
                  <w:pPr>
                    <w:topLinePunct/>
                    <w:adjustRightInd w:val="0"/>
                    <w:snapToGrid w:val="0"/>
                    <w:spacing w:line="320" w:lineRule="exact"/>
                    <w:jc w:val="center"/>
                    <w:rPr>
                      <w:color w:val="auto"/>
                      <w:kern w:val="0"/>
                      <w:szCs w:val="21"/>
                    </w:rPr>
                  </w:pPr>
                  <w:r>
                    <w:rPr>
                      <w:color w:val="auto"/>
                      <w:kern w:val="0"/>
                      <w:szCs w:val="21"/>
                    </w:rPr>
                    <w:t>900-249-08</w:t>
                  </w:r>
                </w:p>
              </w:tc>
              <w:tc>
                <w:tcPr>
                  <w:tcW w:w="586" w:type="pct"/>
                  <w:vAlign w:val="center"/>
                </w:tcPr>
                <w:p w14:paraId="0C9378BC">
                  <w:pPr>
                    <w:topLinePunct/>
                    <w:adjustRightInd w:val="0"/>
                    <w:snapToGrid w:val="0"/>
                    <w:spacing w:line="320" w:lineRule="exact"/>
                    <w:jc w:val="center"/>
                    <w:rPr>
                      <w:rFonts w:hint="default" w:eastAsia="宋体"/>
                      <w:color w:val="auto"/>
                      <w:kern w:val="0"/>
                      <w:szCs w:val="21"/>
                      <w:lang w:val="en-US" w:eastAsia="zh-CN"/>
                    </w:rPr>
                  </w:pPr>
                  <w:r>
                    <w:rPr>
                      <w:rFonts w:hint="eastAsia"/>
                      <w:color w:val="auto"/>
                      <w:kern w:val="0"/>
                      <w:szCs w:val="21"/>
                      <w:lang w:val="en-US" w:eastAsia="zh-CN"/>
                    </w:rPr>
                    <w:t>0.01</w:t>
                  </w:r>
                </w:p>
              </w:tc>
              <w:tc>
                <w:tcPr>
                  <w:tcW w:w="477" w:type="pct"/>
                  <w:vMerge w:val="continue"/>
                  <w:vAlign w:val="center"/>
                </w:tcPr>
                <w:p w14:paraId="614ED9B0">
                  <w:pPr>
                    <w:topLinePunct/>
                    <w:adjustRightInd w:val="0"/>
                    <w:snapToGrid w:val="0"/>
                    <w:spacing w:line="320" w:lineRule="exact"/>
                    <w:jc w:val="center"/>
                    <w:rPr>
                      <w:color w:val="auto"/>
                      <w:kern w:val="0"/>
                      <w:szCs w:val="21"/>
                    </w:rPr>
                  </w:pPr>
                </w:p>
              </w:tc>
              <w:tc>
                <w:tcPr>
                  <w:tcW w:w="286" w:type="pct"/>
                  <w:vAlign w:val="center"/>
                </w:tcPr>
                <w:p w14:paraId="5023DFDE">
                  <w:pPr>
                    <w:topLinePunct/>
                    <w:adjustRightInd w:val="0"/>
                    <w:snapToGrid w:val="0"/>
                    <w:spacing w:line="320" w:lineRule="exact"/>
                    <w:jc w:val="center"/>
                    <w:rPr>
                      <w:color w:val="auto"/>
                      <w:kern w:val="0"/>
                      <w:szCs w:val="21"/>
                    </w:rPr>
                  </w:pPr>
                  <w:r>
                    <w:rPr>
                      <w:color w:val="auto"/>
                      <w:kern w:val="0"/>
                      <w:szCs w:val="21"/>
                    </w:rPr>
                    <w:t>固态</w:t>
                  </w:r>
                </w:p>
              </w:tc>
              <w:tc>
                <w:tcPr>
                  <w:tcW w:w="277" w:type="pct"/>
                  <w:vAlign w:val="center"/>
                </w:tcPr>
                <w:p w14:paraId="5207FE72">
                  <w:pPr>
                    <w:topLinePunct/>
                    <w:adjustRightInd w:val="0"/>
                    <w:snapToGrid w:val="0"/>
                    <w:spacing w:line="320" w:lineRule="exact"/>
                    <w:jc w:val="center"/>
                    <w:rPr>
                      <w:color w:val="auto"/>
                      <w:kern w:val="0"/>
                      <w:szCs w:val="21"/>
                    </w:rPr>
                  </w:pPr>
                  <w:r>
                    <w:rPr>
                      <w:rFonts w:hint="eastAsia"/>
                      <w:color w:val="auto"/>
                      <w:kern w:val="0"/>
                      <w:szCs w:val="21"/>
                    </w:rPr>
                    <w:t>矿物油</w:t>
                  </w:r>
                </w:p>
              </w:tc>
              <w:tc>
                <w:tcPr>
                  <w:tcW w:w="305" w:type="pct"/>
                  <w:vMerge w:val="continue"/>
                  <w:vAlign w:val="center"/>
                </w:tcPr>
                <w:p w14:paraId="6AAD95CD">
                  <w:pPr>
                    <w:topLinePunct/>
                    <w:adjustRightInd w:val="0"/>
                    <w:snapToGrid w:val="0"/>
                    <w:spacing w:line="320" w:lineRule="exact"/>
                    <w:jc w:val="center"/>
                    <w:rPr>
                      <w:color w:val="auto"/>
                      <w:kern w:val="0"/>
                      <w:szCs w:val="21"/>
                    </w:rPr>
                  </w:pPr>
                </w:p>
              </w:tc>
              <w:tc>
                <w:tcPr>
                  <w:tcW w:w="297" w:type="pct"/>
                  <w:vMerge w:val="continue"/>
                  <w:vAlign w:val="center"/>
                </w:tcPr>
                <w:p w14:paraId="09231735">
                  <w:pPr>
                    <w:topLinePunct/>
                    <w:adjustRightInd w:val="0"/>
                    <w:snapToGrid w:val="0"/>
                    <w:spacing w:line="320" w:lineRule="exact"/>
                    <w:jc w:val="center"/>
                    <w:rPr>
                      <w:color w:val="auto"/>
                      <w:kern w:val="0"/>
                      <w:szCs w:val="21"/>
                    </w:rPr>
                  </w:pPr>
                </w:p>
              </w:tc>
              <w:tc>
                <w:tcPr>
                  <w:tcW w:w="322" w:type="pct"/>
                  <w:vMerge w:val="continue"/>
                  <w:vAlign w:val="center"/>
                </w:tcPr>
                <w:p w14:paraId="568ACB5E">
                  <w:pPr>
                    <w:topLinePunct/>
                    <w:adjustRightInd w:val="0"/>
                    <w:snapToGrid w:val="0"/>
                    <w:spacing w:line="320" w:lineRule="exact"/>
                    <w:jc w:val="center"/>
                    <w:rPr>
                      <w:color w:val="auto"/>
                      <w:kern w:val="0"/>
                      <w:szCs w:val="21"/>
                    </w:rPr>
                  </w:pPr>
                </w:p>
              </w:tc>
              <w:tc>
                <w:tcPr>
                  <w:tcW w:w="377" w:type="pct"/>
                  <w:vMerge w:val="continue"/>
                  <w:vAlign w:val="center"/>
                </w:tcPr>
                <w:p w14:paraId="20B8C552">
                  <w:pPr>
                    <w:topLinePunct/>
                    <w:adjustRightInd w:val="0"/>
                    <w:snapToGrid w:val="0"/>
                    <w:spacing w:line="320" w:lineRule="exact"/>
                    <w:jc w:val="center"/>
                    <w:rPr>
                      <w:color w:val="auto"/>
                      <w:kern w:val="0"/>
                      <w:szCs w:val="21"/>
                    </w:rPr>
                  </w:pPr>
                </w:p>
              </w:tc>
              <w:tc>
                <w:tcPr>
                  <w:tcW w:w="434" w:type="pct"/>
                  <w:vMerge w:val="continue"/>
                  <w:vAlign w:val="center"/>
                </w:tcPr>
                <w:p w14:paraId="35F8C912">
                  <w:pPr>
                    <w:topLinePunct/>
                    <w:adjustRightInd w:val="0"/>
                    <w:snapToGrid w:val="0"/>
                    <w:spacing w:line="320" w:lineRule="exact"/>
                    <w:jc w:val="center"/>
                    <w:rPr>
                      <w:color w:val="auto"/>
                      <w:kern w:val="0"/>
                      <w:szCs w:val="21"/>
                    </w:rPr>
                  </w:pPr>
                </w:p>
              </w:tc>
            </w:tr>
          </w:tbl>
          <w:p w14:paraId="671ED0F4">
            <w:pPr>
              <w:adjustRightInd w:val="0"/>
              <w:snapToGrid w:val="0"/>
              <w:spacing w:line="500" w:lineRule="exact"/>
              <w:ind w:firstLine="480" w:firstLineChars="200"/>
              <w:rPr>
                <w:color w:val="auto"/>
                <w:sz w:val="24"/>
              </w:rPr>
            </w:pPr>
            <w:r>
              <w:rPr>
                <w:rFonts w:hint="eastAsia"/>
                <w:color w:val="auto"/>
                <w:kern w:val="24"/>
                <w:sz w:val="24"/>
              </w:rPr>
              <w:t>企业新建一座</w:t>
            </w:r>
            <w:r>
              <w:rPr>
                <w:rFonts w:hint="eastAsia"/>
                <w:color w:val="auto"/>
                <w:kern w:val="24"/>
                <w:sz w:val="24"/>
                <w:lang w:val="en-US" w:eastAsia="zh-CN"/>
              </w:rPr>
              <w:t>25</w:t>
            </w:r>
            <w:r>
              <w:rPr>
                <w:rFonts w:hint="eastAsia"/>
                <w:color w:val="auto"/>
                <w:kern w:val="24"/>
                <w:sz w:val="24"/>
              </w:rPr>
              <w:t>m</w:t>
            </w:r>
            <w:r>
              <w:rPr>
                <w:rFonts w:hint="eastAsia"/>
                <w:color w:val="auto"/>
                <w:kern w:val="24"/>
                <w:sz w:val="24"/>
                <w:vertAlign w:val="superscript"/>
              </w:rPr>
              <w:t>2</w:t>
            </w:r>
            <w:r>
              <w:rPr>
                <w:rFonts w:hint="eastAsia"/>
                <w:color w:val="auto"/>
                <w:kern w:val="24"/>
                <w:sz w:val="24"/>
              </w:rPr>
              <w:t>的</w:t>
            </w:r>
            <w:r>
              <w:rPr>
                <w:color w:val="auto"/>
                <w:kern w:val="24"/>
                <w:sz w:val="24"/>
              </w:rPr>
              <w:t>危废间</w:t>
            </w:r>
            <w:r>
              <w:rPr>
                <w:bCs/>
                <w:color w:val="auto"/>
                <w:kern w:val="24"/>
                <w:sz w:val="24"/>
              </w:rPr>
              <w:t>（为</w:t>
            </w:r>
            <w:r>
              <w:rPr>
                <w:rFonts w:hint="eastAsia"/>
                <w:bCs/>
                <w:color w:val="auto"/>
                <w:kern w:val="24"/>
                <w:sz w:val="24"/>
              </w:rPr>
              <w:t>砖混</w:t>
            </w:r>
            <w:r>
              <w:rPr>
                <w:bCs/>
                <w:color w:val="auto"/>
                <w:kern w:val="24"/>
                <w:sz w:val="24"/>
              </w:rPr>
              <w:t>结构），位于</w:t>
            </w:r>
            <w:r>
              <w:rPr>
                <w:rFonts w:hint="eastAsia"/>
                <w:bCs/>
                <w:color w:val="auto"/>
                <w:kern w:val="24"/>
                <w:sz w:val="24"/>
              </w:rPr>
              <w:t>1#</w:t>
            </w:r>
            <w:r>
              <w:rPr>
                <w:rFonts w:hint="eastAsia"/>
                <w:bCs/>
                <w:color w:val="auto"/>
                <w:kern w:val="24"/>
                <w:sz w:val="24"/>
                <w:lang w:eastAsia="zh-CN"/>
              </w:rPr>
              <w:t>厂房东北侧</w:t>
            </w:r>
            <w:r>
              <w:rPr>
                <w:bCs/>
                <w:color w:val="auto"/>
                <w:kern w:val="24"/>
                <w:sz w:val="24"/>
              </w:rPr>
              <w:t>，</w:t>
            </w:r>
            <w:r>
              <w:rPr>
                <w:color w:val="auto"/>
                <w:kern w:val="24"/>
                <w:sz w:val="24"/>
              </w:rPr>
              <w:t>设立危险废物标识，废</w:t>
            </w:r>
            <w:r>
              <w:rPr>
                <w:rFonts w:hint="eastAsia"/>
                <w:color w:val="auto"/>
                <w:kern w:val="24"/>
                <w:sz w:val="24"/>
              </w:rPr>
              <w:t>油采用专用容器</w:t>
            </w:r>
            <w:r>
              <w:rPr>
                <w:color w:val="auto"/>
                <w:kern w:val="24"/>
                <w:sz w:val="24"/>
              </w:rPr>
              <w:t>收集，</w:t>
            </w:r>
            <w:r>
              <w:rPr>
                <w:color w:val="auto"/>
                <w:sz w:val="24"/>
              </w:rPr>
              <w:t>然后置于防渗托盘上</w:t>
            </w:r>
            <w:r>
              <w:rPr>
                <w:rFonts w:hint="eastAsia"/>
                <w:color w:val="auto"/>
                <w:sz w:val="24"/>
              </w:rPr>
              <w:t>，</w:t>
            </w:r>
            <w:r>
              <w:rPr>
                <w:color w:val="auto"/>
                <w:kern w:val="24"/>
                <w:sz w:val="24"/>
              </w:rPr>
              <w:t>贴有危废标签</w:t>
            </w:r>
            <w:r>
              <w:rPr>
                <w:rFonts w:hint="eastAsia"/>
                <w:color w:val="auto"/>
                <w:kern w:val="24"/>
                <w:sz w:val="24"/>
              </w:rPr>
              <w:t>。危废间地面和裙角采用抗渗混凝土硬化处理，四周设置围堰，地面、裙角和围堰并涂环氧树脂漆防腐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088E7F5F">
            <w:pPr>
              <w:numPr>
                <w:ilvl w:val="0"/>
                <w:numId w:val="0"/>
              </w:numPr>
              <w:tabs>
                <w:tab w:val="left" w:pos="0"/>
              </w:tabs>
              <w:spacing w:line="480" w:lineRule="exact"/>
              <w:ind w:left="3373" w:leftChars="0" w:hanging="3373" w:hangingChars="1400"/>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 xml:space="preserve">29  </w:t>
            </w:r>
            <w:r>
              <w:rPr>
                <w:b/>
                <w:bCs/>
                <w:color w:val="auto"/>
                <w:sz w:val="24"/>
              </w:rPr>
              <w:t xml:space="preserve">  建设项目危险废物贮存场所（设施）基本情况表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198"/>
              <w:gridCol w:w="954"/>
              <w:gridCol w:w="1280"/>
              <w:gridCol w:w="540"/>
              <w:gridCol w:w="658"/>
              <w:gridCol w:w="809"/>
              <w:gridCol w:w="1026"/>
              <w:gridCol w:w="722"/>
            </w:tblGrid>
            <w:tr w14:paraId="0CBD3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30" w:type="pct"/>
                  <w:vAlign w:val="center"/>
                </w:tcPr>
                <w:p w14:paraId="76CD3E68">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贮存场所（设施）名称</w:t>
                  </w:r>
                </w:p>
              </w:tc>
              <w:tc>
                <w:tcPr>
                  <w:tcW w:w="729" w:type="pct"/>
                  <w:vAlign w:val="center"/>
                </w:tcPr>
                <w:p w14:paraId="5D93F3E0">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危险废物名称</w:t>
                  </w:r>
                </w:p>
              </w:tc>
              <w:tc>
                <w:tcPr>
                  <w:tcW w:w="581" w:type="pct"/>
                  <w:vAlign w:val="center"/>
                </w:tcPr>
                <w:p w14:paraId="668AC8EA">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危险废物类别</w:t>
                  </w:r>
                </w:p>
              </w:tc>
              <w:tc>
                <w:tcPr>
                  <w:tcW w:w="779" w:type="pct"/>
                  <w:vAlign w:val="center"/>
                </w:tcPr>
                <w:p w14:paraId="4C0477AB">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危险废物代码</w:t>
                  </w:r>
                </w:p>
              </w:tc>
              <w:tc>
                <w:tcPr>
                  <w:tcW w:w="329" w:type="pct"/>
                  <w:vAlign w:val="center"/>
                </w:tcPr>
                <w:p w14:paraId="3D8F6FD3">
                  <w:pPr>
                    <w:spacing w:line="320" w:lineRule="exact"/>
                    <w:jc w:val="center"/>
                    <w:rPr>
                      <w:rFonts w:ascii="Times New Roman" w:hAnsi="Times New Roman" w:eastAsia="宋体"/>
                      <w:color w:val="auto"/>
                      <w:szCs w:val="21"/>
                    </w:rPr>
                  </w:pPr>
                  <w:r>
                    <w:rPr>
                      <w:rFonts w:ascii="Times New Roman" w:hAnsi="Times New Roman" w:eastAsia="宋体"/>
                      <w:color w:val="auto"/>
                      <w:szCs w:val="21"/>
                    </w:rPr>
                    <w:t>位置</w:t>
                  </w:r>
                </w:p>
              </w:tc>
              <w:tc>
                <w:tcPr>
                  <w:tcW w:w="392" w:type="pct"/>
                  <w:vAlign w:val="center"/>
                </w:tcPr>
                <w:p w14:paraId="50CC247E">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占地面积</w:t>
                  </w:r>
                </w:p>
              </w:tc>
              <w:tc>
                <w:tcPr>
                  <w:tcW w:w="492" w:type="pct"/>
                  <w:vAlign w:val="center"/>
                </w:tcPr>
                <w:p w14:paraId="767C4DF7">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5680314B">
                  <w:pPr>
                    <w:spacing w:line="320" w:lineRule="exact"/>
                    <w:jc w:val="center"/>
                    <w:rPr>
                      <w:rFonts w:ascii="Times New Roman" w:hAnsi="Times New Roman" w:eastAsia="宋体"/>
                      <w:color w:val="auto"/>
                      <w:szCs w:val="21"/>
                    </w:rPr>
                  </w:pPr>
                  <w:r>
                    <w:rPr>
                      <w:rFonts w:ascii="Times New Roman" w:hAnsi="Times New Roman" w:eastAsia="宋体"/>
                      <w:color w:val="auto"/>
                      <w:szCs w:val="21"/>
                    </w:rPr>
                    <w:t>方式</w:t>
                  </w:r>
                </w:p>
              </w:tc>
              <w:tc>
                <w:tcPr>
                  <w:tcW w:w="624" w:type="pct"/>
                  <w:vAlign w:val="center"/>
                </w:tcPr>
                <w:p w14:paraId="57570DF2">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5DFB8574">
                  <w:pPr>
                    <w:spacing w:line="320" w:lineRule="exact"/>
                    <w:jc w:val="center"/>
                    <w:rPr>
                      <w:rFonts w:ascii="Times New Roman" w:hAnsi="Times New Roman" w:eastAsia="宋体"/>
                      <w:color w:val="auto"/>
                      <w:szCs w:val="21"/>
                    </w:rPr>
                  </w:pPr>
                  <w:r>
                    <w:rPr>
                      <w:rFonts w:ascii="Times New Roman" w:hAnsi="Times New Roman" w:eastAsia="宋体"/>
                      <w:color w:val="auto"/>
                      <w:szCs w:val="21"/>
                    </w:rPr>
                    <w:t>能力</w:t>
                  </w:r>
                </w:p>
              </w:tc>
              <w:tc>
                <w:tcPr>
                  <w:tcW w:w="439" w:type="pct"/>
                  <w:vAlign w:val="center"/>
                </w:tcPr>
                <w:p w14:paraId="3B0436EE">
                  <w:pPr>
                    <w:spacing w:line="320" w:lineRule="exact"/>
                    <w:jc w:val="center"/>
                    <w:rPr>
                      <w:rFonts w:ascii="Times New Roman" w:hAnsi="Times New Roman" w:eastAsia="宋体"/>
                      <w:color w:val="auto"/>
                      <w:szCs w:val="21"/>
                    </w:rPr>
                  </w:pPr>
                  <w:r>
                    <w:rPr>
                      <w:rFonts w:ascii="Times New Roman" w:hAnsi="Times New Roman" w:eastAsia="宋体"/>
                      <w:color w:val="auto"/>
                      <w:szCs w:val="21"/>
                    </w:rPr>
                    <w:t>贮存</w:t>
                  </w:r>
                </w:p>
                <w:p w14:paraId="7C43F07D">
                  <w:pPr>
                    <w:spacing w:line="320" w:lineRule="exact"/>
                    <w:jc w:val="center"/>
                    <w:rPr>
                      <w:rFonts w:ascii="Times New Roman" w:hAnsi="Times New Roman" w:eastAsia="宋体"/>
                      <w:color w:val="auto"/>
                      <w:szCs w:val="21"/>
                    </w:rPr>
                  </w:pPr>
                  <w:r>
                    <w:rPr>
                      <w:rFonts w:ascii="Times New Roman" w:hAnsi="Times New Roman" w:eastAsia="宋体"/>
                      <w:color w:val="auto"/>
                      <w:szCs w:val="21"/>
                    </w:rPr>
                    <w:t>周期</w:t>
                  </w:r>
                </w:p>
              </w:tc>
            </w:tr>
            <w:tr w14:paraId="0F91F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30" w:type="pct"/>
                  <w:vMerge w:val="restart"/>
                  <w:vAlign w:val="center"/>
                </w:tcPr>
                <w:p w14:paraId="0249190D">
                  <w:pPr>
                    <w:spacing w:line="320" w:lineRule="exact"/>
                    <w:jc w:val="center"/>
                    <w:rPr>
                      <w:rFonts w:ascii="Times New Roman" w:hAnsi="Times New Roman" w:eastAsia="宋体"/>
                      <w:color w:val="auto"/>
                      <w:szCs w:val="21"/>
                    </w:rPr>
                  </w:pPr>
                  <w:r>
                    <w:rPr>
                      <w:rFonts w:ascii="Times New Roman" w:hAnsi="Times New Roman" w:eastAsia="宋体"/>
                      <w:color w:val="auto"/>
                      <w:szCs w:val="21"/>
                    </w:rPr>
                    <w:t>危废间</w:t>
                  </w:r>
                </w:p>
              </w:tc>
              <w:tc>
                <w:tcPr>
                  <w:tcW w:w="729" w:type="pct"/>
                  <w:vAlign w:val="center"/>
                </w:tcPr>
                <w:p w14:paraId="56EB3679">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废</w:t>
                  </w:r>
                  <w:r>
                    <w:rPr>
                      <w:rFonts w:hint="eastAsia" w:ascii="Times New Roman" w:hAnsi="Times New Roman" w:eastAsia="宋体"/>
                      <w:color w:val="auto"/>
                      <w:kern w:val="0"/>
                      <w:szCs w:val="21"/>
                    </w:rPr>
                    <w:t>润滑油</w:t>
                  </w:r>
                </w:p>
              </w:tc>
              <w:tc>
                <w:tcPr>
                  <w:tcW w:w="581" w:type="pct"/>
                  <w:vAlign w:val="center"/>
                </w:tcPr>
                <w:p w14:paraId="26E7EFBD">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HW08</w:t>
                  </w:r>
                </w:p>
              </w:tc>
              <w:tc>
                <w:tcPr>
                  <w:tcW w:w="779" w:type="pct"/>
                  <w:vAlign w:val="center"/>
                </w:tcPr>
                <w:p w14:paraId="7D6B96F9">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900-217-08</w:t>
                  </w:r>
                </w:p>
              </w:tc>
              <w:tc>
                <w:tcPr>
                  <w:tcW w:w="329" w:type="pct"/>
                  <w:vMerge w:val="restart"/>
                  <w:vAlign w:val="center"/>
                </w:tcPr>
                <w:p w14:paraId="36BA930C">
                  <w:pPr>
                    <w:spacing w:line="320" w:lineRule="exact"/>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1#</w:t>
                  </w:r>
                  <w:r>
                    <w:rPr>
                      <w:rFonts w:hint="eastAsia"/>
                      <w:color w:val="auto"/>
                      <w:szCs w:val="21"/>
                      <w:lang w:eastAsia="zh-CN"/>
                    </w:rPr>
                    <w:t>厂房</w:t>
                  </w:r>
                  <w:r>
                    <w:rPr>
                      <w:rFonts w:hint="eastAsia"/>
                      <w:color w:val="auto"/>
                      <w:szCs w:val="21"/>
                      <w:highlight w:val="none"/>
                      <w:lang w:eastAsia="zh-CN"/>
                    </w:rPr>
                    <w:t>东北侧</w:t>
                  </w:r>
                </w:p>
              </w:tc>
              <w:tc>
                <w:tcPr>
                  <w:tcW w:w="392" w:type="pct"/>
                  <w:vMerge w:val="restart"/>
                  <w:vAlign w:val="center"/>
                </w:tcPr>
                <w:p w14:paraId="1713D049">
                  <w:pPr>
                    <w:spacing w:line="320" w:lineRule="exact"/>
                    <w:jc w:val="center"/>
                    <w:rPr>
                      <w:rFonts w:ascii="Times New Roman" w:hAnsi="Times New Roman" w:eastAsia="宋体"/>
                      <w:color w:val="auto"/>
                      <w:szCs w:val="21"/>
                    </w:rPr>
                  </w:pPr>
                  <w:r>
                    <w:rPr>
                      <w:rFonts w:hint="eastAsia"/>
                      <w:color w:val="auto"/>
                      <w:szCs w:val="21"/>
                      <w:lang w:val="en-US" w:eastAsia="zh-CN"/>
                    </w:rPr>
                    <w:t>25</w:t>
                  </w:r>
                  <w:r>
                    <w:rPr>
                      <w:rFonts w:ascii="Times New Roman" w:hAnsi="Times New Roman" w:eastAsia="宋体"/>
                      <w:color w:val="auto"/>
                      <w:szCs w:val="21"/>
                    </w:rPr>
                    <w:t>m</w:t>
                  </w:r>
                  <w:r>
                    <w:rPr>
                      <w:rFonts w:ascii="Times New Roman" w:hAnsi="Times New Roman" w:eastAsia="宋体"/>
                      <w:color w:val="auto"/>
                      <w:szCs w:val="21"/>
                      <w:vertAlign w:val="superscript"/>
                    </w:rPr>
                    <w:t>2</w:t>
                  </w:r>
                </w:p>
              </w:tc>
              <w:tc>
                <w:tcPr>
                  <w:tcW w:w="492" w:type="pct"/>
                  <w:vAlign w:val="center"/>
                </w:tcPr>
                <w:p w14:paraId="389C29EA">
                  <w:pPr>
                    <w:spacing w:line="320" w:lineRule="exact"/>
                    <w:jc w:val="center"/>
                    <w:rPr>
                      <w:rFonts w:ascii="Times New Roman" w:hAnsi="Times New Roman" w:eastAsia="宋体"/>
                      <w:color w:val="auto"/>
                      <w:szCs w:val="21"/>
                    </w:rPr>
                  </w:pPr>
                  <w:r>
                    <w:rPr>
                      <w:rFonts w:ascii="Times New Roman" w:hAnsi="Times New Roman" w:eastAsia="宋体"/>
                      <w:color w:val="auto"/>
                      <w:szCs w:val="21"/>
                    </w:rPr>
                    <w:t>废油桶</w:t>
                  </w:r>
                  <w:r>
                    <w:rPr>
                      <w:rFonts w:hint="eastAsia" w:ascii="Times New Roman" w:hAnsi="Times New Roman" w:eastAsia="宋体"/>
                      <w:color w:val="auto"/>
                      <w:szCs w:val="21"/>
                    </w:rPr>
                    <w:t>内加盖暂存</w:t>
                  </w:r>
                </w:p>
              </w:tc>
              <w:tc>
                <w:tcPr>
                  <w:tcW w:w="624" w:type="pct"/>
                  <w:vAlign w:val="center"/>
                </w:tcPr>
                <w:p w14:paraId="139628E4">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0.5t</w:t>
                  </w:r>
                </w:p>
              </w:tc>
              <w:tc>
                <w:tcPr>
                  <w:tcW w:w="439" w:type="pct"/>
                  <w:vMerge w:val="restart"/>
                  <w:vAlign w:val="center"/>
                </w:tcPr>
                <w:p w14:paraId="5D4E9DB0">
                  <w:pPr>
                    <w:topLinePunct/>
                    <w:adjustRightInd w:val="0"/>
                    <w:snapToGrid w:val="0"/>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一年</w:t>
                  </w:r>
                </w:p>
              </w:tc>
            </w:tr>
            <w:tr w14:paraId="7420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30" w:type="pct"/>
                  <w:vMerge w:val="continue"/>
                  <w:vAlign w:val="center"/>
                </w:tcPr>
                <w:p w14:paraId="35637BD6">
                  <w:pPr>
                    <w:spacing w:line="320" w:lineRule="exact"/>
                    <w:jc w:val="center"/>
                    <w:rPr>
                      <w:rFonts w:ascii="Times New Roman" w:hAnsi="Times New Roman" w:eastAsia="宋体"/>
                      <w:color w:val="auto"/>
                      <w:szCs w:val="21"/>
                    </w:rPr>
                  </w:pPr>
                </w:p>
              </w:tc>
              <w:tc>
                <w:tcPr>
                  <w:tcW w:w="729" w:type="pct"/>
                  <w:vAlign w:val="center"/>
                </w:tcPr>
                <w:p w14:paraId="0C44FCEB">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废油桶</w:t>
                  </w:r>
                </w:p>
              </w:tc>
              <w:tc>
                <w:tcPr>
                  <w:tcW w:w="581" w:type="pct"/>
                  <w:vAlign w:val="center"/>
                </w:tcPr>
                <w:p w14:paraId="6DE61291">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szCs w:val="21"/>
                    </w:rPr>
                    <w:t>HW08</w:t>
                  </w:r>
                </w:p>
              </w:tc>
              <w:tc>
                <w:tcPr>
                  <w:tcW w:w="779" w:type="pct"/>
                  <w:vAlign w:val="center"/>
                </w:tcPr>
                <w:p w14:paraId="415FB92E">
                  <w:pPr>
                    <w:topLinePunct/>
                    <w:adjustRightInd w:val="0"/>
                    <w:snapToGrid w:val="0"/>
                    <w:spacing w:line="320" w:lineRule="exact"/>
                    <w:jc w:val="center"/>
                    <w:rPr>
                      <w:rFonts w:ascii="Times New Roman" w:hAnsi="Times New Roman" w:eastAsia="宋体"/>
                      <w:color w:val="auto"/>
                      <w:kern w:val="0"/>
                      <w:szCs w:val="21"/>
                    </w:rPr>
                  </w:pPr>
                  <w:r>
                    <w:rPr>
                      <w:rFonts w:ascii="Times New Roman" w:hAnsi="Times New Roman" w:eastAsia="宋体"/>
                      <w:color w:val="auto"/>
                      <w:kern w:val="0"/>
                      <w:szCs w:val="21"/>
                    </w:rPr>
                    <w:t>900-249-08</w:t>
                  </w:r>
                </w:p>
              </w:tc>
              <w:tc>
                <w:tcPr>
                  <w:tcW w:w="329" w:type="pct"/>
                  <w:vMerge w:val="continue"/>
                  <w:vAlign w:val="center"/>
                </w:tcPr>
                <w:p w14:paraId="184E9332">
                  <w:pPr>
                    <w:spacing w:line="320" w:lineRule="exact"/>
                    <w:jc w:val="center"/>
                    <w:rPr>
                      <w:rFonts w:ascii="Times New Roman" w:hAnsi="Times New Roman" w:eastAsia="宋体"/>
                      <w:color w:val="auto"/>
                      <w:szCs w:val="21"/>
                    </w:rPr>
                  </w:pPr>
                </w:p>
              </w:tc>
              <w:tc>
                <w:tcPr>
                  <w:tcW w:w="392" w:type="pct"/>
                  <w:vMerge w:val="continue"/>
                  <w:vAlign w:val="center"/>
                </w:tcPr>
                <w:p w14:paraId="523ADF2D">
                  <w:pPr>
                    <w:spacing w:line="320" w:lineRule="exact"/>
                    <w:jc w:val="center"/>
                    <w:rPr>
                      <w:rFonts w:ascii="Times New Roman" w:hAnsi="Times New Roman" w:eastAsia="宋体"/>
                      <w:color w:val="auto"/>
                      <w:szCs w:val="21"/>
                    </w:rPr>
                  </w:pPr>
                </w:p>
              </w:tc>
              <w:tc>
                <w:tcPr>
                  <w:tcW w:w="492" w:type="pct"/>
                  <w:vAlign w:val="center"/>
                </w:tcPr>
                <w:p w14:paraId="3F5E4A8C">
                  <w:pPr>
                    <w:spacing w:line="320" w:lineRule="exact"/>
                    <w:jc w:val="center"/>
                    <w:rPr>
                      <w:rFonts w:ascii="Times New Roman" w:hAnsi="Times New Roman" w:eastAsia="宋体"/>
                      <w:color w:val="auto"/>
                      <w:szCs w:val="21"/>
                    </w:rPr>
                  </w:pPr>
                  <w:r>
                    <w:rPr>
                      <w:rFonts w:hint="eastAsia" w:ascii="Times New Roman" w:hAnsi="Times New Roman" w:eastAsia="宋体"/>
                      <w:color w:val="auto"/>
                      <w:szCs w:val="21"/>
                    </w:rPr>
                    <w:t>原盖密封暂存于危废间内</w:t>
                  </w:r>
                </w:p>
              </w:tc>
              <w:tc>
                <w:tcPr>
                  <w:tcW w:w="624" w:type="pct"/>
                  <w:vAlign w:val="center"/>
                </w:tcPr>
                <w:p w14:paraId="58F0F109">
                  <w:pPr>
                    <w:spacing w:line="320" w:lineRule="exact"/>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0.3t</w:t>
                  </w:r>
                </w:p>
              </w:tc>
              <w:tc>
                <w:tcPr>
                  <w:tcW w:w="439" w:type="pct"/>
                  <w:vMerge w:val="continue"/>
                  <w:vAlign w:val="center"/>
                </w:tcPr>
                <w:p w14:paraId="5B6EE506">
                  <w:pPr>
                    <w:topLinePunct/>
                    <w:adjustRightInd w:val="0"/>
                    <w:snapToGrid w:val="0"/>
                    <w:spacing w:line="320" w:lineRule="exact"/>
                    <w:jc w:val="center"/>
                    <w:rPr>
                      <w:rFonts w:ascii="Times New Roman" w:hAnsi="Times New Roman" w:eastAsia="宋体"/>
                      <w:color w:val="auto"/>
                      <w:szCs w:val="21"/>
                    </w:rPr>
                  </w:pPr>
                </w:p>
              </w:tc>
            </w:tr>
          </w:tbl>
          <w:p w14:paraId="6472E173">
            <w:pPr>
              <w:spacing w:line="500" w:lineRule="exact"/>
              <w:ind w:firstLine="480" w:firstLineChars="200"/>
              <w:rPr>
                <w:color w:val="auto"/>
                <w:sz w:val="24"/>
              </w:rPr>
            </w:pPr>
            <w:r>
              <w:rPr>
                <w:rFonts w:hint="eastAsia"/>
                <w:color w:val="auto"/>
                <w:sz w:val="24"/>
              </w:rPr>
              <w:t>（2）</w:t>
            </w:r>
            <w:r>
              <w:rPr>
                <w:rFonts w:hint="eastAsia"/>
                <w:bCs/>
                <w:color w:val="auto"/>
                <w:sz w:val="24"/>
              </w:rPr>
              <w:t>危废间</w:t>
            </w:r>
            <w:r>
              <w:rPr>
                <w:bCs/>
                <w:color w:val="auto"/>
                <w:sz w:val="24"/>
              </w:rPr>
              <w:t>的建设要求</w:t>
            </w:r>
          </w:p>
          <w:p w14:paraId="6110F5C9">
            <w:pPr>
              <w:spacing w:line="500" w:lineRule="exact"/>
              <w:ind w:firstLine="480" w:firstLineChars="200"/>
              <w:rPr>
                <w:color w:val="auto"/>
                <w:sz w:val="24"/>
              </w:rPr>
            </w:pPr>
            <w:r>
              <w:rPr>
                <w:color w:val="auto"/>
                <w:sz w:val="24"/>
              </w:rPr>
              <w:t>为防止危险废物在厂内临时存储过程中对环境产生污染影响，本项目危险废物暂存间应根据</w:t>
            </w:r>
            <w:r>
              <w:rPr>
                <w:rFonts w:hint="eastAsia"/>
                <w:color w:val="auto"/>
                <w:kern w:val="0"/>
                <w:sz w:val="24"/>
              </w:rPr>
              <w:t>《危险废物贮存污染控制标准》（GB 18597-2023）</w:t>
            </w:r>
            <w:r>
              <w:rPr>
                <w:color w:val="auto"/>
                <w:sz w:val="24"/>
              </w:rPr>
              <w:t>中的相关内容采取措施。对于本项目危险废物处置，应采取以下措施：</w:t>
            </w:r>
          </w:p>
          <w:p w14:paraId="0FDB142A">
            <w:pPr>
              <w:pStyle w:val="40"/>
              <w:adjustRightInd w:val="0"/>
              <w:snapToGrid w:val="0"/>
              <w:spacing w:line="500" w:lineRule="exact"/>
              <w:ind w:firstLine="480"/>
              <w:rPr>
                <w:color w:val="auto"/>
              </w:rPr>
            </w:pPr>
            <w:r>
              <w:rPr>
                <w:rFonts w:hint="eastAsia"/>
                <w:color w:val="auto"/>
              </w:rPr>
              <w:t>①贮存设施应根据危险废物的形态、物理化学性质、包装形式和污染物迁移途径，采取必要的防风、防晒、防雨、防漏、防渗、防腐以及其他环境污染防治措施，不应露天堆放危险废物。</w:t>
            </w:r>
          </w:p>
          <w:p w14:paraId="58E05E98">
            <w:pPr>
              <w:pStyle w:val="40"/>
              <w:adjustRightInd w:val="0"/>
              <w:snapToGrid w:val="0"/>
              <w:spacing w:line="500" w:lineRule="exact"/>
              <w:ind w:firstLine="480"/>
              <w:rPr>
                <w:color w:val="auto"/>
              </w:rPr>
            </w:pPr>
            <w:r>
              <w:rPr>
                <w:rFonts w:hint="eastAsia"/>
                <w:color w:val="auto"/>
              </w:rPr>
              <w:t>②贮存设施应根据危险废物的类别、数量、形态、物理化学性质和污染防治等要求设置必要的贮存分区，避免不相容的危险废物接触、混合。</w:t>
            </w:r>
          </w:p>
          <w:p w14:paraId="3D8D3233">
            <w:pPr>
              <w:pStyle w:val="40"/>
              <w:adjustRightInd w:val="0"/>
              <w:snapToGrid w:val="0"/>
              <w:spacing w:line="500" w:lineRule="exact"/>
              <w:ind w:firstLine="480"/>
              <w:rPr>
                <w:color w:val="auto"/>
              </w:rPr>
            </w:pPr>
            <w:r>
              <w:rPr>
                <w:rFonts w:hint="eastAsia"/>
                <w:color w:val="auto"/>
              </w:rPr>
              <w:t>③贮存设施或贮存分区内地面、墙面裙脚、堵截泄漏的围堰、接触危险废物的隔板和墙体等应采用坚固的材料建造，表面无裂缝。</w:t>
            </w:r>
          </w:p>
          <w:p w14:paraId="04B08972">
            <w:pPr>
              <w:pStyle w:val="40"/>
              <w:adjustRightInd w:val="0"/>
              <w:snapToGrid w:val="0"/>
              <w:spacing w:line="500" w:lineRule="exact"/>
              <w:ind w:firstLine="480"/>
              <w:rPr>
                <w:color w:val="auto"/>
              </w:rPr>
            </w:pPr>
            <w:r>
              <w:rPr>
                <w:rFonts w:hint="eastAsia"/>
                <w:color w:val="auto"/>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color w:val="auto"/>
              </w:rPr>
              <w:t>1m</w:t>
            </w:r>
            <w:r>
              <w:rPr>
                <w:rFonts w:hint="eastAsia"/>
                <w:color w:val="auto"/>
              </w:rPr>
              <w:t>厚黏土层（渗透系数不大于</w:t>
            </w:r>
            <w:r>
              <w:rPr>
                <w:color w:val="auto"/>
              </w:rPr>
              <w:t>10</w:t>
            </w:r>
            <w:r>
              <w:rPr>
                <w:color w:val="auto"/>
                <w:vertAlign w:val="superscript"/>
              </w:rPr>
              <w:t>-7</w:t>
            </w:r>
            <w:r>
              <w:rPr>
                <w:color w:val="auto"/>
              </w:rPr>
              <w:t>cm/s</w:t>
            </w:r>
            <w:r>
              <w:rPr>
                <w:rFonts w:hint="eastAsia"/>
                <w:color w:val="auto"/>
              </w:rPr>
              <w:t>），或至少</w:t>
            </w:r>
            <w:r>
              <w:rPr>
                <w:color w:val="auto"/>
              </w:rPr>
              <w:t>2mm</w:t>
            </w:r>
            <w:r>
              <w:rPr>
                <w:rFonts w:hint="eastAsia"/>
                <w:color w:val="auto"/>
              </w:rPr>
              <w:t>厚高密度聚乙烯膜等人工防渗材料（渗透系数不大于</w:t>
            </w:r>
            <w:r>
              <w:rPr>
                <w:color w:val="auto"/>
              </w:rPr>
              <w:t>10</w:t>
            </w:r>
            <w:r>
              <w:rPr>
                <w:color w:val="auto"/>
                <w:vertAlign w:val="superscript"/>
              </w:rPr>
              <w:t>-10</w:t>
            </w:r>
            <w:r>
              <w:rPr>
                <w:color w:val="auto"/>
              </w:rPr>
              <w:t>cm/s</w:t>
            </w:r>
            <w:r>
              <w:rPr>
                <w:rFonts w:hint="eastAsia"/>
                <w:color w:val="auto"/>
              </w:rPr>
              <w:t>），或其他防渗性能等效的材料。</w:t>
            </w:r>
          </w:p>
          <w:p w14:paraId="19788B2B">
            <w:pPr>
              <w:pStyle w:val="40"/>
              <w:adjustRightInd w:val="0"/>
              <w:snapToGrid w:val="0"/>
              <w:spacing w:line="500" w:lineRule="exact"/>
              <w:ind w:firstLine="480"/>
              <w:rPr>
                <w:color w:val="auto"/>
              </w:rPr>
            </w:pPr>
            <w:r>
              <w:rPr>
                <w:rFonts w:hint="eastAsia"/>
                <w:color w:val="auto"/>
              </w:rPr>
              <w:t>⑤同一贮存设施宜采用相同的防渗、防腐工艺（包括防渗、防腐结构或材料），防渗、防腐材料应覆盖所有可能与废物及其渗滤液、渗漏液等接触的构筑物表面；采用不同防渗、防腐工艺应分别建设贮存分区。</w:t>
            </w:r>
          </w:p>
          <w:p w14:paraId="556A88D0">
            <w:pPr>
              <w:pStyle w:val="40"/>
              <w:adjustRightInd w:val="0"/>
              <w:snapToGrid w:val="0"/>
              <w:spacing w:line="500" w:lineRule="exact"/>
              <w:ind w:firstLine="480"/>
              <w:rPr>
                <w:color w:val="auto"/>
              </w:rPr>
            </w:pPr>
            <w:r>
              <w:rPr>
                <w:rFonts w:hint="eastAsia"/>
                <w:color w:val="auto"/>
              </w:rPr>
              <w:t>⑥贮存设施应采取技术和管理措施防止无关人员进入。</w:t>
            </w:r>
          </w:p>
          <w:p w14:paraId="53B0B835">
            <w:pPr>
              <w:pStyle w:val="40"/>
              <w:adjustRightInd w:val="0"/>
              <w:snapToGrid w:val="0"/>
              <w:spacing w:line="500" w:lineRule="exact"/>
              <w:ind w:firstLine="480"/>
              <w:rPr>
                <w:color w:val="auto"/>
              </w:rPr>
            </w:pPr>
            <w:r>
              <w:rPr>
                <w:rFonts w:hint="eastAsia"/>
                <w:color w:val="auto"/>
              </w:rPr>
              <w:t>⑦</w:t>
            </w:r>
            <w:r>
              <w:rPr>
                <w:color w:val="auto"/>
              </w:rPr>
              <w:t>危废间要按照《环境保护图形标志</w:t>
            </w:r>
            <w:r>
              <w:rPr>
                <w:rFonts w:hint="eastAsia"/>
                <w:color w:val="auto"/>
              </w:rPr>
              <w:t>-</w:t>
            </w:r>
            <w:r>
              <w:rPr>
                <w:color w:val="auto"/>
              </w:rPr>
              <w:t>固体废物贮存（处置）场》（GB 15562.2-1995）</w:t>
            </w:r>
            <w:r>
              <w:rPr>
                <w:rFonts w:hint="eastAsia"/>
                <w:color w:val="auto"/>
              </w:rPr>
              <w:t>及修改单、《危险废物识别标志设置技术规范》（HJ 1276—2022）</w:t>
            </w:r>
            <w:r>
              <w:rPr>
                <w:color w:val="auto"/>
              </w:rPr>
              <w:t>中的规定设立危险废物警示标识、标牌</w:t>
            </w:r>
            <w:r>
              <w:rPr>
                <w:rFonts w:hint="eastAsia"/>
                <w:color w:val="auto"/>
              </w:rPr>
              <w:t>。</w:t>
            </w:r>
          </w:p>
          <w:p w14:paraId="5DEB09BD">
            <w:pPr>
              <w:pStyle w:val="6"/>
              <w:tabs>
                <w:tab w:val="left" w:pos="3465"/>
              </w:tabs>
              <w:spacing w:line="500" w:lineRule="exact"/>
              <w:ind w:firstLine="480"/>
              <w:rPr>
                <w:color w:val="auto"/>
                <w:sz w:val="24"/>
              </w:rPr>
            </w:pPr>
            <w:r>
              <w:rPr>
                <w:color w:val="auto"/>
                <w:sz w:val="24"/>
              </w:rPr>
              <w:t>危险废物标识详见</w:t>
            </w:r>
            <w:r>
              <w:rPr>
                <w:rFonts w:hint="eastAsia"/>
                <w:color w:val="auto"/>
                <w:sz w:val="24"/>
              </w:rPr>
              <w:t>下</w:t>
            </w:r>
            <w:r>
              <w:rPr>
                <w:color w:val="auto"/>
                <w:sz w:val="24"/>
              </w:rPr>
              <w:t>图。</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1"/>
              <w:gridCol w:w="4254"/>
            </w:tblGrid>
            <w:tr w14:paraId="134F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00" w:type="pct"/>
                  <w:gridSpan w:val="2"/>
                  <w:vAlign w:val="center"/>
                </w:tcPr>
                <w:p w14:paraId="6249E80B">
                  <w:pPr>
                    <w:spacing w:line="360" w:lineRule="exact"/>
                    <w:jc w:val="center"/>
                    <w:rPr>
                      <w:color w:val="auto"/>
                      <w:kern w:val="0"/>
                      <w:szCs w:val="21"/>
                    </w:rPr>
                  </w:pPr>
                  <w:r>
                    <w:rPr>
                      <w:rFonts w:hint="eastAsia"/>
                      <w:color w:val="auto"/>
                      <w:kern w:val="0"/>
                      <w:szCs w:val="21"/>
                    </w:rPr>
                    <w:t>危险废物贮存</w:t>
                  </w:r>
                  <w:r>
                    <w:rPr>
                      <w:rFonts w:hint="eastAsia"/>
                      <w:lang w:eastAsia="zh-CN"/>
                    </w:rPr>
                    <w:t>设</w:t>
                  </w:r>
                  <w:r>
                    <w:rPr>
                      <w:rFonts w:hint="eastAsia"/>
                      <w:color w:val="auto"/>
                      <w:kern w:val="0"/>
                      <w:szCs w:val="21"/>
                    </w:rPr>
                    <w:t>施标志：</w:t>
                  </w:r>
                </w:p>
                <w:p w14:paraId="43BB7C67">
                  <w:pPr>
                    <w:jc w:val="center"/>
                    <w:rPr>
                      <w:color w:val="auto"/>
                    </w:rPr>
                  </w:pPr>
                  <w:r>
                    <w:rPr>
                      <w:rFonts w:hint="eastAsia"/>
                      <w:color w:val="auto"/>
                    </w:rPr>
                    <w:drawing>
                      <wp:inline distT="0" distB="0" distL="114300" distR="114300">
                        <wp:extent cx="1895475" cy="1175385"/>
                        <wp:effectExtent l="0" t="0" r="9525" b="5715"/>
                        <wp:docPr id="9" name="图片 3"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677813589388"/>
                                <pic:cNvPicPr>
                                  <a:picLocks noChangeAspect="1"/>
                                </pic:cNvPicPr>
                              </pic:nvPicPr>
                              <pic:blipFill>
                                <a:blip r:embed="rId30"/>
                                <a:stretch>
                                  <a:fillRect/>
                                </a:stretch>
                              </pic:blipFill>
                              <pic:spPr>
                                <a:xfrm>
                                  <a:off x="0" y="0"/>
                                  <a:ext cx="1895475" cy="1175385"/>
                                </a:xfrm>
                                <a:prstGeom prst="rect">
                                  <a:avLst/>
                                </a:prstGeom>
                                <a:noFill/>
                                <a:ln>
                                  <a:noFill/>
                                </a:ln>
                              </pic:spPr>
                            </pic:pic>
                          </a:graphicData>
                        </a:graphic>
                      </wp:inline>
                    </w:drawing>
                  </w:r>
                </w:p>
                <w:p w14:paraId="5C98C784">
                  <w:pPr>
                    <w:pStyle w:val="19"/>
                    <w:spacing w:before="0" w:beforeAutospacing="0" w:after="0" w:afterAutospacing="0" w:line="300" w:lineRule="exact"/>
                    <w:rPr>
                      <w:rFonts w:ascii="Times New Roman" w:hAnsi="Times New Roman"/>
                      <w:color w:val="auto"/>
                      <w:sz w:val="21"/>
                      <w:szCs w:val="21"/>
                    </w:rPr>
                  </w:pPr>
                  <w:r>
                    <w:rPr>
                      <w:rFonts w:ascii="Times New Roman" w:hAnsi="Times New Roman"/>
                      <w:color w:val="auto"/>
                      <w:sz w:val="21"/>
                      <w:szCs w:val="21"/>
                    </w:rPr>
                    <w:t>说明：</w:t>
                  </w:r>
                  <w:r>
                    <w:rPr>
                      <w:rFonts w:hint="eastAsia" w:ascii="Times New Roman" w:hAnsi="Times New Roman"/>
                      <w:color w:val="auto"/>
                      <w:sz w:val="21"/>
                      <w:szCs w:val="21"/>
                    </w:rPr>
                    <w:t>1、危险废物标签中的二维码部分，可与标签一同制作，也可以单独制作后固定于危险废物标签相应位置。</w:t>
                  </w:r>
                </w:p>
                <w:p w14:paraId="684C4720">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2、危险废物标签的设置位置应明显可见且易读，不应被容器、包装物自身的任何部分或其他标签遮挡。危险废物标签在各种包装上的粘贴位置分别为：</w:t>
                  </w:r>
                </w:p>
                <w:p w14:paraId="258DA535">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a）箱类包装：位于包装端面或侧面；b）袋类包装：位于包装明显处；c）桶类包装：位于桶身或桶盖；d）其他包装：位于明显处。</w:t>
                  </w:r>
                </w:p>
                <w:p w14:paraId="64756652">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3、对于盛装同一类危险废物的组合包装容器，应在组合包装容器的外表面设置危险废物标签。</w:t>
                  </w:r>
                </w:p>
                <w:p w14:paraId="4C51CBE6">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4、容积超过450L的容器或包装物，应在相对的两面都设置危险废物标签。</w:t>
                  </w:r>
                </w:p>
                <w:p w14:paraId="7EA0DBA9">
                  <w:pPr>
                    <w:pStyle w:val="19"/>
                    <w:spacing w:before="0" w:beforeAutospacing="0" w:after="0" w:afterAutospacing="0" w:line="300" w:lineRule="exact"/>
                    <w:rPr>
                      <w:rFonts w:ascii="Times New Roman" w:hAnsi="Times New Roman"/>
                      <w:color w:val="auto"/>
                      <w:sz w:val="21"/>
                      <w:szCs w:val="21"/>
                    </w:rPr>
                  </w:pPr>
                  <w:r>
                    <w:rPr>
                      <w:rFonts w:hint="eastAsia" w:ascii="Times New Roman" w:hAnsi="Times New Roman"/>
                      <w:color w:val="auto"/>
                      <w:sz w:val="21"/>
                      <w:szCs w:val="21"/>
                    </w:rPr>
                    <w:t>5、危险废物标签的固定可采用印刷、粘贴、栓挂、钉附等方式，标签的固定应保证在贮存、转移期间不易脱落和损坏。</w:t>
                  </w:r>
                </w:p>
                <w:p w14:paraId="6558B605">
                  <w:pPr>
                    <w:pStyle w:val="22"/>
                    <w:spacing w:line="300" w:lineRule="exact"/>
                    <w:ind w:left="0" w:leftChars="0" w:firstLine="0" w:firstLineChars="0"/>
                    <w:rPr>
                      <w:color w:val="auto"/>
                    </w:rPr>
                  </w:pPr>
                  <w:r>
                    <w:rPr>
                      <w:rFonts w:hint="eastAsia"/>
                      <w:color w:val="auto"/>
                      <w:szCs w:val="21"/>
                    </w:rPr>
                    <w:t>6、当危险废物容器或包装物还需同时设置危险货物运输相关标志时，危险废物标签可与其分开设置在不同的面上，也可设在相邻的位置。</w:t>
                  </w:r>
                </w:p>
              </w:tc>
            </w:tr>
            <w:tr w14:paraId="673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5000" w:type="pct"/>
                  <w:gridSpan w:val="2"/>
                  <w:vAlign w:val="center"/>
                </w:tcPr>
                <w:p w14:paraId="3ACE5729">
                  <w:pPr>
                    <w:spacing w:line="360" w:lineRule="exact"/>
                    <w:jc w:val="center"/>
                    <w:rPr>
                      <w:color w:val="auto"/>
                    </w:rPr>
                  </w:pPr>
                  <w:r>
                    <w:rPr>
                      <w:rFonts w:hint="eastAsia"/>
                      <w:color w:val="auto"/>
                    </w:rPr>
                    <w:t>危险废物贮存设施标志的尺寸要求：</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56"/>
                    <w:gridCol w:w="1165"/>
                    <w:gridCol w:w="1009"/>
                    <w:gridCol w:w="963"/>
                    <w:gridCol w:w="1120"/>
                    <w:gridCol w:w="915"/>
                    <w:gridCol w:w="731"/>
                  </w:tblGrid>
                  <w:tr w14:paraId="2436E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3" w:type="pct"/>
                        <w:vMerge w:val="restart"/>
                        <w:vAlign w:val="center"/>
                      </w:tcPr>
                      <w:p w14:paraId="058E847A">
                        <w:pPr>
                          <w:pStyle w:val="22"/>
                          <w:spacing w:after="0" w:line="300" w:lineRule="exact"/>
                          <w:ind w:left="0" w:leftChars="0" w:firstLine="0" w:firstLineChars="0"/>
                          <w:jc w:val="center"/>
                          <w:rPr>
                            <w:color w:val="auto"/>
                          </w:rPr>
                        </w:pPr>
                        <w:r>
                          <w:rPr>
                            <w:rFonts w:hint="eastAsia"/>
                            <w:color w:val="auto"/>
                          </w:rPr>
                          <w:t>设施位置</w:t>
                        </w:r>
                      </w:p>
                    </w:tc>
                    <w:tc>
                      <w:tcPr>
                        <w:tcW w:w="665" w:type="pct"/>
                        <w:vMerge w:val="restart"/>
                        <w:vAlign w:val="center"/>
                      </w:tcPr>
                      <w:p w14:paraId="26261D92">
                        <w:pPr>
                          <w:pStyle w:val="22"/>
                          <w:spacing w:after="0" w:line="300" w:lineRule="exact"/>
                          <w:ind w:left="0" w:leftChars="0" w:firstLine="0" w:firstLineChars="0"/>
                          <w:jc w:val="center"/>
                          <w:rPr>
                            <w:color w:val="auto"/>
                          </w:rPr>
                        </w:pPr>
                        <w:r>
                          <w:rPr>
                            <w:rFonts w:hint="eastAsia"/>
                            <w:color w:val="auto"/>
                          </w:rPr>
                          <w:t>观察距离L（m）</w:t>
                        </w:r>
                      </w:p>
                    </w:tc>
                    <w:tc>
                      <w:tcPr>
                        <w:tcW w:w="733" w:type="pct"/>
                        <w:vMerge w:val="restart"/>
                        <w:vAlign w:val="center"/>
                      </w:tcPr>
                      <w:p w14:paraId="75A8365B">
                        <w:pPr>
                          <w:pStyle w:val="22"/>
                          <w:spacing w:after="0" w:line="300" w:lineRule="exact"/>
                          <w:ind w:left="0" w:leftChars="0" w:firstLine="0" w:firstLineChars="0"/>
                          <w:jc w:val="center"/>
                          <w:rPr>
                            <w:color w:val="auto"/>
                          </w:rPr>
                        </w:pPr>
                        <w:r>
                          <w:rPr>
                            <w:rFonts w:hint="eastAsia"/>
                            <w:color w:val="auto"/>
                          </w:rPr>
                          <w:t>标志牌整体外形最小尺寸（mm）</w:t>
                        </w:r>
                      </w:p>
                    </w:tc>
                    <w:tc>
                      <w:tcPr>
                        <w:tcW w:w="1908" w:type="pct"/>
                        <w:gridSpan w:val="3"/>
                        <w:vAlign w:val="center"/>
                      </w:tcPr>
                      <w:p w14:paraId="445A5F33">
                        <w:pPr>
                          <w:pStyle w:val="22"/>
                          <w:spacing w:after="0" w:line="300" w:lineRule="exact"/>
                          <w:ind w:left="0" w:leftChars="0" w:firstLine="0" w:firstLineChars="0"/>
                          <w:jc w:val="center"/>
                          <w:rPr>
                            <w:color w:val="auto"/>
                          </w:rPr>
                        </w:pPr>
                        <w:r>
                          <w:rPr>
                            <w:rFonts w:hint="eastAsia"/>
                            <w:color w:val="auto"/>
                          </w:rPr>
                          <w:t>三角形警告性标志</w:t>
                        </w:r>
                      </w:p>
                    </w:tc>
                    <w:tc>
                      <w:tcPr>
                        <w:tcW w:w="1039" w:type="pct"/>
                        <w:gridSpan w:val="2"/>
                        <w:vAlign w:val="center"/>
                      </w:tcPr>
                      <w:p w14:paraId="420DE4F0">
                        <w:pPr>
                          <w:pStyle w:val="22"/>
                          <w:spacing w:after="0" w:line="300" w:lineRule="exact"/>
                          <w:ind w:left="0" w:leftChars="0" w:firstLine="0" w:firstLineChars="0"/>
                          <w:jc w:val="center"/>
                          <w:rPr>
                            <w:color w:val="auto"/>
                          </w:rPr>
                        </w:pPr>
                        <w:r>
                          <w:rPr>
                            <w:rFonts w:hint="eastAsia"/>
                            <w:color w:val="auto"/>
                          </w:rPr>
                          <w:t>最低文字高度（mm）</w:t>
                        </w:r>
                      </w:p>
                    </w:tc>
                  </w:tr>
                  <w:tr w14:paraId="0F599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vAlign w:val="center"/>
                      </w:tcPr>
                      <w:p w14:paraId="171E8B4A">
                        <w:pPr>
                          <w:pStyle w:val="22"/>
                          <w:spacing w:after="0" w:line="300" w:lineRule="exact"/>
                          <w:ind w:left="0" w:leftChars="0" w:firstLine="0" w:firstLineChars="0"/>
                          <w:jc w:val="center"/>
                          <w:rPr>
                            <w:color w:val="auto"/>
                          </w:rPr>
                        </w:pPr>
                      </w:p>
                    </w:tc>
                    <w:tc>
                      <w:tcPr>
                        <w:tcW w:w="665" w:type="pct"/>
                        <w:vMerge w:val="continue"/>
                        <w:vAlign w:val="center"/>
                      </w:tcPr>
                      <w:p w14:paraId="2DD0C3EC">
                        <w:pPr>
                          <w:pStyle w:val="22"/>
                          <w:spacing w:after="0" w:line="300" w:lineRule="exact"/>
                          <w:ind w:left="0" w:leftChars="0" w:firstLine="0" w:firstLineChars="0"/>
                          <w:jc w:val="center"/>
                          <w:rPr>
                            <w:color w:val="auto"/>
                          </w:rPr>
                        </w:pPr>
                      </w:p>
                    </w:tc>
                    <w:tc>
                      <w:tcPr>
                        <w:tcW w:w="733" w:type="pct"/>
                        <w:vMerge w:val="continue"/>
                        <w:vAlign w:val="center"/>
                      </w:tcPr>
                      <w:p w14:paraId="71C9FE0A">
                        <w:pPr>
                          <w:pStyle w:val="22"/>
                          <w:spacing w:after="0" w:line="300" w:lineRule="exact"/>
                          <w:ind w:left="0" w:leftChars="0" w:firstLine="0" w:firstLineChars="0"/>
                          <w:jc w:val="center"/>
                          <w:rPr>
                            <w:color w:val="auto"/>
                          </w:rPr>
                        </w:pPr>
                      </w:p>
                    </w:tc>
                    <w:tc>
                      <w:tcPr>
                        <w:tcW w:w="636" w:type="pct"/>
                        <w:vAlign w:val="center"/>
                      </w:tcPr>
                      <w:p w14:paraId="0CA8919D">
                        <w:pPr>
                          <w:pStyle w:val="22"/>
                          <w:spacing w:after="0" w:line="300" w:lineRule="exact"/>
                          <w:ind w:left="0" w:leftChars="0" w:firstLine="0" w:firstLineChars="0"/>
                          <w:jc w:val="center"/>
                          <w:rPr>
                            <w:color w:val="auto"/>
                          </w:rPr>
                        </w:pPr>
                        <w:r>
                          <w:rPr>
                            <w:rFonts w:hint="eastAsia"/>
                            <w:color w:val="auto"/>
                          </w:rPr>
                          <w:t>三角形外边长a：（mm）</w:t>
                        </w:r>
                      </w:p>
                    </w:tc>
                    <w:tc>
                      <w:tcPr>
                        <w:tcW w:w="567" w:type="pct"/>
                        <w:vAlign w:val="center"/>
                      </w:tcPr>
                      <w:p w14:paraId="4002A545">
                        <w:pPr>
                          <w:spacing w:line="300" w:lineRule="exact"/>
                          <w:jc w:val="center"/>
                          <w:rPr>
                            <w:color w:val="auto"/>
                          </w:rPr>
                        </w:pPr>
                        <w:r>
                          <w:rPr>
                            <w:rFonts w:hint="eastAsia"/>
                            <w:color w:val="auto"/>
                          </w:rPr>
                          <w:t>三角形内边长a：（mm）</w:t>
                        </w:r>
                      </w:p>
                    </w:tc>
                    <w:tc>
                      <w:tcPr>
                        <w:tcW w:w="704" w:type="pct"/>
                        <w:vAlign w:val="center"/>
                      </w:tcPr>
                      <w:p w14:paraId="73F05004">
                        <w:pPr>
                          <w:spacing w:line="300" w:lineRule="exact"/>
                          <w:jc w:val="center"/>
                          <w:rPr>
                            <w:color w:val="auto"/>
                          </w:rPr>
                        </w:pPr>
                        <w:r>
                          <w:rPr>
                            <w:rFonts w:hint="eastAsia"/>
                            <w:color w:val="auto"/>
                          </w:rPr>
                          <w:t>边框外角圆弧半径：（mm）</w:t>
                        </w:r>
                      </w:p>
                    </w:tc>
                    <w:tc>
                      <w:tcPr>
                        <w:tcW w:w="577" w:type="pct"/>
                        <w:vAlign w:val="center"/>
                      </w:tcPr>
                      <w:p w14:paraId="49DCBD23">
                        <w:pPr>
                          <w:pStyle w:val="22"/>
                          <w:spacing w:after="0" w:line="300" w:lineRule="exact"/>
                          <w:ind w:left="0" w:leftChars="0" w:firstLine="0" w:firstLineChars="0"/>
                          <w:jc w:val="center"/>
                          <w:rPr>
                            <w:color w:val="auto"/>
                          </w:rPr>
                        </w:pPr>
                        <w:r>
                          <w:rPr>
                            <w:rFonts w:hint="eastAsia"/>
                            <w:color w:val="auto"/>
                          </w:rPr>
                          <w:t>设施类型名称</w:t>
                        </w:r>
                      </w:p>
                    </w:tc>
                    <w:tc>
                      <w:tcPr>
                        <w:tcW w:w="461" w:type="pct"/>
                        <w:vAlign w:val="center"/>
                      </w:tcPr>
                      <w:p w14:paraId="02592993">
                        <w:pPr>
                          <w:pStyle w:val="22"/>
                          <w:spacing w:after="0" w:line="300" w:lineRule="exact"/>
                          <w:ind w:left="0" w:leftChars="0" w:firstLine="0" w:firstLineChars="0"/>
                          <w:jc w:val="center"/>
                          <w:rPr>
                            <w:color w:val="auto"/>
                          </w:rPr>
                        </w:pPr>
                        <w:r>
                          <w:rPr>
                            <w:rFonts w:hint="eastAsia"/>
                            <w:color w:val="auto"/>
                          </w:rPr>
                          <w:t>其他文字</w:t>
                        </w:r>
                      </w:p>
                    </w:tc>
                  </w:tr>
                  <w:tr w14:paraId="6DC11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Align w:val="center"/>
                      </w:tcPr>
                      <w:p w14:paraId="0E020F9C">
                        <w:pPr>
                          <w:pStyle w:val="22"/>
                          <w:spacing w:after="0" w:line="300" w:lineRule="exact"/>
                          <w:ind w:left="0" w:leftChars="0" w:firstLine="0" w:firstLineChars="0"/>
                          <w:jc w:val="center"/>
                          <w:rPr>
                            <w:color w:val="auto"/>
                          </w:rPr>
                        </w:pPr>
                        <w:r>
                          <w:rPr>
                            <w:rFonts w:hint="eastAsia"/>
                            <w:color w:val="auto"/>
                          </w:rPr>
                          <w:t>露天/室外入口</w:t>
                        </w:r>
                      </w:p>
                    </w:tc>
                    <w:tc>
                      <w:tcPr>
                        <w:tcW w:w="665" w:type="pct"/>
                        <w:vAlign w:val="center"/>
                      </w:tcPr>
                      <w:p w14:paraId="0791F5B4">
                        <w:pPr>
                          <w:pStyle w:val="22"/>
                          <w:spacing w:after="0" w:line="300" w:lineRule="exact"/>
                          <w:ind w:left="0" w:leftChars="0" w:firstLine="0" w:firstLineChars="0"/>
                          <w:jc w:val="center"/>
                          <w:rPr>
                            <w:color w:val="auto"/>
                          </w:rPr>
                        </w:pPr>
                        <w:r>
                          <w:rPr>
                            <w:color w:val="auto"/>
                          </w:rPr>
                          <w:t>＞</w:t>
                        </w:r>
                        <w:r>
                          <w:rPr>
                            <w:rFonts w:hint="eastAsia"/>
                            <w:color w:val="auto"/>
                          </w:rPr>
                          <w:t>10</w:t>
                        </w:r>
                      </w:p>
                    </w:tc>
                    <w:tc>
                      <w:tcPr>
                        <w:tcW w:w="733" w:type="pct"/>
                        <w:vAlign w:val="center"/>
                      </w:tcPr>
                      <w:p w14:paraId="75272230">
                        <w:pPr>
                          <w:pStyle w:val="22"/>
                          <w:spacing w:after="0" w:line="300" w:lineRule="exact"/>
                          <w:ind w:left="0" w:leftChars="0" w:firstLine="0" w:firstLineChars="0"/>
                          <w:jc w:val="center"/>
                          <w:rPr>
                            <w:color w:val="auto"/>
                          </w:rPr>
                        </w:pPr>
                        <w:r>
                          <w:rPr>
                            <w:rFonts w:hint="eastAsia"/>
                            <w:color w:val="auto"/>
                          </w:rPr>
                          <w:t>900</w:t>
                        </w:r>
                        <w:r>
                          <w:rPr>
                            <w:color w:val="auto"/>
                          </w:rPr>
                          <w:t>×</w:t>
                        </w:r>
                        <w:r>
                          <w:rPr>
                            <w:rFonts w:hint="eastAsia"/>
                            <w:color w:val="auto"/>
                          </w:rPr>
                          <w:t>558</w:t>
                        </w:r>
                      </w:p>
                    </w:tc>
                    <w:tc>
                      <w:tcPr>
                        <w:tcW w:w="636" w:type="pct"/>
                        <w:vAlign w:val="center"/>
                      </w:tcPr>
                      <w:p w14:paraId="498D4F24">
                        <w:pPr>
                          <w:pStyle w:val="22"/>
                          <w:spacing w:after="0" w:line="300" w:lineRule="exact"/>
                          <w:ind w:left="0" w:leftChars="0" w:firstLine="0" w:firstLineChars="0"/>
                          <w:jc w:val="center"/>
                          <w:rPr>
                            <w:color w:val="auto"/>
                          </w:rPr>
                        </w:pPr>
                        <w:r>
                          <w:rPr>
                            <w:rFonts w:hint="eastAsia"/>
                            <w:color w:val="auto"/>
                          </w:rPr>
                          <w:t>500</w:t>
                        </w:r>
                      </w:p>
                    </w:tc>
                    <w:tc>
                      <w:tcPr>
                        <w:tcW w:w="567" w:type="pct"/>
                        <w:vAlign w:val="center"/>
                      </w:tcPr>
                      <w:p w14:paraId="6BC7CF8F">
                        <w:pPr>
                          <w:pStyle w:val="22"/>
                          <w:spacing w:after="0" w:line="300" w:lineRule="exact"/>
                          <w:ind w:left="0" w:leftChars="0" w:firstLine="0" w:firstLineChars="0"/>
                          <w:jc w:val="center"/>
                          <w:rPr>
                            <w:color w:val="auto"/>
                          </w:rPr>
                        </w:pPr>
                        <w:r>
                          <w:rPr>
                            <w:rFonts w:hint="eastAsia"/>
                            <w:color w:val="auto"/>
                          </w:rPr>
                          <w:t>375</w:t>
                        </w:r>
                      </w:p>
                    </w:tc>
                    <w:tc>
                      <w:tcPr>
                        <w:tcW w:w="704" w:type="pct"/>
                        <w:vAlign w:val="center"/>
                      </w:tcPr>
                      <w:p w14:paraId="2377E90B">
                        <w:pPr>
                          <w:pStyle w:val="22"/>
                          <w:spacing w:after="0" w:line="300" w:lineRule="exact"/>
                          <w:ind w:left="0" w:leftChars="0" w:firstLine="0" w:firstLineChars="0"/>
                          <w:jc w:val="center"/>
                          <w:rPr>
                            <w:color w:val="auto"/>
                          </w:rPr>
                        </w:pPr>
                        <w:r>
                          <w:rPr>
                            <w:rFonts w:hint="eastAsia"/>
                            <w:color w:val="auto"/>
                          </w:rPr>
                          <w:t>30</w:t>
                        </w:r>
                      </w:p>
                    </w:tc>
                    <w:tc>
                      <w:tcPr>
                        <w:tcW w:w="577" w:type="pct"/>
                        <w:vAlign w:val="center"/>
                      </w:tcPr>
                      <w:p w14:paraId="7407C6B7">
                        <w:pPr>
                          <w:pStyle w:val="22"/>
                          <w:spacing w:after="0" w:line="300" w:lineRule="exact"/>
                          <w:ind w:left="0" w:leftChars="0" w:firstLine="0" w:firstLineChars="0"/>
                          <w:jc w:val="center"/>
                          <w:rPr>
                            <w:color w:val="auto"/>
                          </w:rPr>
                        </w:pPr>
                        <w:r>
                          <w:rPr>
                            <w:rFonts w:hint="eastAsia"/>
                            <w:color w:val="auto"/>
                          </w:rPr>
                          <w:t>48</w:t>
                        </w:r>
                      </w:p>
                    </w:tc>
                    <w:tc>
                      <w:tcPr>
                        <w:tcW w:w="461" w:type="pct"/>
                        <w:vAlign w:val="center"/>
                      </w:tcPr>
                      <w:p w14:paraId="4FFD7872">
                        <w:pPr>
                          <w:pStyle w:val="22"/>
                          <w:spacing w:after="0" w:line="300" w:lineRule="exact"/>
                          <w:ind w:left="0" w:leftChars="0" w:firstLine="0" w:firstLineChars="0"/>
                          <w:jc w:val="center"/>
                          <w:rPr>
                            <w:color w:val="auto"/>
                          </w:rPr>
                        </w:pPr>
                        <w:r>
                          <w:rPr>
                            <w:rFonts w:hint="eastAsia"/>
                            <w:color w:val="auto"/>
                          </w:rPr>
                          <w:t>24</w:t>
                        </w:r>
                      </w:p>
                    </w:tc>
                  </w:tr>
                  <w:tr w14:paraId="7811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pct"/>
                        <w:vAlign w:val="center"/>
                      </w:tcPr>
                      <w:p w14:paraId="5D40DBAC">
                        <w:pPr>
                          <w:pStyle w:val="22"/>
                          <w:spacing w:after="0" w:line="300" w:lineRule="exact"/>
                          <w:ind w:left="0" w:leftChars="0" w:firstLine="0" w:firstLineChars="0"/>
                          <w:jc w:val="center"/>
                          <w:rPr>
                            <w:color w:val="auto"/>
                          </w:rPr>
                        </w:pPr>
                        <w:r>
                          <w:rPr>
                            <w:rFonts w:hint="eastAsia"/>
                            <w:color w:val="auto"/>
                          </w:rPr>
                          <w:t>室内</w:t>
                        </w:r>
                      </w:p>
                    </w:tc>
                    <w:tc>
                      <w:tcPr>
                        <w:tcW w:w="665" w:type="pct"/>
                        <w:vAlign w:val="center"/>
                      </w:tcPr>
                      <w:p w14:paraId="771C4F4D">
                        <w:pPr>
                          <w:pStyle w:val="22"/>
                          <w:spacing w:after="0" w:line="300" w:lineRule="exact"/>
                          <w:ind w:left="0" w:leftChars="0" w:firstLine="0" w:firstLineChars="0"/>
                          <w:jc w:val="center"/>
                          <w:rPr>
                            <w:color w:val="auto"/>
                          </w:rPr>
                        </w:pPr>
                        <w:r>
                          <w:rPr>
                            <w:rFonts w:hint="eastAsia"/>
                            <w:color w:val="auto"/>
                          </w:rPr>
                          <w:t>4＜L≤10</w:t>
                        </w:r>
                      </w:p>
                    </w:tc>
                    <w:tc>
                      <w:tcPr>
                        <w:tcW w:w="733" w:type="pct"/>
                        <w:vAlign w:val="center"/>
                      </w:tcPr>
                      <w:p w14:paraId="2756799B">
                        <w:pPr>
                          <w:spacing w:line="300" w:lineRule="exact"/>
                          <w:jc w:val="center"/>
                          <w:rPr>
                            <w:color w:val="auto"/>
                          </w:rPr>
                        </w:pPr>
                        <w:r>
                          <w:rPr>
                            <w:rFonts w:hint="eastAsia"/>
                            <w:color w:val="auto"/>
                          </w:rPr>
                          <w:t>600</w:t>
                        </w:r>
                        <w:r>
                          <w:rPr>
                            <w:color w:val="auto"/>
                          </w:rPr>
                          <w:t>×</w:t>
                        </w:r>
                        <w:r>
                          <w:rPr>
                            <w:rFonts w:hint="eastAsia"/>
                            <w:color w:val="auto"/>
                          </w:rPr>
                          <w:t>372</w:t>
                        </w:r>
                      </w:p>
                    </w:tc>
                    <w:tc>
                      <w:tcPr>
                        <w:tcW w:w="636" w:type="pct"/>
                        <w:vAlign w:val="center"/>
                      </w:tcPr>
                      <w:p w14:paraId="0FA4B912">
                        <w:pPr>
                          <w:pStyle w:val="22"/>
                          <w:spacing w:after="0" w:line="300" w:lineRule="exact"/>
                          <w:ind w:left="0" w:leftChars="0" w:firstLine="0" w:firstLineChars="0"/>
                          <w:jc w:val="center"/>
                          <w:rPr>
                            <w:color w:val="auto"/>
                          </w:rPr>
                        </w:pPr>
                        <w:r>
                          <w:rPr>
                            <w:rFonts w:hint="eastAsia"/>
                            <w:color w:val="auto"/>
                          </w:rPr>
                          <w:t>300</w:t>
                        </w:r>
                      </w:p>
                    </w:tc>
                    <w:tc>
                      <w:tcPr>
                        <w:tcW w:w="567" w:type="pct"/>
                        <w:vAlign w:val="center"/>
                      </w:tcPr>
                      <w:p w14:paraId="21F12111">
                        <w:pPr>
                          <w:pStyle w:val="22"/>
                          <w:spacing w:after="0" w:line="300" w:lineRule="exact"/>
                          <w:ind w:left="0" w:leftChars="0" w:firstLine="0" w:firstLineChars="0"/>
                          <w:jc w:val="center"/>
                          <w:rPr>
                            <w:color w:val="auto"/>
                          </w:rPr>
                        </w:pPr>
                        <w:r>
                          <w:rPr>
                            <w:rFonts w:hint="eastAsia"/>
                            <w:color w:val="auto"/>
                          </w:rPr>
                          <w:t>225</w:t>
                        </w:r>
                      </w:p>
                    </w:tc>
                    <w:tc>
                      <w:tcPr>
                        <w:tcW w:w="704" w:type="pct"/>
                        <w:vAlign w:val="center"/>
                      </w:tcPr>
                      <w:p w14:paraId="0B568164">
                        <w:pPr>
                          <w:pStyle w:val="22"/>
                          <w:spacing w:after="0" w:line="300" w:lineRule="exact"/>
                          <w:ind w:left="0" w:leftChars="0" w:firstLine="0" w:firstLineChars="0"/>
                          <w:jc w:val="center"/>
                          <w:rPr>
                            <w:color w:val="auto"/>
                          </w:rPr>
                        </w:pPr>
                        <w:r>
                          <w:rPr>
                            <w:rFonts w:hint="eastAsia"/>
                            <w:color w:val="auto"/>
                          </w:rPr>
                          <w:t>18</w:t>
                        </w:r>
                      </w:p>
                    </w:tc>
                    <w:tc>
                      <w:tcPr>
                        <w:tcW w:w="577" w:type="pct"/>
                        <w:vAlign w:val="center"/>
                      </w:tcPr>
                      <w:p w14:paraId="0942A806">
                        <w:pPr>
                          <w:pStyle w:val="22"/>
                          <w:spacing w:after="0" w:line="300" w:lineRule="exact"/>
                          <w:ind w:left="0" w:leftChars="0" w:firstLine="0" w:firstLineChars="0"/>
                          <w:jc w:val="center"/>
                          <w:rPr>
                            <w:color w:val="auto"/>
                          </w:rPr>
                        </w:pPr>
                        <w:r>
                          <w:rPr>
                            <w:rFonts w:hint="eastAsia"/>
                            <w:color w:val="auto"/>
                          </w:rPr>
                          <w:t>32</w:t>
                        </w:r>
                      </w:p>
                    </w:tc>
                    <w:tc>
                      <w:tcPr>
                        <w:tcW w:w="461" w:type="pct"/>
                        <w:vAlign w:val="center"/>
                      </w:tcPr>
                      <w:p w14:paraId="1307949C">
                        <w:pPr>
                          <w:pStyle w:val="22"/>
                          <w:spacing w:after="0" w:line="300" w:lineRule="exact"/>
                          <w:ind w:left="0" w:leftChars="0" w:firstLine="0" w:firstLineChars="0"/>
                          <w:jc w:val="center"/>
                          <w:rPr>
                            <w:color w:val="auto"/>
                          </w:rPr>
                        </w:pPr>
                        <w:r>
                          <w:rPr>
                            <w:rFonts w:hint="eastAsia"/>
                            <w:color w:val="auto"/>
                          </w:rPr>
                          <w:t>16</w:t>
                        </w:r>
                      </w:p>
                    </w:tc>
                  </w:tr>
                  <w:tr w14:paraId="05A24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Align w:val="center"/>
                      </w:tcPr>
                      <w:p w14:paraId="57587A8E">
                        <w:pPr>
                          <w:pStyle w:val="22"/>
                          <w:spacing w:after="0" w:line="300" w:lineRule="exact"/>
                          <w:ind w:left="0" w:leftChars="0" w:firstLine="0" w:firstLineChars="0"/>
                          <w:jc w:val="center"/>
                          <w:rPr>
                            <w:color w:val="auto"/>
                          </w:rPr>
                        </w:pPr>
                        <w:r>
                          <w:rPr>
                            <w:rFonts w:hint="eastAsia"/>
                            <w:color w:val="auto"/>
                          </w:rPr>
                          <w:t>室内</w:t>
                        </w:r>
                      </w:p>
                    </w:tc>
                    <w:tc>
                      <w:tcPr>
                        <w:tcW w:w="665" w:type="pct"/>
                        <w:vAlign w:val="center"/>
                      </w:tcPr>
                      <w:p w14:paraId="62A3E726">
                        <w:pPr>
                          <w:pStyle w:val="22"/>
                          <w:spacing w:after="0" w:line="300" w:lineRule="exact"/>
                          <w:ind w:left="0" w:leftChars="0" w:firstLine="0" w:firstLineChars="0"/>
                          <w:jc w:val="center"/>
                          <w:rPr>
                            <w:color w:val="auto"/>
                          </w:rPr>
                        </w:pPr>
                        <w:r>
                          <w:rPr>
                            <w:rFonts w:hint="eastAsia"/>
                            <w:color w:val="auto"/>
                          </w:rPr>
                          <w:t>4≤</w:t>
                        </w:r>
                      </w:p>
                    </w:tc>
                    <w:tc>
                      <w:tcPr>
                        <w:tcW w:w="733" w:type="pct"/>
                        <w:vAlign w:val="center"/>
                      </w:tcPr>
                      <w:p w14:paraId="154C8BCC">
                        <w:pPr>
                          <w:spacing w:line="300" w:lineRule="exact"/>
                          <w:jc w:val="center"/>
                          <w:rPr>
                            <w:color w:val="auto"/>
                          </w:rPr>
                        </w:pPr>
                        <w:r>
                          <w:rPr>
                            <w:rFonts w:hint="eastAsia"/>
                            <w:color w:val="auto"/>
                          </w:rPr>
                          <w:t>300</w:t>
                        </w:r>
                        <w:r>
                          <w:rPr>
                            <w:color w:val="auto"/>
                          </w:rPr>
                          <w:t>×</w:t>
                        </w:r>
                        <w:r>
                          <w:rPr>
                            <w:rFonts w:hint="eastAsia"/>
                            <w:color w:val="auto"/>
                          </w:rPr>
                          <w:t>186</w:t>
                        </w:r>
                      </w:p>
                    </w:tc>
                    <w:tc>
                      <w:tcPr>
                        <w:tcW w:w="636" w:type="pct"/>
                        <w:vAlign w:val="center"/>
                      </w:tcPr>
                      <w:p w14:paraId="03195BD0">
                        <w:pPr>
                          <w:pStyle w:val="22"/>
                          <w:spacing w:after="0" w:line="300" w:lineRule="exact"/>
                          <w:ind w:left="0" w:leftChars="0" w:firstLine="0" w:firstLineChars="0"/>
                          <w:jc w:val="center"/>
                          <w:rPr>
                            <w:color w:val="auto"/>
                          </w:rPr>
                        </w:pPr>
                        <w:r>
                          <w:rPr>
                            <w:rFonts w:hint="eastAsia"/>
                            <w:color w:val="auto"/>
                          </w:rPr>
                          <w:t>140</w:t>
                        </w:r>
                      </w:p>
                    </w:tc>
                    <w:tc>
                      <w:tcPr>
                        <w:tcW w:w="567" w:type="pct"/>
                        <w:vAlign w:val="center"/>
                      </w:tcPr>
                      <w:p w14:paraId="01F5DB66">
                        <w:pPr>
                          <w:pStyle w:val="22"/>
                          <w:spacing w:after="0" w:line="300" w:lineRule="exact"/>
                          <w:ind w:left="0" w:leftChars="0" w:firstLine="0" w:firstLineChars="0"/>
                          <w:jc w:val="center"/>
                          <w:rPr>
                            <w:color w:val="auto"/>
                          </w:rPr>
                        </w:pPr>
                        <w:r>
                          <w:rPr>
                            <w:rFonts w:hint="eastAsia"/>
                            <w:color w:val="auto"/>
                          </w:rPr>
                          <w:t>105</w:t>
                        </w:r>
                      </w:p>
                    </w:tc>
                    <w:tc>
                      <w:tcPr>
                        <w:tcW w:w="704" w:type="pct"/>
                        <w:vAlign w:val="center"/>
                      </w:tcPr>
                      <w:p w14:paraId="161B96E8">
                        <w:pPr>
                          <w:pStyle w:val="22"/>
                          <w:spacing w:after="0" w:line="300" w:lineRule="exact"/>
                          <w:ind w:left="0" w:leftChars="0" w:firstLine="0" w:firstLineChars="0"/>
                          <w:jc w:val="center"/>
                          <w:rPr>
                            <w:color w:val="auto"/>
                          </w:rPr>
                        </w:pPr>
                        <w:r>
                          <w:rPr>
                            <w:rFonts w:hint="eastAsia"/>
                            <w:color w:val="auto"/>
                          </w:rPr>
                          <w:t>8.4</w:t>
                        </w:r>
                      </w:p>
                    </w:tc>
                    <w:tc>
                      <w:tcPr>
                        <w:tcW w:w="577" w:type="pct"/>
                        <w:vAlign w:val="center"/>
                      </w:tcPr>
                      <w:p w14:paraId="55180BC7">
                        <w:pPr>
                          <w:pStyle w:val="22"/>
                          <w:spacing w:after="0" w:line="300" w:lineRule="exact"/>
                          <w:ind w:left="0" w:leftChars="0" w:firstLine="0" w:firstLineChars="0"/>
                          <w:jc w:val="center"/>
                          <w:rPr>
                            <w:color w:val="auto"/>
                          </w:rPr>
                        </w:pPr>
                        <w:r>
                          <w:rPr>
                            <w:rFonts w:hint="eastAsia"/>
                            <w:color w:val="auto"/>
                          </w:rPr>
                          <w:t>16</w:t>
                        </w:r>
                      </w:p>
                    </w:tc>
                    <w:tc>
                      <w:tcPr>
                        <w:tcW w:w="461" w:type="pct"/>
                        <w:vAlign w:val="center"/>
                      </w:tcPr>
                      <w:p w14:paraId="09EC1C66">
                        <w:pPr>
                          <w:pStyle w:val="22"/>
                          <w:spacing w:after="0" w:line="300" w:lineRule="exact"/>
                          <w:ind w:left="0" w:leftChars="0" w:firstLine="0" w:firstLineChars="0"/>
                          <w:jc w:val="center"/>
                          <w:rPr>
                            <w:color w:val="auto"/>
                          </w:rPr>
                        </w:pPr>
                        <w:r>
                          <w:rPr>
                            <w:rFonts w:hint="eastAsia"/>
                            <w:color w:val="auto"/>
                          </w:rPr>
                          <w:t>8</w:t>
                        </w:r>
                      </w:p>
                    </w:tc>
                  </w:tr>
                </w:tbl>
                <w:p w14:paraId="4E14E5B4">
                  <w:pPr>
                    <w:rPr>
                      <w:color w:val="auto"/>
                    </w:rPr>
                  </w:pPr>
                </w:p>
              </w:tc>
            </w:tr>
            <w:tr w14:paraId="180D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20" w:type="pct"/>
                  <w:vAlign w:val="center"/>
                </w:tcPr>
                <w:p w14:paraId="5A72816D">
                  <w:pPr>
                    <w:pStyle w:val="6"/>
                    <w:tabs>
                      <w:tab w:val="left" w:pos="3465"/>
                    </w:tabs>
                    <w:spacing w:line="240" w:lineRule="auto"/>
                    <w:ind w:firstLine="420"/>
                    <w:jc w:val="center"/>
                    <w:rPr>
                      <w:color w:val="auto"/>
                      <w:sz w:val="24"/>
                    </w:rPr>
                  </w:pPr>
                  <w:r>
                    <w:rPr>
                      <w:color w:val="auto"/>
                      <w:sz w:val="21"/>
                      <w:szCs w:val="21"/>
                    </w:rPr>
                    <w:t>危险废物</w:t>
                  </w:r>
                  <w:r>
                    <w:rPr>
                      <w:rFonts w:hint="eastAsia"/>
                      <w:color w:val="auto"/>
                      <w:sz w:val="21"/>
                      <w:szCs w:val="21"/>
                    </w:rPr>
                    <w:t>标签样式示意图：</w:t>
                  </w:r>
                  <w:r>
                    <w:rPr>
                      <w:rFonts w:hint="eastAsia"/>
                      <w:color w:val="auto"/>
                      <w:sz w:val="24"/>
                    </w:rPr>
                    <w:drawing>
                      <wp:inline distT="0" distB="0" distL="114300" distR="114300">
                        <wp:extent cx="2284730" cy="2305685"/>
                        <wp:effectExtent l="0" t="0" r="1270" b="18415"/>
                        <wp:docPr id="8" name="图片 4"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78158434525"/>
                                <pic:cNvPicPr>
                                  <a:picLocks noChangeAspect="1"/>
                                </pic:cNvPicPr>
                              </pic:nvPicPr>
                              <pic:blipFill>
                                <a:blip r:embed="rId31"/>
                                <a:stretch>
                                  <a:fillRect/>
                                </a:stretch>
                              </pic:blipFill>
                              <pic:spPr>
                                <a:xfrm>
                                  <a:off x="0" y="0"/>
                                  <a:ext cx="2284730" cy="2305685"/>
                                </a:xfrm>
                                <a:prstGeom prst="rect">
                                  <a:avLst/>
                                </a:prstGeom>
                                <a:noFill/>
                                <a:ln>
                                  <a:noFill/>
                                </a:ln>
                              </pic:spPr>
                            </pic:pic>
                          </a:graphicData>
                        </a:graphic>
                      </wp:inline>
                    </w:drawing>
                  </w:r>
                </w:p>
              </w:tc>
              <w:tc>
                <w:tcPr>
                  <w:tcW w:w="2579" w:type="pct"/>
                </w:tcPr>
                <w:p w14:paraId="16620356">
                  <w:pPr>
                    <w:pStyle w:val="6"/>
                    <w:numPr>
                      <w:ilvl w:val="0"/>
                      <w:numId w:val="3"/>
                    </w:numPr>
                    <w:tabs>
                      <w:tab w:val="left" w:pos="3465"/>
                    </w:tabs>
                    <w:spacing w:line="320" w:lineRule="exact"/>
                    <w:ind w:firstLine="0" w:firstLineChars="0"/>
                    <w:rPr>
                      <w:color w:val="auto"/>
                      <w:kern w:val="0"/>
                      <w:sz w:val="21"/>
                      <w:szCs w:val="21"/>
                    </w:rPr>
                  </w:pPr>
                  <w:r>
                    <w:rPr>
                      <w:color w:val="auto"/>
                      <w:kern w:val="0"/>
                      <w:sz w:val="21"/>
                      <w:szCs w:val="21"/>
                    </w:rPr>
                    <w:t>危险废物标签背景色应采用醒目的橘黄色，RGB颜色值为（255</w:t>
                  </w:r>
                  <w:r>
                    <w:rPr>
                      <w:rFonts w:hint="eastAsia"/>
                      <w:color w:val="auto"/>
                      <w:kern w:val="0"/>
                      <w:sz w:val="21"/>
                      <w:szCs w:val="21"/>
                    </w:rPr>
                    <w:t>，</w:t>
                  </w:r>
                  <w:r>
                    <w:rPr>
                      <w:color w:val="auto"/>
                      <w:kern w:val="0"/>
                      <w:sz w:val="21"/>
                      <w:szCs w:val="21"/>
                    </w:rPr>
                    <w:t>150</w:t>
                  </w:r>
                  <w:r>
                    <w:rPr>
                      <w:rFonts w:hint="eastAsia"/>
                      <w:color w:val="auto"/>
                      <w:kern w:val="0"/>
                      <w:sz w:val="21"/>
                      <w:szCs w:val="21"/>
                    </w:rPr>
                    <w:t>，</w:t>
                  </w:r>
                  <w:r>
                    <w:rPr>
                      <w:color w:val="auto"/>
                      <w:kern w:val="0"/>
                      <w:sz w:val="21"/>
                      <w:szCs w:val="21"/>
                    </w:rPr>
                    <w:t>0）。标签边框和字体颜色为黑色，RGB颜色值为（0</w:t>
                  </w:r>
                  <w:r>
                    <w:rPr>
                      <w:rFonts w:hint="eastAsia"/>
                      <w:color w:val="auto"/>
                      <w:kern w:val="0"/>
                      <w:sz w:val="21"/>
                      <w:szCs w:val="21"/>
                    </w:rPr>
                    <w:t>，</w:t>
                  </w:r>
                  <w:r>
                    <w:rPr>
                      <w:color w:val="auto"/>
                      <w:kern w:val="0"/>
                      <w:sz w:val="21"/>
                      <w:szCs w:val="21"/>
                    </w:rPr>
                    <w:t>0</w:t>
                  </w:r>
                  <w:r>
                    <w:rPr>
                      <w:rFonts w:hint="eastAsia"/>
                      <w:color w:val="auto"/>
                      <w:kern w:val="0"/>
                      <w:sz w:val="21"/>
                      <w:szCs w:val="21"/>
                    </w:rPr>
                    <w:t>，</w:t>
                  </w:r>
                  <w:r>
                    <w:rPr>
                      <w:color w:val="auto"/>
                      <w:kern w:val="0"/>
                      <w:sz w:val="21"/>
                      <w:szCs w:val="21"/>
                    </w:rPr>
                    <w:t>0）</w:t>
                  </w:r>
                  <w:r>
                    <w:rPr>
                      <w:rFonts w:hint="eastAsia"/>
                      <w:color w:val="auto"/>
                      <w:kern w:val="0"/>
                      <w:sz w:val="21"/>
                      <w:szCs w:val="21"/>
                    </w:rPr>
                    <w:t>；</w:t>
                  </w:r>
                </w:p>
                <w:p w14:paraId="58A63381">
                  <w:pPr>
                    <w:pStyle w:val="5"/>
                    <w:numPr>
                      <w:ilvl w:val="0"/>
                      <w:numId w:val="3"/>
                    </w:numPr>
                    <w:tabs>
                      <w:tab w:val="left" w:pos="2880"/>
                    </w:tabs>
                    <w:spacing w:before="0" w:after="0" w:line="320" w:lineRule="exact"/>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危险废物标签字体宜采用黑体字，其中“危险废物”字样应加粗放大</w:t>
                  </w:r>
                  <w:r>
                    <w:rPr>
                      <w:rFonts w:hint="eastAsia" w:ascii="Times New Roman" w:hAnsi="Times New Roman" w:eastAsia="宋体" w:cs="Times New Roman"/>
                      <w:b w:val="0"/>
                      <w:bCs w:val="0"/>
                      <w:color w:val="auto"/>
                      <w:sz w:val="21"/>
                      <w:szCs w:val="21"/>
                    </w:rPr>
                    <w:t>；</w:t>
                  </w:r>
                </w:p>
                <w:p w14:paraId="6DB2E55F">
                  <w:pPr>
                    <w:numPr>
                      <w:ilvl w:val="0"/>
                      <w:numId w:val="3"/>
                    </w:numPr>
                    <w:spacing w:line="320" w:lineRule="exact"/>
                    <w:rPr>
                      <w:color w:val="auto"/>
                      <w:kern w:val="0"/>
                      <w:szCs w:val="21"/>
                    </w:rPr>
                  </w:pPr>
                  <w:r>
                    <w:rPr>
                      <w:rFonts w:hint="eastAsia"/>
                      <w:color w:val="auto"/>
                      <w:kern w:val="0"/>
                      <w:szCs w:val="21"/>
                    </w:rPr>
                    <w:t>容器或包装容积≤50L时，标签最小尺寸为100mm</w:t>
                  </w:r>
                  <w:r>
                    <w:rPr>
                      <w:color w:val="auto"/>
                      <w:kern w:val="0"/>
                      <w:szCs w:val="21"/>
                    </w:rPr>
                    <w:t>×</w:t>
                  </w:r>
                  <w:r>
                    <w:rPr>
                      <w:rFonts w:hint="eastAsia"/>
                      <w:color w:val="auto"/>
                      <w:kern w:val="0"/>
                      <w:szCs w:val="21"/>
                    </w:rPr>
                    <w:t>100mm，最低文字高度3mm；当容器或包装容积＞50-≤450L时，标签最小尺寸为150mm</w:t>
                  </w:r>
                  <w:r>
                    <w:rPr>
                      <w:color w:val="auto"/>
                      <w:kern w:val="0"/>
                      <w:szCs w:val="21"/>
                    </w:rPr>
                    <w:t>×</w:t>
                  </w:r>
                  <w:r>
                    <w:rPr>
                      <w:rFonts w:hint="eastAsia"/>
                      <w:color w:val="auto"/>
                      <w:kern w:val="0"/>
                      <w:szCs w:val="21"/>
                    </w:rPr>
                    <w:t>150mm，最低文字高度5mm；当容器或包装容积＞450L时，标签最小尺寸为200mm</w:t>
                  </w:r>
                  <w:r>
                    <w:rPr>
                      <w:color w:val="auto"/>
                      <w:kern w:val="0"/>
                      <w:szCs w:val="21"/>
                    </w:rPr>
                    <w:t>×</w:t>
                  </w:r>
                  <w:r>
                    <w:rPr>
                      <w:rFonts w:hint="eastAsia"/>
                      <w:color w:val="auto"/>
                      <w:kern w:val="0"/>
                      <w:szCs w:val="21"/>
                    </w:rPr>
                    <w:t>200mm，最低文字高度6mm；</w:t>
                  </w:r>
                </w:p>
                <w:p w14:paraId="6CB0CF4A">
                  <w:pPr>
                    <w:pStyle w:val="22"/>
                    <w:numPr>
                      <w:ilvl w:val="0"/>
                      <w:numId w:val="3"/>
                    </w:numPr>
                    <w:spacing w:after="0" w:line="320" w:lineRule="exact"/>
                    <w:ind w:left="0" w:leftChars="0" w:firstLine="0" w:firstLineChars="0"/>
                    <w:rPr>
                      <w:color w:val="auto"/>
                      <w:szCs w:val="21"/>
                    </w:rPr>
                  </w:pPr>
                  <w:r>
                    <w:rPr>
                      <w:color w:val="auto"/>
                      <w:szCs w:val="21"/>
                    </w:rPr>
                    <w:t>危险废物标签所选用的材质宜具有一定的耐用性和防水性。标签可采用不干胶印刷品，或印刷品外加防水塑料袋或塑封等</w:t>
                  </w:r>
                  <w:r>
                    <w:rPr>
                      <w:rFonts w:hint="eastAsia"/>
                      <w:color w:val="auto"/>
                      <w:szCs w:val="21"/>
                    </w:rPr>
                    <w:t>；</w:t>
                  </w:r>
                </w:p>
                <w:p w14:paraId="649DE89E">
                  <w:pPr>
                    <w:numPr>
                      <w:ilvl w:val="0"/>
                      <w:numId w:val="3"/>
                    </w:numPr>
                    <w:spacing w:line="320" w:lineRule="exact"/>
                    <w:rPr>
                      <w:color w:val="auto"/>
                    </w:rPr>
                  </w:pPr>
                  <w:r>
                    <w:rPr>
                      <w:color w:val="auto"/>
                      <w:kern w:val="0"/>
                      <w:szCs w:val="21"/>
                    </w:rPr>
                    <w:t>危险废物标签印刷的油墨应均匀，图案和文字应清晰、完整。危险废物标签的文字边缘宜加黑色边框，边框宽度不小于1mm，边框外宜留不小于3 mm的空白</w:t>
                  </w:r>
                  <w:r>
                    <w:rPr>
                      <w:rFonts w:hint="eastAsia"/>
                      <w:color w:val="auto"/>
                      <w:kern w:val="0"/>
                      <w:szCs w:val="21"/>
                    </w:rPr>
                    <w:t>。</w:t>
                  </w:r>
                </w:p>
              </w:tc>
            </w:tr>
          </w:tbl>
          <w:p w14:paraId="18D69501">
            <w:pPr>
              <w:adjustRightInd w:val="0"/>
              <w:snapToGrid w:val="0"/>
              <w:spacing w:line="500" w:lineRule="exact"/>
              <w:jc w:val="center"/>
              <w:rPr>
                <w:b/>
                <w:snapToGrid w:val="0"/>
                <w:color w:val="auto"/>
                <w:kern w:val="0"/>
                <w:sz w:val="24"/>
              </w:rPr>
            </w:pPr>
            <w:r>
              <w:rPr>
                <w:b/>
                <w:snapToGrid w:val="0"/>
                <w:color w:val="auto"/>
                <w:kern w:val="0"/>
                <w:sz w:val="24"/>
              </w:rPr>
              <w:t>图</w:t>
            </w:r>
            <w:r>
              <w:rPr>
                <w:rFonts w:hint="eastAsia"/>
                <w:b/>
                <w:snapToGrid w:val="0"/>
                <w:color w:val="auto"/>
                <w:kern w:val="0"/>
                <w:sz w:val="24"/>
                <w:lang w:val="en-US" w:eastAsia="zh-CN"/>
              </w:rPr>
              <w:t>10</w:t>
            </w:r>
            <w:r>
              <w:rPr>
                <w:rFonts w:hint="eastAsia"/>
                <w:b/>
                <w:snapToGrid w:val="0"/>
                <w:color w:val="auto"/>
                <w:kern w:val="0"/>
                <w:sz w:val="24"/>
              </w:rPr>
              <w:t xml:space="preserve">  </w:t>
            </w:r>
            <w:r>
              <w:rPr>
                <w:b/>
                <w:snapToGrid w:val="0"/>
                <w:color w:val="auto"/>
                <w:kern w:val="0"/>
                <w:sz w:val="24"/>
              </w:rPr>
              <w:t xml:space="preserve">  危险废物标签示意简图</w:t>
            </w:r>
          </w:p>
          <w:p w14:paraId="02F1A91A">
            <w:pPr>
              <w:adjustRightInd w:val="0"/>
              <w:snapToGrid w:val="0"/>
              <w:spacing w:line="500" w:lineRule="exact"/>
              <w:ind w:firstLine="480" w:firstLineChars="200"/>
              <w:rPr>
                <w:b/>
                <w:bCs/>
                <w:color w:val="auto"/>
                <w:sz w:val="24"/>
              </w:rPr>
            </w:pPr>
            <w:r>
              <w:rPr>
                <w:bCs/>
                <w:color w:val="auto"/>
                <w:sz w:val="24"/>
              </w:rPr>
              <w:t>综上所述，本项目固体废物均得到合理处置，对周边环境影响较小。</w:t>
            </w:r>
          </w:p>
          <w:p w14:paraId="266CE40C">
            <w:pPr>
              <w:adjustRightInd w:val="0"/>
              <w:snapToGrid w:val="0"/>
              <w:spacing w:line="500" w:lineRule="exact"/>
              <w:ind w:firstLine="482" w:firstLineChars="200"/>
              <w:rPr>
                <w:b/>
                <w:bCs/>
                <w:color w:val="auto"/>
                <w:sz w:val="24"/>
              </w:rPr>
            </w:pPr>
            <w:r>
              <w:rPr>
                <w:rFonts w:hint="eastAsia"/>
                <w:b/>
                <w:bCs/>
                <w:color w:val="auto"/>
                <w:sz w:val="24"/>
              </w:rPr>
              <w:t>5.地下水、土壤环境影响分析</w:t>
            </w:r>
          </w:p>
          <w:p w14:paraId="56FBE849">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firstLine="470" w:firstLineChars="196"/>
              <w:textAlignment w:val="auto"/>
              <w:rPr>
                <w:rFonts w:hint="eastAsia"/>
                <w:color w:val="auto"/>
                <w:sz w:val="24"/>
              </w:rPr>
            </w:pPr>
            <w:r>
              <w:rPr>
                <w:color w:val="auto"/>
                <w:sz w:val="24"/>
              </w:rPr>
              <w:t>项目可能涉及</w:t>
            </w:r>
            <w:r>
              <w:rPr>
                <w:rFonts w:hint="eastAsia"/>
                <w:color w:val="auto"/>
                <w:sz w:val="24"/>
              </w:rPr>
              <w:t>地下水和</w:t>
            </w:r>
            <w:r>
              <w:rPr>
                <w:color w:val="auto"/>
                <w:sz w:val="24"/>
              </w:rPr>
              <w:t>土壤污染的途径主要为废气</w:t>
            </w:r>
            <w:r>
              <w:rPr>
                <w:rFonts w:hint="eastAsia"/>
                <w:color w:val="auto"/>
                <w:sz w:val="24"/>
              </w:rPr>
              <w:t>、废水</w:t>
            </w:r>
            <w:r>
              <w:rPr>
                <w:color w:val="auto"/>
                <w:sz w:val="24"/>
              </w:rPr>
              <w:t>及危险废物。通过工程分析可知，本项目废气污染物主要为</w:t>
            </w:r>
            <w:r>
              <w:rPr>
                <w:rFonts w:hint="eastAsia"/>
                <w:color w:val="auto"/>
                <w:sz w:val="24"/>
              </w:rPr>
              <w:t>颗粒物</w:t>
            </w:r>
            <w:r>
              <w:rPr>
                <w:color w:val="auto"/>
                <w:sz w:val="24"/>
              </w:rPr>
              <w:t>，不涉及重金属；</w:t>
            </w:r>
            <w:r>
              <w:rPr>
                <w:rFonts w:hint="eastAsia"/>
                <w:color w:val="auto"/>
                <w:sz w:val="24"/>
              </w:rPr>
              <w:t>项目洗车废水经沉淀池沉淀后回用于洗车；</w:t>
            </w:r>
            <w:r>
              <w:rPr>
                <w:rFonts w:hint="eastAsia" w:ascii="Times New Roman" w:hAnsi="Times New Roman" w:cs="Times New Roman"/>
                <w:b w:val="0"/>
                <w:bCs w:val="0"/>
                <w:color w:val="auto"/>
                <w:sz w:val="24"/>
                <w:szCs w:val="24"/>
                <w:highlight w:val="none"/>
                <w:lang w:val="en-US" w:eastAsia="zh-CN"/>
              </w:rPr>
              <w:t>初期雨水</w:t>
            </w:r>
            <w:r>
              <w:rPr>
                <w:rFonts w:hint="eastAsia" w:cs="Times New Roman"/>
                <w:b w:val="0"/>
                <w:bCs w:val="0"/>
                <w:color w:val="auto"/>
                <w:sz w:val="24"/>
                <w:szCs w:val="24"/>
                <w:highlight w:val="none"/>
                <w:lang w:val="en-US" w:eastAsia="zh-CN"/>
              </w:rPr>
              <w:t>经</w:t>
            </w:r>
            <w:r>
              <w:rPr>
                <w:rFonts w:hint="eastAsia" w:ascii="Times New Roman" w:hAnsi="Times New Roman" w:cs="Times New Roman"/>
                <w:b w:val="0"/>
                <w:bCs w:val="0"/>
                <w:color w:val="auto"/>
                <w:sz w:val="24"/>
                <w:szCs w:val="24"/>
                <w:highlight w:val="none"/>
                <w:lang w:val="en-US" w:eastAsia="zh-CN"/>
              </w:rPr>
              <w:t>沉淀处理后用于厂区</w:t>
            </w:r>
            <w:r>
              <w:rPr>
                <w:rFonts w:hint="eastAsia" w:cs="Times New Roman"/>
                <w:b w:val="0"/>
                <w:bCs w:val="0"/>
                <w:color w:val="auto"/>
                <w:sz w:val="24"/>
                <w:szCs w:val="24"/>
                <w:highlight w:val="none"/>
                <w:lang w:val="en-US" w:eastAsia="zh-CN"/>
              </w:rPr>
              <w:t>抑尘</w:t>
            </w:r>
            <w:r>
              <w:rPr>
                <w:rFonts w:hint="eastAsia" w:ascii="Times New Roman" w:hAnsi="Times New Roman" w:cs="Times New Roman"/>
                <w:b w:val="0"/>
                <w:bCs w:val="0"/>
                <w:color w:val="auto"/>
                <w:sz w:val="24"/>
                <w:szCs w:val="24"/>
                <w:highlight w:val="none"/>
                <w:lang w:val="en-US" w:eastAsia="zh-CN"/>
              </w:rPr>
              <w:t>用水</w:t>
            </w:r>
            <w:r>
              <w:rPr>
                <w:rFonts w:hint="eastAsia" w:cs="Times New Roman"/>
                <w:b w:val="0"/>
                <w:bCs w:val="0"/>
                <w:color w:val="auto"/>
                <w:sz w:val="24"/>
                <w:szCs w:val="24"/>
                <w:highlight w:val="none"/>
                <w:lang w:val="en-US" w:eastAsia="zh-CN"/>
              </w:rPr>
              <w:t>；</w:t>
            </w:r>
            <w:r>
              <w:rPr>
                <w:rFonts w:hint="eastAsia"/>
                <w:color w:val="auto"/>
                <w:sz w:val="24"/>
              </w:rPr>
              <w:t>喷淋用水蒸发损失不外排，少量盥洗及冲厕废水，经</w:t>
            </w:r>
            <w:r>
              <w:rPr>
                <w:rFonts w:hint="eastAsia"/>
                <w:color w:val="auto"/>
                <w:sz w:val="24"/>
                <w:lang w:eastAsia="zh-CN"/>
              </w:rPr>
              <w:t>园区污水管网排入园区污水处理厂</w:t>
            </w:r>
            <w:r>
              <w:rPr>
                <w:rFonts w:hint="eastAsia"/>
                <w:color w:val="auto"/>
                <w:sz w:val="24"/>
              </w:rPr>
              <w:t>。本项目地下水和土壤污染识别见下表。</w:t>
            </w:r>
          </w:p>
          <w:p w14:paraId="7EE327CE">
            <w:pPr>
              <w:pStyle w:val="2"/>
              <w:rPr>
                <w:rFonts w:hint="eastAsia"/>
                <w:color w:val="auto"/>
                <w:sz w:val="24"/>
              </w:rPr>
            </w:pPr>
          </w:p>
          <w:p w14:paraId="603F8FF1">
            <w:pPr>
              <w:widowControl/>
              <w:numPr>
                <w:ilvl w:val="0"/>
                <w:numId w:val="0"/>
              </w:numPr>
              <w:tabs>
                <w:tab w:val="left" w:pos="0"/>
              </w:tabs>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30</w:t>
            </w:r>
            <w:r>
              <w:rPr>
                <w:rFonts w:hint="eastAsia"/>
                <w:b/>
                <w:bCs/>
                <w:color w:val="auto"/>
                <w:sz w:val="24"/>
                <w:lang w:val="en-US" w:eastAsia="zh-CN"/>
              </w:rPr>
              <w:t xml:space="preserve"> </w:t>
            </w:r>
            <w:r>
              <w:rPr>
                <w:b/>
                <w:bCs/>
                <w:color w:val="auto"/>
                <w:sz w:val="24"/>
              </w:rPr>
              <w:t xml:space="preserve">  </w:t>
            </w:r>
            <w:r>
              <w:rPr>
                <w:rFonts w:hint="eastAsia"/>
                <w:b/>
                <w:bCs/>
                <w:color w:val="auto"/>
                <w:sz w:val="24"/>
              </w:rPr>
              <w:t>地下水污染识别结果</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495"/>
              <w:gridCol w:w="1660"/>
              <w:gridCol w:w="3518"/>
            </w:tblGrid>
            <w:tr w14:paraId="77520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2" w:type="pct"/>
                  <w:vMerge w:val="restart"/>
                  <w:vAlign w:val="center"/>
                </w:tcPr>
                <w:p w14:paraId="5C13FEA3">
                  <w:pPr>
                    <w:spacing w:line="320" w:lineRule="exact"/>
                    <w:jc w:val="center"/>
                    <w:rPr>
                      <w:color w:val="auto"/>
                      <w:szCs w:val="21"/>
                    </w:rPr>
                  </w:pPr>
                  <w:r>
                    <w:rPr>
                      <w:rFonts w:hint="eastAsia"/>
                      <w:color w:val="auto"/>
                      <w:szCs w:val="21"/>
                    </w:rPr>
                    <w:t>识别情景</w:t>
                  </w:r>
                </w:p>
              </w:tc>
              <w:tc>
                <w:tcPr>
                  <w:tcW w:w="909" w:type="pct"/>
                  <w:vMerge w:val="restart"/>
                  <w:vAlign w:val="center"/>
                </w:tcPr>
                <w:p w14:paraId="3DF56F5A">
                  <w:pPr>
                    <w:spacing w:line="320" w:lineRule="exact"/>
                    <w:jc w:val="center"/>
                    <w:rPr>
                      <w:color w:val="auto"/>
                      <w:szCs w:val="21"/>
                    </w:rPr>
                  </w:pPr>
                  <w:r>
                    <w:rPr>
                      <w:rFonts w:hint="eastAsia"/>
                      <w:color w:val="auto"/>
                      <w:szCs w:val="21"/>
                    </w:rPr>
                    <w:t>识别内容</w:t>
                  </w:r>
                </w:p>
              </w:tc>
              <w:tc>
                <w:tcPr>
                  <w:tcW w:w="3147" w:type="pct"/>
                  <w:gridSpan w:val="2"/>
                  <w:vAlign w:val="center"/>
                </w:tcPr>
                <w:p w14:paraId="4C0F0138">
                  <w:pPr>
                    <w:spacing w:line="320" w:lineRule="exact"/>
                    <w:jc w:val="center"/>
                    <w:rPr>
                      <w:color w:val="auto"/>
                      <w:szCs w:val="21"/>
                    </w:rPr>
                  </w:pPr>
                  <w:r>
                    <w:rPr>
                      <w:rFonts w:hint="eastAsia"/>
                      <w:color w:val="auto"/>
                      <w:szCs w:val="21"/>
                    </w:rPr>
                    <w:t>运行阶段</w:t>
                  </w:r>
                </w:p>
              </w:tc>
            </w:tr>
            <w:tr w14:paraId="6F97C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42" w:type="pct"/>
                  <w:vMerge w:val="continue"/>
                  <w:vAlign w:val="center"/>
                </w:tcPr>
                <w:p w14:paraId="75E89F89">
                  <w:pPr>
                    <w:spacing w:line="320" w:lineRule="exact"/>
                    <w:jc w:val="center"/>
                    <w:rPr>
                      <w:color w:val="auto"/>
                      <w:szCs w:val="21"/>
                    </w:rPr>
                  </w:pPr>
                </w:p>
              </w:tc>
              <w:tc>
                <w:tcPr>
                  <w:tcW w:w="909" w:type="pct"/>
                  <w:vMerge w:val="continue"/>
                  <w:vAlign w:val="center"/>
                </w:tcPr>
                <w:p w14:paraId="27EBB9D0">
                  <w:pPr>
                    <w:spacing w:line="320" w:lineRule="exact"/>
                    <w:jc w:val="center"/>
                    <w:rPr>
                      <w:color w:val="auto"/>
                      <w:szCs w:val="21"/>
                    </w:rPr>
                  </w:pPr>
                </w:p>
              </w:tc>
              <w:tc>
                <w:tcPr>
                  <w:tcW w:w="1009" w:type="pct"/>
                  <w:vAlign w:val="center"/>
                </w:tcPr>
                <w:p w14:paraId="3EAAF4E1">
                  <w:pPr>
                    <w:spacing w:line="320" w:lineRule="exact"/>
                    <w:jc w:val="center"/>
                    <w:rPr>
                      <w:color w:val="auto"/>
                      <w:szCs w:val="21"/>
                    </w:rPr>
                  </w:pPr>
                  <w:r>
                    <w:rPr>
                      <w:rFonts w:hint="eastAsia"/>
                      <w:color w:val="auto"/>
                      <w:szCs w:val="21"/>
                    </w:rPr>
                    <w:t>施工期</w:t>
                  </w:r>
                </w:p>
              </w:tc>
              <w:tc>
                <w:tcPr>
                  <w:tcW w:w="2138" w:type="pct"/>
                  <w:vAlign w:val="center"/>
                </w:tcPr>
                <w:p w14:paraId="02474B10">
                  <w:pPr>
                    <w:spacing w:line="320" w:lineRule="exact"/>
                    <w:jc w:val="center"/>
                    <w:rPr>
                      <w:color w:val="auto"/>
                      <w:szCs w:val="21"/>
                    </w:rPr>
                  </w:pPr>
                  <w:r>
                    <w:rPr>
                      <w:rFonts w:hint="eastAsia"/>
                      <w:color w:val="auto"/>
                      <w:szCs w:val="21"/>
                    </w:rPr>
                    <w:t>运营期</w:t>
                  </w:r>
                </w:p>
              </w:tc>
            </w:tr>
            <w:tr w14:paraId="259FE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2" w:type="pct"/>
                  <w:vMerge w:val="continue"/>
                  <w:vAlign w:val="center"/>
                </w:tcPr>
                <w:p w14:paraId="73D48C7F">
                  <w:pPr>
                    <w:spacing w:line="320" w:lineRule="exact"/>
                    <w:jc w:val="center"/>
                    <w:rPr>
                      <w:color w:val="auto"/>
                      <w:szCs w:val="21"/>
                    </w:rPr>
                  </w:pPr>
                </w:p>
              </w:tc>
              <w:tc>
                <w:tcPr>
                  <w:tcW w:w="909" w:type="pct"/>
                  <w:vAlign w:val="center"/>
                </w:tcPr>
                <w:p w14:paraId="64C11BAD">
                  <w:pPr>
                    <w:spacing w:line="320" w:lineRule="exact"/>
                    <w:jc w:val="center"/>
                    <w:rPr>
                      <w:color w:val="auto"/>
                      <w:szCs w:val="21"/>
                    </w:rPr>
                  </w:pPr>
                  <w:r>
                    <w:rPr>
                      <w:rFonts w:hint="eastAsia"/>
                      <w:color w:val="auto"/>
                      <w:szCs w:val="21"/>
                    </w:rPr>
                    <w:t>特征因子</w:t>
                  </w:r>
                </w:p>
              </w:tc>
              <w:tc>
                <w:tcPr>
                  <w:tcW w:w="1009" w:type="pct"/>
                  <w:vAlign w:val="center"/>
                </w:tcPr>
                <w:p w14:paraId="44A0C635">
                  <w:pPr>
                    <w:spacing w:line="320" w:lineRule="exact"/>
                    <w:jc w:val="center"/>
                    <w:rPr>
                      <w:color w:val="auto"/>
                      <w:szCs w:val="21"/>
                    </w:rPr>
                  </w:pPr>
                  <w:r>
                    <w:rPr>
                      <w:rFonts w:hint="eastAsia"/>
                      <w:color w:val="auto"/>
                      <w:szCs w:val="21"/>
                    </w:rPr>
                    <w:t>/</w:t>
                  </w:r>
                </w:p>
              </w:tc>
              <w:tc>
                <w:tcPr>
                  <w:tcW w:w="2138" w:type="pct"/>
                  <w:vAlign w:val="center"/>
                </w:tcPr>
                <w:p w14:paraId="61712249">
                  <w:pPr>
                    <w:spacing w:line="320" w:lineRule="exact"/>
                    <w:jc w:val="center"/>
                    <w:rPr>
                      <w:color w:val="auto"/>
                      <w:szCs w:val="21"/>
                    </w:rPr>
                  </w:pPr>
                  <w:r>
                    <w:rPr>
                      <w:rFonts w:hint="eastAsia"/>
                      <w:color w:val="auto"/>
                      <w:szCs w:val="21"/>
                    </w:rPr>
                    <w:t>石油类</w:t>
                  </w:r>
                </w:p>
              </w:tc>
            </w:tr>
            <w:tr w14:paraId="0C8FD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42" w:type="pct"/>
                  <w:vAlign w:val="center"/>
                </w:tcPr>
                <w:p w14:paraId="41F5F93D">
                  <w:pPr>
                    <w:spacing w:line="320" w:lineRule="exact"/>
                    <w:jc w:val="center"/>
                    <w:rPr>
                      <w:color w:val="auto"/>
                      <w:szCs w:val="21"/>
                    </w:rPr>
                  </w:pPr>
                  <w:r>
                    <w:rPr>
                      <w:rFonts w:hint="eastAsia"/>
                      <w:color w:val="auto"/>
                      <w:szCs w:val="21"/>
                    </w:rPr>
                    <w:t>正常状况</w:t>
                  </w:r>
                </w:p>
              </w:tc>
              <w:tc>
                <w:tcPr>
                  <w:tcW w:w="909" w:type="pct"/>
                  <w:vMerge w:val="restart"/>
                  <w:vAlign w:val="center"/>
                </w:tcPr>
                <w:p w14:paraId="0DD24878">
                  <w:pPr>
                    <w:spacing w:line="320" w:lineRule="exact"/>
                    <w:jc w:val="center"/>
                    <w:rPr>
                      <w:color w:val="auto"/>
                      <w:szCs w:val="21"/>
                    </w:rPr>
                  </w:pPr>
                  <w:r>
                    <w:rPr>
                      <w:rFonts w:hint="eastAsia"/>
                      <w:color w:val="auto"/>
                      <w:szCs w:val="21"/>
                    </w:rPr>
                    <w:t>污染途径</w:t>
                  </w:r>
                </w:p>
              </w:tc>
              <w:tc>
                <w:tcPr>
                  <w:tcW w:w="1009" w:type="pct"/>
                  <w:vAlign w:val="center"/>
                </w:tcPr>
                <w:p w14:paraId="2BC26576">
                  <w:pPr>
                    <w:spacing w:line="320" w:lineRule="exact"/>
                    <w:jc w:val="center"/>
                    <w:rPr>
                      <w:color w:val="auto"/>
                      <w:szCs w:val="21"/>
                    </w:rPr>
                  </w:pPr>
                  <w:r>
                    <w:rPr>
                      <w:rFonts w:hint="eastAsia"/>
                      <w:color w:val="auto"/>
                      <w:szCs w:val="21"/>
                    </w:rPr>
                    <w:t>/</w:t>
                  </w:r>
                </w:p>
              </w:tc>
              <w:tc>
                <w:tcPr>
                  <w:tcW w:w="2138" w:type="pct"/>
                  <w:vAlign w:val="center"/>
                </w:tcPr>
                <w:p w14:paraId="6DD10EE1">
                  <w:pPr>
                    <w:spacing w:line="320" w:lineRule="exact"/>
                    <w:jc w:val="center"/>
                    <w:rPr>
                      <w:color w:val="auto"/>
                      <w:szCs w:val="21"/>
                    </w:rPr>
                  </w:pPr>
                  <w:r>
                    <w:rPr>
                      <w:rFonts w:hint="eastAsia"/>
                      <w:color w:val="auto"/>
                      <w:szCs w:val="21"/>
                    </w:rPr>
                    <w:t>/</w:t>
                  </w:r>
                </w:p>
              </w:tc>
            </w:tr>
            <w:tr w14:paraId="7ECA2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42" w:type="pct"/>
                  <w:vAlign w:val="center"/>
                </w:tcPr>
                <w:p w14:paraId="7B83B83B">
                  <w:pPr>
                    <w:spacing w:line="320" w:lineRule="exact"/>
                    <w:jc w:val="center"/>
                    <w:rPr>
                      <w:color w:val="auto"/>
                      <w:szCs w:val="21"/>
                    </w:rPr>
                  </w:pPr>
                  <w:r>
                    <w:rPr>
                      <w:rFonts w:hint="eastAsia"/>
                      <w:color w:val="auto"/>
                      <w:szCs w:val="21"/>
                    </w:rPr>
                    <w:t>非正常状况</w:t>
                  </w:r>
                </w:p>
              </w:tc>
              <w:tc>
                <w:tcPr>
                  <w:tcW w:w="909" w:type="pct"/>
                  <w:vMerge w:val="continue"/>
                  <w:vAlign w:val="center"/>
                </w:tcPr>
                <w:p w14:paraId="1C8DBA7A">
                  <w:pPr>
                    <w:spacing w:line="320" w:lineRule="exact"/>
                    <w:jc w:val="center"/>
                    <w:rPr>
                      <w:color w:val="auto"/>
                      <w:szCs w:val="21"/>
                    </w:rPr>
                  </w:pPr>
                </w:p>
              </w:tc>
              <w:tc>
                <w:tcPr>
                  <w:tcW w:w="1009" w:type="pct"/>
                  <w:vAlign w:val="center"/>
                </w:tcPr>
                <w:p w14:paraId="3AF24231">
                  <w:pPr>
                    <w:spacing w:line="320" w:lineRule="exact"/>
                    <w:jc w:val="center"/>
                    <w:rPr>
                      <w:color w:val="auto"/>
                      <w:szCs w:val="21"/>
                    </w:rPr>
                  </w:pPr>
                  <w:r>
                    <w:rPr>
                      <w:rFonts w:hint="eastAsia"/>
                      <w:color w:val="auto"/>
                      <w:szCs w:val="21"/>
                    </w:rPr>
                    <w:t>/</w:t>
                  </w:r>
                </w:p>
              </w:tc>
              <w:tc>
                <w:tcPr>
                  <w:tcW w:w="2138" w:type="pct"/>
                  <w:vAlign w:val="center"/>
                </w:tcPr>
                <w:p w14:paraId="68137BCC">
                  <w:pPr>
                    <w:spacing w:line="320" w:lineRule="exact"/>
                    <w:jc w:val="center"/>
                    <w:rPr>
                      <w:color w:val="auto"/>
                      <w:szCs w:val="21"/>
                    </w:rPr>
                  </w:pPr>
                  <w:r>
                    <w:rPr>
                      <w:rFonts w:hint="eastAsia"/>
                      <w:color w:val="auto"/>
                      <w:szCs w:val="21"/>
                    </w:rPr>
                    <w:t>防腐防渗措施失效，垂直入渗</w:t>
                  </w:r>
                </w:p>
              </w:tc>
            </w:tr>
          </w:tbl>
          <w:p w14:paraId="6A328BB1">
            <w:pPr>
              <w:widowControl/>
              <w:numPr>
                <w:ilvl w:val="0"/>
                <w:numId w:val="0"/>
              </w:numPr>
              <w:tabs>
                <w:tab w:val="left" w:pos="0"/>
              </w:tabs>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31</w:t>
            </w:r>
            <w:r>
              <w:rPr>
                <w:rFonts w:hint="eastAsia"/>
                <w:b/>
                <w:bCs/>
                <w:color w:val="auto"/>
                <w:sz w:val="24"/>
                <w:lang w:val="en-US" w:eastAsia="zh-CN"/>
              </w:rPr>
              <w:t xml:space="preserve"> </w:t>
            </w:r>
            <w:r>
              <w:rPr>
                <w:b/>
                <w:bCs/>
                <w:color w:val="auto"/>
                <w:sz w:val="24"/>
              </w:rPr>
              <w:t xml:space="preserve"> </w:t>
            </w:r>
            <w:r>
              <w:rPr>
                <w:rFonts w:hint="eastAsia"/>
                <w:b/>
                <w:bCs/>
                <w:color w:val="auto"/>
                <w:sz w:val="24"/>
              </w:rPr>
              <w:t xml:space="preserve"> 土壤环境影响及影响因子识别表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893"/>
              <w:gridCol w:w="1280"/>
              <w:gridCol w:w="1939"/>
              <w:gridCol w:w="1557"/>
            </w:tblGrid>
            <w:tr w14:paraId="30C79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4" w:type="pct"/>
                  <w:vAlign w:val="center"/>
                </w:tcPr>
                <w:p w14:paraId="2609EAF6">
                  <w:pPr>
                    <w:spacing w:line="320" w:lineRule="exact"/>
                    <w:jc w:val="center"/>
                    <w:rPr>
                      <w:color w:val="auto"/>
                      <w:szCs w:val="21"/>
                    </w:rPr>
                  </w:pPr>
                  <w:r>
                    <w:rPr>
                      <w:rFonts w:hint="eastAsia"/>
                      <w:color w:val="auto"/>
                      <w:szCs w:val="21"/>
                    </w:rPr>
                    <w:t>污染源</w:t>
                  </w:r>
                </w:p>
              </w:tc>
              <w:tc>
                <w:tcPr>
                  <w:tcW w:w="1151" w:type="pct"/>
                  <w:vAlign w:val="center"/>
                </w:tcPr>
                <w:p w14:paraId="120111FF">
                  <w:pPr>
                    <w:spacing w:line="320" w:lineRule="exact"/>
                    <w:jc w:val="center"/>
                    <w:rPr>
                      <w:color w:val="auto"/>
                      <w:szCs w:val="21"/>
                    </w:rPr>
                  </w:pPr>
                  <w:r>
                    <w:rPr>
                      <w:rFonts w:hint="eastAsia"/>
                      <w:color w:val="auto"/>
                      <w:szCs w:val="21"/>
                    </w:rPr>
                    <w:t>工艺流程/节点</w:t>
                  </w:r>
                </w:p>
              </w:tc>
              <w:tc>
                <w:tcPr>
                  <w:tcW w:w="778" w:type="pct"/>
                  <w:vAlign w:val="center"/>
                </w:tcPr>
                <w:p w14:paraId="30136057">
                  <w:pPr>
                    <w:spacing w:line="320" w:lineRule="exact"/>
                    <w:jc w:val="center"/>
                    <w:rPr>
                      <w:color w:val="auto"/>
                      <w:szCs w:val="21"/>
                    </w:rPr>
                  </w:pPr>
                  <w:r>
                    <w:rPr>
                      <w:rFonts w:hint="eastAsia"/>
                      <w:color w:val="auto"/>
                      <w:szCs w:val="21"/>
                    </w:rPr>
                    <w:t>污染途径</w:t>
                  </w:r>
                </w:p>
              </w:tc>
              <w:tc>
                <w:tcPr>
                  <w:tcW w:w="1179" w:type="pct"/>
                  <w:vAlign w:val="center"/>
                </w:tcPr>
                <w:p w14:paraId="1BB116AD">
                  <w:pPr>
                    <w:spacing w:line="320" w:lineRule="exact"/>
                    <w:jc w:val="center"/>
                    <w:rPr>
                      <w:color w:val="auto"/>
                      <w:szCs w:val="21"/>
                    </w:rPr>
                  </w:pPr>
                  <w:r>
                    <w:rPr>
                      <w:rFonts w:hint="eastAsia"/>
                      <w:color w:val="auto"/>
                      <w:szCs w:val="21"/>
                    </w:rPr>
                    <w:t>全部污染物指标</w:t>
                  </w:r>
                </w:p>
              </w:tc>
              <w:tc>
                <w:tcPr>
                  <w:tcW w:w="946" w:type="pct"/>
                  <w:vAlign w:val="center"/>
                </w:tcPr>
                <w:p w14:paraId="6656E464">
                  <w:pPr>
                    <w:spacing w:line="320" w:lineRule="exact"/>
                    <w:jc w:val="center"/>
                    <w:rPr>
                      <w:color w:val="auto"/>
                      <w:szCs w:val="21"/>
                    </w:rPr>
                  </w:pPr>
                  <w:r>
                    <w:rPr>
                      <w:rFonts w:hint="eastAsia"/>
                      <w:color w:val="auto"/>
                      <w:szCs w:val="21"/>
                    </w:rPr>
                    <w:t>特征因子</w:t>
                  </w:r>
                </w:p>
              </w:tc>
            </w:tr>
            <w:tr w14:paraId="1DDDE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44" w:type="pct"/>
                  <w:vAlign w:val="center"/>
                </w:tcPr>
                <w:p w14:paraId="74BEF876">
                  <w:pPr>
                    <w:spacing w:line="320" w:lineRule="exact"/>
                    <w:jc w:val="center"/>
                    <w:rPr>
                      <w:color w:val="auto"/>
                      <w:szCs w:val="21"/>
                    </w:rPr>
                  </w:pPr>
                  <w:r>
                    <w:rPr>
                      <w:rFonts w:hint="eastAsia"/>
                      <w:color w:val="auto"/>
                      <w:szCs w:val="21"/>
                    </w:rPr>
                    <w:t>润滑油</w:t>
                  </w:r>
                </w:p>
              </w:tc>
              <w:tc>
                <w:tcPr>
                  <w:tcW w:w="1151" w:type="pct"/>
                  <w:vAlign w:val="center"/>
                </w:tcPr>
                <w:p w14:paraId="59E08D1A">
                  <w:pPr>
                    <w:spacing w:line="320" w:lineRule="exact"/>
                    <w:jc w:val="center"/>
                    <w:rPr>
                      <w:rFonts w:hint="eastAsia" w:eastAsia="宋体"/>
                      <w:color w:val="auto"/>
                      <w:szCs w:val="21"/>
                      <w:lang w:eastAsia="zh-CN"/>
                    </w:rPr>
                  </w:pPr>
                  <w:r>
                    <w:rPr>
                      <w:rFonts w:hint="eastAsia"/>
                      <w:color w:val="auto"/>
                      <w:szCs w:val="21"/>
                    </w:rPr>
                    <w:t>1#</w:t>
                  </w:r>
                  <w:r>
                    <w:rPr>
                      <w:rFonts w:hint="eastAsia"/>
                      <w:color w:val="auto"/>
                      <w:szCs w:val="21"/>
                      <w:lang w:eastAsia="zh-CN"/>
                    </w:rPr>
                    <w:t>厂房</w:t>
                  </w:r>
                </w:p>
              </w:tc>
              <w:tc>
                <w:tcPr>
                  <w:tcW w:w="778" w:type="pct"/>
                  <w:vAlign w:val="center"/>
                </w:tcPr>
                <w:p w14:paraId="35BE4ABD">
                  <w:pPr>
                    <w:spacing w:line="320" w:lineRule="exact"/>
                    <w:jc w:val="center"/>
                    <w:rPr>
                      <w:color w:val="auto"/>
                      <w:szCs w:val="21"/>
                    </w:rPr>
                  </w:pPr>
                  <w:r>
                    <w:rPr>
                      <w:rFonts w:hint="eastAsia"/>
                      <w:color w:val="auto"/>
                      <w:szCs w:val="21"/>
                    </w:rPr>
                    <w:t>垂直入渗</w:t>
                  </w:r>
                </w:p>
              </w:tc>
              <w:tc>
                <w:tcPr>
                  <w:tcW w:w="1179" w:type="pct"/>
                  <w:vAlign w:val="center"/>
                </w:tcPr>
                <w:p w14:paraId="63B670FD">
                  <w:pPr>
                    <w:spacing w:line="320" w:lineRule="exact"/>
                    <w:jc w:val="center"/>
                    <w:rPr>
                      <w:color w:val="auto"/>
                      <w:szCs w:val="21"/>
                    </w:rPr>
                  </w:pPr>
                  <w:r>
                    <w:rPr>
                      <w:rFonts w:hint="eastAsia"/>
                      <w:color w:val="auto"/>
                      <w:szCs w:val="21"/>
                    </w:rPr>
                    <w:t>石油烃</w:t>
                  </w:r>
                </w:p>
              </w:tc>
              <w:tc>
                <w:tcPr>
                  <w:tcW w:w="946" w:type="pct"/>
                  <w:vAlign w:val="center"/>
                </w:tcPr>
                <w:p w14:paraId="2431F7A9">
                  <w:pPr>
                    <w:spacing w:line="320" w:lineRule="exact"/>
                    <w:jc w:val="center"/>
                    <w:rPr>
                      <w:color w:val="auto"/>
                      <w:szCs w:val="21"/>
                    </w:rPr>
                  </w:pPr>
                  <w:r>
                    <w:rPr>
                      <w:rFonts w:hint="eastAsia"/>
                      <w:color w:val="auto"/>
                      <w:szCs w:val="21"/>
                    </w:rPr>
                    <w:t>石油烃</w:t>
                  </w:r>
                </w:p>
              </w:tc>
            </w:tr>
            <w:tr w14:paraId="33C25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4" w:type="pct"/>
                  <w:vAlign w:val="center"/>
                </w:tcPr>
                <w:p w14:paraId="7BF771E6">
                  <w:pPr>
                    <w:spacing w:line="320" w:lineRule="exact"/>
                    <w:jc w:val="center"/>
                    <w:rPr>
                      <w:color w:val="auto"/>
                      <w:szCs w:val="21"/>
                    </w:rPr>
                  </w:pPr>
                  <w:r>
                    <w:rPr>
                      <w:rFonts w:hint="eastAsia"/>
                      <w:color w:val="auto"/>
                      <w:szCs w:val="21"/>
                    </w:rPr>
                    <w:t>废润滑油</w:t>
                  </w:r>
                </w:p>
              </w:tc>
              <w:tc>
                <w:tcPr>
                  <w:tcW w:w="1151" w:type="pct"/>
                  <w:vAlign w:val="center"/>
                </w:tcPr>
                <w:p w14:paraId="113239F3">
                  <w:pPr>
                    <w:spacing w:line="320" w:lineRule="exact"/>
                    <w:jc w:val="center"/>
                    <w:rPr>
                      <w:color w:val="auto"/>
                      <w:szCs w:val="21"/>
                    </w:rPr>
                  </w:pPr>
                  <w:r>
                    <w:rPr>
                      <w:rFonts w:hint="eastAsia"/>
                      <w:color w:val="auto"/>
                      <w:szCs w:val="21"/>
                    </w:rPr>
                    <w:t>危废间存储</w:t>
                  </w:r>
                </w:p>
              </w:tc>
              <w:tc>
                <w:tcPr>
                  <w:tcW w:w="778" w:type="pct"/>
                  <w:vAlign w:val="center"/>
                </w:tcPr>
                <w:p w14:paraId="2DD01C8A">
                  <w:pPr>
                    <w:spacing w:line="320" w:lineRule="exact"/>
                    <w:jc w:val="center"/>
                    <w:rPr>
                      <w:color w:val="auto"/>
                      <w:szCs w:val="21"/>
                    </w:rPr>
                  </w:pPr>
                  <w:r>
                    <w:rPr>
                      <w:rFonts w:hint="eastAsia"/>
                      <w:color w:val="auto"/>
                      <w:szCs w:val="21"/>
                    </w:rPr>
                    <w:t>垂直入渗</w:t>
                  </w:r>
                </w:p>
              </w:tc>
              <w:tc>
                <w:tcPr>
                  <w:tcW w:w="1179" w:type="pct"/>
                  <w:vAlign w:val="center"/>
                </w:tcPr>
                <w:p w14:paraId="754348EA">
                  <w:pPr>
                    <w:spacing w:line="320" w:lineRule="exact"/>
                    <w:jc w:val="center"/>
                    <w:rPr>
                      <w:color w:val="auto"/>
                      <w:szCs w:val="21"/>
                    </w:rPr>
                  </w:pPr>
                  <w:r>
                    <w:rPr>
                      <w:rFonts w:hint="eastAsia"/>
                      <w:color w:val="auto"/>
                      <w:szCs w:val="21"/>
                    </w:rPr>
                    <w:t>石油烃</w:t>
                  </w:r>
                </w:p>
              </w:tc>
              <w:tc>
                <w:tcPr>
                  <w:tcW w:w="946" w:type="pct"/>
                  <w:vAlign w:val="center"/>
                </w:tcPr>
                <w:p w14:paraId="752BDB5A">
                  <w:pPr>
                    <w:spacing w:line="320" w:lineRule="exact"/>
                    <w:jc w:val="center"/>
                    <w:rPr>
                      <w:color w:val="auto"/>
                      <w:szCs w:val="21"/>
                    </w:rPr>
                  </w:pPr>
                  <w:r>
                    <w:rPr>
                      <w:rFonts w:hint="eastAsia"/>
                      <w:color w:val="auto"/>
                      <w:szCs w:val="21"/>
                    </w:rPr>
                    <w:t>石油烃</w:t>
                  </w:r>
                </w:p>
              </w:tc>
            </w:tr>
            <w:tr w14:paraId="3F1F0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44" w:type="pct"/>
                  <w:vAlign w:val="center"/>
                </w:tcPr>
                <w:p w14:paraId="45DA0C95">
                  <w:pPr>
                    <w:spacing w:line="320" w:lineRule="exact"/>
                    <w:jc w:val="center"/>
                    <w:rPr>
                      <w:color w:val="auto"/>
                      <w:szCs w:val="21"/>
                    </w:rPr>
                  </w:pPr>
                  <w:r>
                    <w:rPr>
                      <w:rFonts w:hint="eastAsia"/>
                      <w:color w:val="auto"/>
                      <w:szCs w:val="21"/>
                    </w:rPr>
                    <w:t>废油桶</w:t>
                  </w:r>
                </w:p>
              </w:tc>
              <w:tc>
                <w:tcPr>
                  <w:tcW w:w="1151" w:type="pct"/>
                  <w:vAlign w:val="center"/>
                </w:tcPr>
                <w:p w14:paraId="4E73765F">
                  <w:pPr>
                    <w:spacing w:line="320" w:lineRule="exact"/>
                    <w:jc w:val="center"/>
                    <w:rPr>
                      <w:color w:val="auto"/>
                      <w:szCs w:val="21"/>
                    </w:rPr>
                  </w:pPr>
                  <w:r>
                    <w:rPr>
                      <w:rFonts w:hint="eastAsia"/>
                      <w:color w:val="auto"/>
                      <w:szCs w:val="21"/>
                    </w:rPr>
                    <w:t>危废间存储</w:t>
                  </w:r>
                </w:p>
              </w:tc>
              <w:tc>
                <w:tcPr>
                  <w:tcW w:w="778" w:type="pct"/>
                  <w:vAlign w:val="center"/>
                </w:tcPr>
                <w:p w14:paraId="299FDEE7">
                  <w:pPr>
                    <w:spacing w:line="320" w:lineRule="exact"/>
                    <w:jc w:val="center"/>
                    <w:rPr>
                      <w:color w:val="auto"/>
                      <w:szCs w:val="21"/>
                    </w:rPr>
                  </w:pPr>
                  <w:r>
                    <w:rPr>
                      <w:rFonts w:hint="eastAsia"/>
                      <w:color w:val="auto"/>
                      <w:szCs w:val="21"/>
                    </w:rPr>
                    <w:t>垂直入渗</w:t>
                  </w:r>
                </w:p>
              </w:tc>
              <w:tc>
                <w:tcPr>
                  <w:tcW w:w="1179" w:type="pct"/>
                  <w:vAlign w:val="center"/>
                </w:tcPr>
                <w:p w14:paraId="0D3426D1">
                  <w:pPr>
                    <w:spacing w:line="320" w:lineRule="exact"/>
                    <w:jc w:val="center"/>
                    <w:rPr>
                      <w:color w:val="auto"/>
                      <w:szCs w:val="21"/>
                    </w:rPr>
                  </w:pPr>
                  <w:r>
                    <w:rPr>
                      <w:rFonts w:hint="eastAsia"/>
                      <w:color w:val="auto"/>
                      <w:szCs w:val="21"/>
                    </w:rPr>
                    <w:t>石油烃</w:t>
                  </w:r>
                </w:p>
              </w:tc>
              <w:tc>
                <w:tcPr>
                  <w:tcW w:w="946" w:type="pct"/>
                  <w:vAlign w:val="center"/>
                </w:tcPr>
                <w:p w14:paraId="4911D392">
                  <w:pPr>
                    <w:spacing w:line="320" w:lineRule="exact"/>
                    <w:jc w:val="center"/>
                    <w:rPr>
                      <w:color w:val="auto"/>
                      <w:szCs w:val="21"/>
                    </w:rPr>
                  </w:pPr>
                  <w:r>
                    <w:rPr>
                      <w:rFonts w:hint="eastAsia"/>
                      <w:color w:val="auto"/>
                      <w:szCs w:val="21"/>
                    </w:rPr>
                    <w:t>石油烃</w:t>
                  </w:r>
                </w:p>
              </w:tc>
            </w:tr>
          </w:tbl>
          <w:p w14:paraId="5FB6B7FD">
            <w:pPr>
              <w:autoSpaceDE w:val="0"/>
              <w:autoSpaceDN w:val="0"/>
              <w:adjustRightInd w:val="0"/>
              <w:spacing w:line="500" w:lineRule="exact"/>
              <w:ind w:firstLine="480" w:firstLineChars="200"/>
              <w:rPr>
                <w:color w:val="auto"/>
                <w:sz w:val="24"/>
              </w:rPr>
            </w:pPr>
            <w:r>
              <w:rPr>
                <w:rFonts w:hint="eastAsia"/>
                <w:color w:val="auto"/>
                <w:sz w:val="24"/>
              </w:rPr>
              <w:t>根据上表分析可知，</w:t>
            </w:r>
            <w:r>
              <w:rPr>
                <w:color w:val="auto"/>
                <w:sz w:val="24"/>
              </w:rPr>
              <w:t>本项目涉及土壤污染的途径为</w:t>
            </w:r>
            <w:r>
              <w:rPr>
                <w:rFonts w:hint="eastAsia"/>
                <w:color w:val="auto"/>
                <w:sz w:val="24"/>
              </w:rPr>
              <w:t>润滑油、</w:t>
            </w:r>
            <w:r>
              <w:rPr>
                <w:color w:val="auto"/>
                <w:sz w:val="24"/>
              </w:rPr>
              <w:t>废</w:t>
            </w:r>
            <w:r>
              <w:rPr>
                <w:rFonts w:hint="eastAsia"/>
                <w:color w:val="auto"/>
                <w:sz w:val="24"/>
              </w:rPr>
              <w:t>润滑油</w:t>
            </w:r>
            <w:r>
              <w:rPr>
                <w:rFonts w:hint="eastAsia"/>
                <w:color w:val="auto"/>
                <w:sz w:val="24"/>
                <w:lang w:eastAsia="zh-CN"/>
              </w:rPr>
              <w:t>的</w:t>
            </w:r>
            <w:r>
              <w:rPr>
                <w:color w:val="auto"/>
                <w:sz w:val="24"/>
              </w:rPr>
              <w:t>垂直入渗。根据生产装置、辅助设施可能泄漏特殊的性质将污染区分为一般污染防治区和重点污染防治区，对污染防治区应分别采取不同等级的防渗方案：</w:t>
            </w:r>
          </w:p>
          <w:p w14:paraId="4DF05B88">
            <w:pPr>
              <w:autoSpaceDE w:val="0"/>
              <w:autoSpaceDN w:val="0"/>
              <w:adjustRightInd w:val="0"/>
              <w:spacing w:line="500" w:lineRule="exact"/>
              <w:ind w:firstLine="480" w:firstLineChars="200"/>
              <w:rPr>
                <w:color w:val="auto"/>
                <w:sz w:val="24"/>
              </w:rPr>
            </w:pPr>
            <w:r>
              <w:rPr>
                <w:color w:val="auto"/>
                <w:sz w:val="24"/>
              </w:rPr>
              <w:t>（1）重点防渗区</w:t>
            </w:r>
          </w:p>
          <w:p w14:paraId="0320A9E3">
            <w:pPr>
              <w:adjustRightInd w:val="0"/>
              <w:snapToGrid w:val="0"/>
              <w:spacing w:line="500" w:lineRule="exact"/>
              <w:ind w:firstLine="480" w:firstLineChars="200"/>
              <w:rPr>
                <w:color w:val="auto"/>
                <w:kern w:val="0"/>
                <w:sz w:val="24"/>
              </w:rPr>
            </w:pPr>
            <w:r>
              <w:rPr>
                <w:color w:val="auto"/>
                <w:sz w:val="24"/>
              </w:rPr>
              <w:t>危废间：按照《危险废物贮存污染控制标准》的相关要求进行防腐防渗，</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2269D878">
            <w:pPr>
              <w:spacing w:line="500" w:lineRule="exact"/>
              <w:ind w:firstLine="480" w:firstLineChars="200"/>
              <w:rPr>
                <w:color w:val="auto"/>
                <w:kern w:val="0"/>
                <w:sz w:val="24"/>
              </w:rPr>
            </w:pPr>
            <w:r>
              <w:rPr>
                <w:color w:val="auto"/>
                <w:kern w:val="0"/>
                <w:sz w:val="24"/>
              </w:rPr>
              <w:t>（2）一般防渗区</w:t>
            </w:r>
          </w:p>
          <w:p w14:paraId="7427C84D">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color w:val="FF0000"/>
                <w:kern w:val="2"/>
                <w:sz w:val="24"/>
                <w:szCs w:val="24"/>
                <w:highlight w:val="none"/>
                <w:lang w:val="en-US" w:eastAsia="zh-CN"/>
              </w:rPr>
            </w:pPr>
            <w:r>
              <w:rPr>
                <w:rFonts w:hint="eastAsia"/>
                <w:color w:val="FF0000"/>
                <w:kern w:val="2"/>
                <w:sz w:val="24"/>
                <w:szCs w:val="24"/>
                <w:highlight w:val="none"/>
                <w:lang w:val="en-US" w:eastAsia="zh-CN"/>
              </w:rPr>
              <w:t>初期雨水收集池、洗车平台沉淀池等采用防渗混凝土一体浇筑</w:t>
            </w:r>
            <w:r>
              <w:rPr>
                <w:color w:val="FF0000"/>
                <w:kern w:val="2"/>
                <w:sz w:val="24"/>
                <w:szCs w:val="24"/>
                <w:highlight w:val="none"/>
                <w:lang w:val="en-US" w:eastAsia="zh-CN"/>
              </w:rPr>
              <w:t>，防渗系数≤1.0×10</w:t>
            </w:r>
            <w:r>
              <w:rPr>
                <w:color w:val="FF0000"/>
                <w:kern w:val="2"/>
                <w:sz w:val="24"/>
                <w:szCs w:val="24"/>
                <w:highlight w:val="none"/>
                <w:vertAlign w:val="superscript"/>
                <w:lang w:val="en-US" w:eastAsia="zh-CN"/>
              </w:rPr>
              <w:t>-</w:t>
            </w:r>
            <w:r>
              <w:rPr>
                <w:rFonts w:hint="eastAsia"/>
                <w:color w:val="FF0000"/>
                <w:kern w:val="2"/>
                <w:sz w:val="24"/>
                <w:szCs w:val="24"/>
                <w:highlight w:val="none"/>
                <w:vertAlign w:val="superscript"/>
                <w:lang w:val="en-US" w:eastAsia="zh-CN"/>
              </w:rPr>
              <w:t>7</w:t>
            </w:r>
            <w:r>
              <w:rPr>
                <w:color w:val="FF0000"/>
                <w:kern w:val="2"/>
                <w:sz w:val="24"/>
                <w:szCs w:val="24"/>
                <w:highlight w:val="none"/>
                <w:lang w:val="en-US" w:eastAsia="zh-CN"/>
              </w:rPr>
              <w:t>m/s</w:t>
            </w:r>
            <w:r>
              <w:rPr>
                <w:rFonts w:hint="eastAsia"/>
                <w:color w:val="FF0000"/>
                <w:kern w:val="2"/>
                <w:sz w:val="24"/>
                <w:szCs w:val="24"/>
                <w:highlight w:val="none"/>
                <w:lang w:val="en-US" w:eastAsia="zh-CN"/>
              </w:rPr>
              <w:t>，本项目车间地面均采用防渗混凝土进行硬化，</w:t>
            </w:r>
            <w:r>
              <w:rPr>
                <w:color w:val="FF0000"/>
                <w:kern w:val="2"/>
                <w:sz w:val="24"/>
                <w:szCs w:val="24"/>
                <w:highlight w:val="none"/>
                <w:lang w:val="en-US" w:eastAsia="zh-CN"/>
              </w:rPr>
              <w:t>渗系数≤1.0×10</w:t>
            </w:r>
            <w:r>
              <w:rPr>
                <w:color w:val="FF0000"/>
                <w:kern w:val="2"/>
                <w:sz w:val="24"/>
                <w:szCs w:val="24"/>
                <w:highlight w:val="none"/>
                <w:vertAlign w:val="superscript"/>
                <w:lang w:val="en-US" w:eastAsia="zh-CN"/>
              </w:rPr>
              <w:t>-</w:t>
            </w:r>
            <w:r>
              <w:rPr>
                <w:rFonts w:hint="eastAsia"/>
                <w:color w:val="FF0000"/>
                <w:kern w:val="2"/>
                <w:sz w:val="24"/>
                <w:szCs w:val="24"/>
                <w:highlight w:val="none"/>
                <w:vertAlign w:val="superscript"/>
                <w:lang w:val="en-US" w:eastAsia="zh-CN"/>
              </w:rPr>
              <w:t>7</w:t>
            </w:r>
            <w:r>
              <w:rPr>
                <w:color w:val="FF0000"/>
                <w:kern w:val="2"/>
                <w:sz w:val="24"/>
                <w:szCs w:val="24"/>
                <w:highlight w:val="none"/>
                <w:lang w:val="en-US" w:eastAsia="zh-CN"/>
              </w:rPr>
              <w:t>m/s</w:t>
            </w:r>
            <w:r>
              <w:rPr>
                <w:rFonts w:hint="eastAsia"/>
                <w:color w:val="FF0000"/>
                <w:kern w:val="2"/>
                <w:sz w:val="24"/>
                <w:szCs w:val="24"/>
                <w:highlight w:val="none"/>
                <w:lang w:val="en-US" w:eastAsia="zh-CN"/>
              </w:rPr>
              <w:t>，本项目储存的煤炭种类为精煤和无烟煤，采取上述防渗措施可行</w:t>
            </w:r>
            <w:r>
              <w:rPr>
                <w:color w:val="FF0000"/>
                <w:kern w:val="2"/>
                <w:sz w:val="24"/>
                <w:szCs w:val="24"/>
                <w:highlight w:val="none"/>
                <w:lang w:val="en-US" w:eastAsia="zh-CN"/>
              </w:rPr>
              <w:t>。</w:t>
            </w:r>
          </w:p>
          <w:p w14:paraId="5A923338">
            <w:pPr>
              <w:pStyle w:val="22"/>
              <w:spacing w:after="0" w:line="500" w:lineRule="exact"/>
              <w:ind w:left="0" w:leftChars="0" w:firstLine="480"/>
              <w:rPr>
                <w:color w:val="auto"/>
                <w:sz w:val="24"/>
              </w:rPr>
            </w:pPr>
            <w:r>
              <w:rPr>
                <w:color w:val="auto"/>
                <w:sz w:val="24"/>
              </w:rPr>
              <w:t>为了确保防渗措施的防渗效果，应加强防渗措施的日常维护，使防渗措施达到应有的防渗效果。同时应加强生产设施的环保设施的管理。采取上述措施后，项目对地下水及土壤环境影响较小。</w:t>
            </w:r>
          </w:p>
          <w:p w14:paraId="3857DCAD">
            <w:pPr>
              <w:adjustRightInd w:val="0"/>
              <w:snapToGrid w:val="0"/>
              <w:spacing w:line="500" w:lineRule="exact"/>
              <w:ind w:firstLine="482" w:firstLineChars="200"/>
              <w:rPr>
                <w:b/>
                <w:bCs/>
                <w:color w:val="auto"/>
                <w:sz w:val="24"/>
              </w:rPr>
            </w:pPr>
            <w:r>
              <w:rPr>
                <w:rFonts w:hint="eastAsia"/>
                <w:b/>
                <w:bCs/>
                <w:color w:val="auto"/>
                <w:sz w:val="24"/>
              </w:rPr>
              <w:t>6.生态影响分析</w:t>
            </w:r>
          </w:p>
          <w:p w14:paraId="14B7B992">
            <w:pPr>
              <w:autoSpaceDE w:val="0"/>
              <w:autoSpaceDN w:val="0"/>
              <w:adjustRightInd w:val="0"/>
              <w:snapToGrid w:val="0"/>
              <w:spacing w:line="500" w:lineRule="exact"/>
              <w:ind w:firstLine="480" w:firstLineChars="200"/>
              <w:rPr>
                <w:color w:val="auto"/>
                <w:sz w:val="24"/>
                <w:highlight w:val="yellow"/>
              </w:rPr>
            </w:pPr>
            <w:r>
              <w:rPr>
                <w:rFonts w:hint="eastAsia"/>
                <w:snapToGrid w:val="0"/>
                <w:color w:val="auto"/>
                <w:kern w:val="0"/>
                <w:sz w:val="24"/>
                <w:lang w:eastAsia="zh-CN"/>
              </w:rPr>
              <w:t>本项目</w:t>
            </w:r>
            <w:r>
              <w:rPr>
                <w:rFonts w:hint="default" w:ascii="Times New Roman" w:hAnsi="Times New Roman" w:cs="Times New Roman"/>
                <w:color w:val="auto"/>
                <w:kern w:val="0"/>
                <w:sz w:val="24"/>
                <w:szCs w:val="24"/>
                <w:highlight w:val="none"/>
                <w:lang w:bidi="ar"/>
              </w:rPr>
              <w:t>位于</w:t>
            </w:r>
            <w:r>
              <w:rPr>
                <w:rFonts w:hint="default" w:ascii="Times New Roman" w:hAnsi="Times New Roman" w:cs="Times New Roman"/>
                <w:color w:val="auto"/>
                <w:sz w:val="24"/>
                <w:szCs w:val="24"/>
                <w:highlight w:val="none"/>
                <w:u w:val="none"/>
                <w:lang w:eastAsia="zh-CN"/>
              </w:rPr>
              <w:t>唐山市海港经济开发区</w:t>
            </w:r>
            <w:r>
              <w:rPr>
                <w:rFonts w:hint="default" w:ascii="Times New Roman" w:hAnsi="Times New Roman" w:cs="Times New Roman"/>
                <w:color w:val="auto"/>
                <w:kern w:val="0"/>
                <w:sz w:val="24"/>
                <w:szCs w:val="24"/>
                <w:highlight w:val="none"/>
                <w:lang w:bidi="ar"/>
              </w:rPr>
              <w:t>，</w:t>
            </w:r>
            <w:r>
              <w:rPr>
                <w:rFonts w:hint="eastAsia"/>
                <w:snapToGrid w:val="0"/>
                <w:color w:val="auto"/>
                <w:kern w:val="0"/>
                <w:sz w:val="24"/>
                <w:lang w:eastAsia="zh-CN"/>
              </w:rPr>
              <w:t>租用现有场地及厂房，</w:t>
            </w:r>
            <w:r>
              <w:rPr>
                <w:rFonts w:hint="default" w:ascii="Times New Roman" w:hAnsi="Times New Roman" w:cs="Times New Roman"/>
                <w:color w:val="auto"/>
                <w:kern w:val="0"/>
                <w:sz w:val="24"/>
                <w:szCs w:val="24"/>
                <w:highlight w:val="none"/>
                <w:lang w:eastAsia="zh-CN" w:bidi="ar"/>
              </w:rPr>
              <w:t>无生态保护目标。</w:t>
            </w:r>
          </w:p>
          <w:p w14:paraId="30895111">
            <w:pPr>
              <w:pStyle w:val="11"/>
              <w:spacing w:line="500" w:lineRule="exact"/>
              <w:ind w:firstLine="482" w:firstLineChars="200"/>
              <w:rPr>
                <w:b/>
                <w:bCs/>
                <w:color w:val="auto"/>
                <w:sz w:val="24"/>
              </w:rPr>
            </w:pPr>
            <w:r>
              <w:rPr>
                <w:b/>
                <w:bCs/>
                <w:color w:val="auto"/>
                <w:sz w:val="24"/>
              </w:rPr>
              <w:t>7、环境风险</w:t>
            </w:r>
          </w:p>
          <w:p w14:paraId="78D8D931">
            <w:pPr>
              <w:pStyle w:val="22"/>
              <w:spacing w:after="0" w:line="500" w:lineRule="exact"/>
              <w:ind w:left="0" w:leftChars="0" w:firstLine="480"/>
              <w:rPr>
                <w:color w:val="auto"/>
                <w:sz w:val="24"/>
              </w:rPr>
            </w:pPr>
            <w:r>
              <w:rPr>
                <w:rFonts w:hint="eastAsia"/>
                <w:color w:val="auto"/>
                <w:sz w:val="24"/>
              </w:rPr>
              <w:t>本项目风险物质主要为润滑油、设备维修保养产生的废润滑油</w:t>
            </w:r>
            <w:r>
              <w:rPr>
                <w:rFonts w:hint="eastAsia"/>
                <w:color w:val="auto"/>
                <w:sz w:val="24"/>
                <w:lang w:eastAsia="zh-CN"/>
              </w:rPr>
              <w:t>、</w:t>
            </w:r>
            <w:r>
              <w:rPr>
                <w:rFonts w:hint="eastAsia"/>
                <w:color w:val="auto"/>
                <w:sz w:val="24"/>
              </w:rPr>
              <w:t>废油桶。风险物质储存量见下表。</w:t>
            </w:r>
          </w:p>
          <w:p w14:paraId="096A09C4">
            <w:pPr>
              <w:widowControl/>
              <w:spacing w:line="500" w:lineRule="exact"/>
              <w:ind w:firstLine="480" w:firstLineChars="200"/>
              <w:rPr>
                <w:b/>
                <w:bCs/>
                <w:color w:val="auto"/>
                <w:sz w:val="24"/>
              </w:rPr>
            </w:pPr>
            <w:r>
              <w:rPr>
                <w:color w:val="auto"/>
                <w:sz w:val="24"/>
              </w:rPr>
              <w:t>项目主要装置及涉及环境风险物质情况见下表。</w:t>
            </w:r>
          </w:p>
          <w:p w14:paraId="6EC299E8">
            <w:pPr>
              <w:widowControl/>
              <w:numPr>
                <w:ilvl w:val="0"/>
                <w:numId w:val="0"/>
              </w:numPr>
              <w:tabs>
                <w:tab w:val="left" w:pos="0"/>
              </w:tabs>
              <w:spacing w:line="48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32</w:t>
            </w:r>
            <w:r>
              <w:rPr>
                <w:rFonts w:hint="eastAsia"/>
                <w:b/>
                <w:bCs/>
                <w:color w:val="auto"/>
                <w:sz w:val="24"/>
                <w:lang w:val="en-US" w:eastAsia="zh-CN"/>
              </w:rPr>
              <w:t xml:space="preserve"> </w:t>
            </w:r>
            <w:r>
              <w:rPr>
                <w:b/>
                <w:bCs/>
                <w:color w:val="auto"/>
                <w:sz w:val="24"/>
              </w:rPr>
              <w:t xml:space="preserve">   主要装置及涉及环境风险物质情况一览表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643"/>
              <w:gridCol w:w="1069"/>
              <w:gridCol w:w="1538"/>
              <w:gridCol w:w="1564"/>
              <w:gridCol w:w="1585"/>
            </w:tblGrid>
            <w:tr w14:paraId="6E6AD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 w:type="pct"/>
                  <w:vAlign w:val="center"/>
                </w:tcPr>
                <w:p w14:paraId="5B9F1A11">
                  <w:pPr>
                    <w:spacing w:line="320" w:lineRule="exact"/>
                    <w:jc w:val="center"/>
                    <w:rPr>
                      <w:color w:val="auto"/>
                      <w:szCs w:val="21"/>
                    </w:rPr>
                  </w:pPr>
                  <w:r>
                    <w:rPr>
                      <w:color w:val="auto"/>
                      <w:szCs w:val="21"/>
                    </w:rPr>
                    <w:t>序号</w:t>
                  </w:r>
                </w:p>
              </w:tc>
              <w:tc>
                <w:tcPr>
                  <w:tcW w:w="999" w:type="pct"/>
                  <w:vAlign w:val="center"/>
                </w:tcPr>
                <w:p w14:paraId="44628FF2">
                  <w:pPr>
                    <w:spacing w:line="320" w:lineRule="exact"/>
                    <w:jc w:val="center"/>
                    <w:rPr>
                      <w:color w:val="auto"/>
                      <w:szCs w:val="21"/>
                    </w:rPr>
                  </w:pPr>
                  <w:r>
                    <w:rPr>
                      <w:color w:val="auto"/>
                      <w:szCs w:val="21"/>
                    </w:rPr>
                    <w:t>危险物品名称</w:t>
                  </w:r>
                </w:p>
              </w:tc>
              <w:tc>
                <w:tcPr>
                  <w:tcW w:w="650" w:type="pct"/>
                  <w:vAlign w:val="center"/>
                </w:tcPr>
                <w:p w14:paraId="02D5C4D3">
                  <w:pPr>
                    <w:spacing w:line="320" w:lineRule="exact"/>
                    <w:jc w:val="center"/>
                    <w:rPr>
                      <w:color w:val="auto"/>
                      <w:szCs w:val="21"/>
                    </w:rPr>
                  </w:pPr>
                  <w:r>
                    <w:rPr>
                      <w:color w:val="auto"/>
                      <w:szCs w:val="21"/>
                    </w:rPr>
                    <w:t>状态</w:t>
                  </w:r>
                </w:p>
              </w:tc>
              <w:tc>
                <w:tcPr>
                  <w:tcW w:w="935" w:type="pct"/>
                  <w:vAlign w:val="center"/>
                </w:tcPr>
                <w:p w14:paraId="7A823CCA">
                  <w:pPr>
                    <w:spacing w:line="320" w:lineRule="exact"/>
                    <w:jc w:val="center"/>
                    <w:rPr>
                      <w:color w:val="auto"/>
                      <w:szCs w:val="21"/>
                    </w:rPr>
                  </w:pPr>
                  <w:r>
                    <w:rPr>
                      <w:color w:val="auto"/>
                      <w:szCs w:val="21"/>
                    </w:rPr>
                    <w:t>储存方式</w:t>
                  </w:r>
                </w:p>
              </w:tc>
              <w:tc>
                <w:tcPr>
                  <w:tcW w:w="951" w:type="pct"/>
                  <w:vAlign w:val="center"/>
                </w:tcPr>
                <w:p w14:paraId="2B067520">
                  <w:pPr>
                    <w:spacing w:line="320" w:lineRule="exact"/>
                    <w:jc w:val="center"/>
                    <w:rPr>
                      <w:color w:val="auto"/>
                      <w:szCs w:val="21"/>
                    </w:rPr>
                  </w:pPr>
                  <w:r>
                    <w:rPr>
                      <w:color w:val="auto"/>
                      <w:szCs w:val="21"/>
                    </w:rPr>
                    <w:t>最大储量q</w:t>
                  </w:r>
                  <w:r>
                    <w:rPr>
                      <w:color w:val="auto"/>
                      <w:szCs w:val="21"/>
                      <w:vertAlign w:val="subscript"/>
                    </w:rPr>
                    <w:t>n</w:t>
                  </w:r>
                  <w:r>
                    <w:rPr>
                      <w:color w:val="auto"/>
                      <w:szCs w:val="21"/>
                    </w:rPr>
                    <w:t>/t</w:t>
                  </w:r>
                </w:p>
              </w:tc>
              <w:tc>
                <w:tcPr>
                  <w:tcW w:w="963" w:type="pct"/>
                  <w:vAlign w:val="center"/>
                </w:tcPr>
                <w:p w14:paraId="1C79136D">
                  <w:pPr>
                    <w:spacing w:line="320" w:lineRule="exact"/>
                    <w:jc w:val="center"/>
                    <w:rPr>
                      <w:color w:val="auto"/>
                      <w:szCs w:val="21"/>
                    </w:rPr>
                  </w:pPr>
                  <w:r>
                    <w:rPr>
                      <w:color w:val="auto"/>
                      <w:szCs w:val="21"/>
                    </w:rPr>
                    <w:t>临界量Q</w:t>
                  </w:r>
                  <w:r>
                    <w:rPr>
                      <w:color w:val="auto"/>
                      <w:szCs w:val="21"/>
                      <w:vertAlign w:val="subscript"/>
                    </w:rPr>
                    <w:t>n</w:t>
                  </w:r>
                  <w:r>
                    <w:rPr>
                      <w:color w:val="auto"/>
                      <w:szCs w:val="21"/>
                    </w:rPr>
                    <w:t>/t</w:t>
                  </w:r>
                </w:p>
              </w:tc>
            </w:tr>
            <w:tr w14:paraId="1EF8E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322E2E28">
                  <w:pPr>
                    <w:spacing w:line="320" w:lineRule="exact"/>
                    <w:jc w:val="center"/>
                    <w:rPr>
                      <w:color w:val="auto"/>
                      <w:szCs w:val="21"/>
                    </w:rPr>
                  </w:pPr>
                  <w:r>
                    <w:rPr>
                      <w:rFonts w:hint="eastAsia"/>
                      <w:color w:val="auto"/>
                      <w:szCs w:val="21"/>
                    </w:rPr>
                    <w:t>1</w:t>
                  </w:r>
                </w:p>
              </w:tc>
              <w:tc>
                <w:tcPr>
                  <w:tcW w:w="999" w:type="pct"/>
                  <w:vAlign w:val="center"/>
                </w:tcPr>
                <w:p w14:paraId="7622BF83">
                  <w:pPr>
                    <w:spacing w:line="320" w:lineRule="exact"/>
                    <w:jc w:val="center"/>
                    <w:rPr>
                      <w:color w:val="auto"/>
                      <w:szCs w:val="21"/>
                    </w:rPr>
                  </w:pPr>
                  <w:r>
                    <w:rPr>
                      <w:rFonts w:hint="eastAsia"/>
                      <w:color w:val="auto"/>
                      <w:szCs w:val="21"/>
                    </w:rPr>
                    <w:t>润滑油</w:t>
                  </w:r>
                </w:p>
              </w:tc>
              <w:tc>
                <w:tcPr>
                  <w:tcW w:w="650" w:type="pct"/>
                  <w:vAlign w:val="center"/>
                </w:tcPr>
                <w:p w14:paraId="288C5A14">
                  <w:pPr>
                    <w:spacing w:line="320" w:lineRule="exact"/>
                    <w:jc w:val="center"/>
                    <w:rPr>
                      <w:color w:val="auto"/>
                      <w:szCs w:val="21"/>
                    </w:rPr>
                  </w:pPr>
                  <w:r>
                    <w:rPr>
                      <w:color w:val="auto"/>
                      <w:szCs w:val="21"/>
                    </w:rPr>
                    <w:t>液体</w:t>
                  </w:r>
                </w:p>
              </w:tc>
              <w:tc>
                <w:tcPr>
                  <w:tcW w:w="935" w:type="pct"/>
                  <w:vAlign w:val="center"/>
                </w:tcPr>
                <w:p w14:paraId="3E5670A8">
                  <w:pPr>
                    <w:spacing w:line="320" w:lineRule="exact"/>
                    <w:jc w:val="center"/>
                    <w:rPr>
                      <w:color w:val="auto"/>
                      <w:szCs w:val="21"/>
                    </w:rPr>
                  </w:pPr>
                  <w:r>
                    <w:rPr>
                      <w:color w:val="auto"/>
                      <w:szCs w:val="21"/>
                    </w:rPr>
                    <w:t>桶装</w:t>
                  </w:r>
                </w:p>
              </w:tc>
              <w:tc>
                <w:tcPr>
                  <w:tcW w:w="951" w:type="pct"/>
                  <w:vAlign w:val="center"/>
                </w:tcPr>
                <w:p w14:paraId="2CA24237">
                  <w:pPr>
                    <w:spacing w:line="320" w:lineRule="exact"/>
                    <w:jc w:val="center"/>
                    <w:rPr>
                      <w:rFonts w:hint="default" w:eastAsia="宋体"/>
                      <w:color w:val="auto"/>
                      <w:szCs w:val="21"/>
                      <w:lang w:val="en-US" w:eastAsia="zh-CN"/>
                    </w:rPr>
                  </w:pPr>
                  <w:r>
                    <w:rPr>
                      <w:rFonts w:hint="eastAsia"/>
                      <w:color w:val="auto"/>
                      <w:szCs w:val="21"/>
                      <w:lang w:val="en-US" w:eastAsia="zh-CN"/>
                    </w:rPr>
                    <w:t>0.1</w:t>
                  </w:r>
                </w:p>
              </w:tc>
              <w:tc>
                <w:tcPr>
                  <w:tcW w:w="963" w:type="pct"/>
                  <w:vAlign w:val="center"/>
                </w:tcPr>
                <w:p w14:paraId="0ED983D0">
                  <w:pPr>
                    <w:spacing w:line="320" w:lineRule="exact"/>
                    <w:jc w:val="center"/>
                    <w:rPr>
                      <w:color w:val="auto"/>
                      <w:szCs w:val="21"/>
                    </w:rPr>
                  </w:pPr>
                  <w:r>
                    <w:rPr>
                      <w:rFonts w:hint="eastAsia"/>
                      <w:color w:val="auto"/>
                      <w:szCs w:val="21"/>
                    </w:rPr>
                    <w:t>2500</w:t>
                  </w:r>
                </w:p>
              </w:tc>
            </w:tr>
            <w:tr w14:paraId="7CAC0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4A31E61C">
                  <w:pPr>
                    <w:spacing w:line="320" w:lineRule="exact"/>
                    <w:jc w:val="center"/>
                    <w:rPr>
                      <w:rFonts w:hint="eastAsia" w:eastAsia="宋体"/>
                      <w:color w:val="auto"/>
                      <w:szCs w:val="21"/>
                      <w:lang w:eastAsia="zh-CN"/>
                    </w:rPr>
                  </w:pPr>
                  <w:r>
                    <w:rPr>
                      <w:rFonts w:hint="eastAsia"/>
                      <w:color w:val="auto"/>
                      <w:szCs w:val="21"/>
                      <w:lang w:val="en-US" w:eastAsia="zh-CN"/>
                    </w:rPr>
                    <w:t>2</w:t>
                  </w:r>
                </w:p>
              </w:tc>
              <w:tc>
                <w:tcPr>
                  <w:tcW w:w="999" w:type="pct"/>
                  <w:vAlign w:val="center"/>
                </w:tcPr>
                <w:p w14:paraId="158B49C5">
                  <w:pPr>
                    <w:spacing w:line="320" w:lineRule="exact"/>
                    <w:jc w:val="center"/>
                    <w:rPr>
                      <w:color w:val="auto"/>
                      <w:szCs w:val="21"/>
                    </w:rPr>
                  </w:pPr>
                  <w:r>
                    <w:rPr>
                      <w:color w:val="auto"/>
                      <w:szCs w:val="21"/>
                    </w:rPr>
                    <w:t>废</w:t>
                  </w:r>
                  <w:r>
                    <w:rPr>
                      <w:rFonts w:hint="eastAsia"/>
                      <w:color w:val="auto"/>
                      <w:szCs w:val="21"/>
                    </w:rPr>
                    <w:t>润滑油</w:t>
                  </w:r>
                </w:p>
              </w:tc>
              <w:tc>
                <w:tcPr>
                  <w:tcW w:w="650" w:type="pct"/>
                  <w:vAlign w:val="center"/>
                </w:tcPr>
                <w:p w14:paraId="4C956FB4">
                  <w:pPr>
                    <w:spacing w:line="320" w:lineRule="exact"/>
                    <w:jc w:val="center"/>
                    <w:rPr>
                      <w:color w:val="auto"/>
                      <w:szCs w:val="21"/>
                    </w:rPr>
                  </w:pPr>
                  <w:r>
                    <w:rPr>
                      <w:color w:val="auto"/>
                      <w:szCs w:val="21"/>
                    </w:rPr>
                    <w:t>液体</w:t>
                  </w:r>
                </w:p>
              </w:tc>
              <w:tc>
                <w:tcPr>
                  <w:tcW w:w="935" w:type="pct"/>
                  <w:vAlign w:val="center"/>
                </w:tcPr>
                <w:p w14:paraId="21895BDE">
                  <w:pPr>
                    <w:spacing w:line="320" w:lineRule="exact"/>
                    <w:jc w:val="center"/>
                    <w:rPr>
                      <w:color w:val="auto"/>
                      <w:szCs w:val="21"/>
                    </w:rPr>
                  </w:pPr>
                  <w:r>
                    <w:rPr>
                      <w:color w:val="auto"/>
                      <w:szCs w:val="21"/>
                    </w:rPr>
                    <w:t>桶装</w:t>
                  </w:r>
                </w:p>
              </w:tc>
              <w:tc>
                <w:tcPr>
                  <w:tcW w:w="951" w:type="pct"/>
                  <w:vAlign w:val="center"/>
                </w:tcPr>
                <w:p w14:paraId="0F7BE381">
                  <w:pPr>
                    <w:spacing w:line="320" w:lineRule="exact"/>
                    <w:jc w:val="center"/>
                    <w:rPr>
                      <w:rFonts w:hint="default" w:eastAsia="宋体"/>
                      <w:color w:val="auto"/>
                      <w:szCs w:val="21"/>
                      <w:highlight w:val="none"/>
                      <w:lang w:val="en-US" w:eastAsia="zh-CN"/>
                    </w:rPr>
                  </w:pPr>
                  <w:r>
                    <w:rPr>
                      <w:rFonts w:hint="eastAsia"/>
                      <w:color w:val="auto"/>
                      <w:szCs w:val="21"/>
                      <w:highlight w:val="none"/>
                      <w:lang w:val="en-US" w:eastAsia="zh-CN"/>
                    </w:rPr>
                    <w:t>0.02</w:t>
                  </w:r>
                </w:p>
              </w:tc>
              <w:tc>
                <w:tcPr>
                  <w:tcW w:w="963" w:type="pct"/>
                  <w:vAlign w:val="center"/>
                </w:tcPr>
                <w:p w14:paraId="288209DF">
                  <w:pPr>
                    <w:spacing w:line="320" w:lineRule="exact"/>
                    <w:jc w:val="center"/>
                    <w:rPr>
                      <w:color w:val="auto"/>
                      <w:szCs w:val="21"/>
                    </w:rPr>
                  </w:pPr>
                  <w:r>
                    <w:rPr>
                      <w:rFonts w:hint="eastAsia"/>
                      <w:color w:val="auto"/>
                      <w:szCs w:val="21"/>
                    </w:rPr>
                    <w:t>100</w:t>
                  </w:r>
                </w:p>
              </w:tc>
            </w:tr>
            <w:tr w14:paraId="7E970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0" w:type="pct"/>
                  <w:vAlign w:val="center"/>
                </w:tcPr>
                <w:p w14:paraId="72BF4C36">
                  <w:pPr>
                    <w:spacing w:line="320" w:lineRule="exact"/>
                    <w:jc w:val="center"/>
                    <w:rPr>
                      <w:rFonts w:hint="eastAsia" w:eastAsia="宋体"/>
                      <w:color w:val="auto"/>
                      <w:szCs w:val="21"/>
                      <w:lang w:eastAsia="zh-CN"/>
                    </w:rPr>
                  </w:pPr>
                  <w:r>
                    <w:rPr>
                      <w:rFonts w:hint="eastAsia"/>
                      <w:color w:val="auto"/>
                      <w:szCs w:val="21"/>
                      <w:lang w:val="en-US" w:eastAsia="zh-CN"/>
                    </w:rPr>
                    <w:t>3</w:t>
                  </w:r>
                </w:p>
              </w:tc>
              <w:tc>
                <w:tcPr>
                  <w:tcW w:w="999" w:type="pct"/>
                  <w:vAlign w:val="center"/>
                </w:tcPr>
                <w:p w14:paraId="1CD06EAB">
                  <w:pPr>
                    <w:spacing w:line="320" w:lineRule="exact"/>
                    <w:jc w:val="center"/>
                    <w:rPr>
                      <w:color w:val="auto"/>
                      <w:szCs w:val="21"/>
                    </w:rPr>
                  </w:pPr>
                  <w:r>
                    <w:rPr>
                      <w:rFonts w:hint="eastAsia"/>
                      <w:color w:val="auto"/>
                      <w:szCs w:val="21"/>
                    </w:rPr>
                    <w:t>废油桶</w:t>
                  </w:r>
                </w:p>
              </w:tc>
              <w:tc>
                <w:tcPr>
                  <w:tcW w:w="650" w:type="pct"/>
                  <w:vAlign w:val="center"/>
                </w:tcPr>
                <w:p w14:paraId="3A8A8715">
                  <w:pPr>
                    <w:spacing w:line="320" w:lineRule="exact"/>
                    <w:jc w:val="center"/>
                    <w:rPr>
                      <w:color w:val="auto"/>
                      <w:szCs w:val="21"/>
                    </w:rPr>
                  </w:pPr>
                  <w:r>
                    <w:rPr>
                      <w:rFonts w:hint="eastAsia"/>
                      <w:color w:val="auto"/>
                      <w:szCs w:val="21"/>
                    </w:rPr>
                    <w:t>固体</w:t>
                  </w:r>
                </w:p>
              </w:tc>
              <w:tc>
                <w:tcPr>
                  <w:tcW w:w="935" w:type="pct"/>
                  <w:vAlign w:val="center"/>
                </w:tcPr>
                <w:p w14:paraId="4DB560EC">
                  <w:pPr>
                    <w:spacing w:line="320" w:lineRule="exact"/>
                    <w:jc w:val="center"/>
                    <w:rPr>
                      <w:color w:val="auto"/>
                      <w:szCs w:val="21"/>
                    </w:rPr>
                  </w:pPr>
                  <w:r>
                    <w:rPr>
                      <w:rFonts w:hint="eastAsia"/>
                      <w:color w:val="auto"/>
                      <w:szCs w:val="21"/>
                    </w:rPr>
                    <w:t>密闭储存</w:t>
                  </w:r>
                </w:p>
              </w:tc>
              <w:tc>
                <w:tcPr>
                  <w:tcW w:w="951" w:type="pct"/>
                  <w:vAlign w:val="center"/>
                </w:tcPr>
                <w:p w14:paraId="499A80AB">
                  <w:pPr>
                    <w:spacing w:line="320" w:lineRule="exact"/>
                    <w:jc w:val="center"/>
                    <w:rPr>
                      <w:rFonts w:hint="default" w:eastAsia="宋体"/>
                      <w:color w:val="auto"/>
                      <w:szCs w:val="21"/>
                      <w:highlight w:val="none"/>
                      <w:lang w:val="en-US" w:eastAsia="zh-CN"/>
                    </w:rPr>
                  </w:pPr>
                  <w:r>
                    <w:rPr>
                      <w:rFonts w:hint="eastAsia"/>
                      <w:color w:val="auto"/>
                      <w:szCs w:val="21"/>
                      <w:highlight w:val="none"/>
                      <w:lang w:val="en-US" w:eastAsia="zh-CN"/>
                    </w:rPr>
                    <w:t>0.01</w:t>
                  </w:r>
                </w:p>
              </w:tc>
              <w:tc>
                <w:tcPr>
                  <w:tcW w:w="963" w:type="pct"/>
                  <w:vAlign w:val="center"/>
                </w:tcPr>
                <w:p w14:paraId="47329C4B">
                  <w:pPr>
                    <w:spacing w:line="320" w:lineRule="exact"/>
                    <w:jc w:val="center"/>
                    <w:rPr>
                      <w:color w:val="auto"/>
                      <w:szCs w:val="21"/>
                    </w:rPr>
                  </w:pPr>
                  <w:r>
                    <w:rPr>
                      <w:rFonts w:hint="eastAsia"/>
                      <w:color w:val="auto"/>
                      <w:szCs w:val="21"/>
                    </w:rPr>
                    <w:t>100</w:t>
                  </w:r>
                </w:p>
              </w:tc>
            </w:tr>
          </w:tbl>
          <w:p w14:paraId="02077BF0">
            <w:pPr>
              <w:pStyle w:val="22"/>
              <w:spacing w:after="0" w:line="500" w:lineRule="exact"/>
              <w:ind w:left="0" w:leftChars="0" w:firstLine="480"/>
              <w:rPr>
                <w:color w:val="auto"/>
                <w:sz w:val="24"/>
              </w:rPr>
            </w:pPr>
            <w:r>
              <w:rPr>
                <w:rFonts w:hint="eastAsia"/>
                <w:color w:val="auto"/>
                <w:sz w:val="24"/>
              </w:rPr>
              <w:t>以下为针对本项目风险物质制定了</w:t>
            </w:r>
            <w:r>
              <w:rPr>
                <w:color w:val="auto"/>
                <w:sz w:val="24"/>
              </w:rPr>
              <w:t>风险防范措施：</w:t>
            </w:r>
          </w:p>
          <w:p w14:paraId="4CEB6232">
            <w:pPr>
              <w:pStyle w:val="22"/>
              <w:spacing w:after="0" w:line="500" w:lineRule="exact"/>
              <w:ind w:left="0" w:leftChars="0"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color w:val="auto"/>
                <w:sz w:val="24"/>
              </w:rPr>
              <w:t>润滑油：采用专用容器储存存放于</w:t>
            </w:r>
            <w:r>
              <w:rPr>
                <w:rFonts w:hint="eastAsia"/>
                <w:color w:val="auto"/>
                <w:sz w:val="24"/>
                <w:lang w:eastAsia="zh-CN"/>
              </w:rPr>
              <w:t>厂房</w:t>
            </w:r>
            <w:r>
              <w:rPr>
                <w:color w:val="auto"/>
                <w:sz w:val="24"/>
              </w:rPr>
              <w:t>内，</w:t>
            </w:r>
            <w:r>
              <w:rPr>
                <w:rFonts w:hint="eastAsia"/>
                <w:color w:val="auto"/>
                <w:sz w:val="24"/>
              </w:rPr>
              <w:t>润滑油</w:t>
            </w:r>
            <w:r>
              <w:rPr>
                <w:color w:val="auto"/>
                <w:sz w:val="24"/>
              </w:rPr>
              <w:t>堆放</w:t>
            </w:r>
            <w:r>
              <w:rPr>
                <w:rFonts w:hint="eastAsia"/>
                <w:color w:val="auto"/>
                <w:sz w:val="24"/>
              </w:rPr>
              <w:t>区</w:t>
            </w:r>
            <w:r>
              <w:rPr>
                <w:color w:val="auto"/>
                <w:sz w:val="24"/>
              </w:rPr>
              <w:t>设置托盘，将所有桶装润滑油置于托盘内，托盘有效容积0.5m</w:t>
            </w:r>
            <w:r>
              <w:rPr>
                <w:color w:val="auto"/>
                <w:sz w:val="24"/>
                <w:vertAlign w:val="superscript"/>
              </w:rPr>
              <w:t>3</w:t>
            </w:r>
            <w:r>
              <w:rPr>
                <w:color w:val="auto"/>
                <w:sz w:val="24"/>
              </w:rPr>
              <w:t>，可容纳单个油桶全部泄露物料，禁止明火。</w:t>
            </w:r>
          </w:p>
          <w:p w14:paraId="5E0D4EBB">
            <w:pPr>
              <w:pStyle w:val="22"/>
              <w:spacing w:after="0" w:line="500" w:lineRule="exact"/>
              <w:ind w:left="0" w:leftChars="0" w:firstLine="480"/>
              <w:rPr>
                <w:color w:val="auto"/>
                <w:sz w:val="24"/>
              </w:rPr>
            </w:pPr>
            <w:r>
              <w:rPr>
                <w:rFonts w:hint="eastAsia"/>
                <w:color w:val="auto"/>
                <w:sz w:val="24"/>
              </w:rPr>
              <w:t>②</w:t>
            </w:r>
            <w:r>
              <w:rPr>
                <w:color w:val="auto"/>
                <w:sz w:val="24"/>
              </w:rPr>
              <w:t>废</w:t>
            </w:r>
            <w:r>
              <w:rPr>
                <w:rFonts w:hint="eastAsia"/>
                <w:color w:val="auto"/>
                <w:sz w:val="24"/>
              </w:rPr>
              <w:t>润滑油</w:t>
            </w:r>
            <w:r>
              <w:rPr>
                <w:color w:val="auto"/>
                <w:sz w:val="24"/>
              </w:rPr>
              <w:t>：采用专用容器储存，暂存于厂区危废暂存间内。</w:t>
            </w:r>
          </w:p>
          <w:p w14:paraId="16441502">
            <w:pPr>
              <w:adjustRightInd w:val="0"/>
              <w:snapToGrid w:val="0"/>
              <w:spacing w:line="500" w:lineRule="exact"/>
              <w:ind w:firstLine="480" w:firstLineChars="200"/>
              <w:rPr>
                <w:color w:val="auto"/>
                <w:sz w:val="24"/>
              </w:rPr>
            </w:pPr>
            <w:r>
              <w:rPr>
                <w:rFonts w:hint="eastAsia"/>
                <w:color w:val="auto"/>
                <w:sz w:val="24"/>
              </w:rPr>
              <w:t>③</w:t>
            </w:r>
            <w:r>
              <w:rPr>
                <w:color w:val="auto"/>
                <w:sz w:val="24"/>
              </w:rPr>
              <w:t>本项目根据防渗分区划分，</w:t>
            </w:r>
            <w:r>
              <w:rPr>
                <w:rFonts w:hint="eastAsia"/>
                <w:color w:val="auto"/>
                <w:sz w:val="24"/>
              </w:rPr>
              <w:t>沉淀池、</w:t>
            </w:r>
            <w:r>
              <w:rPr>
                <w:rFonts w:hint="eastAsia"/>
                <w:color w:val="auto"/>
                <w:sz w:val="24"/>
                <w:lang w:val="en-US" w:eastAsia="zh-CN"/>
              </w:rPr>
              <w:t>初期雨水收集池、</w:t>
            </w:r>
            <w:r>
              <w:rPr>
                <w:rFonts w:hint="eastAsia"/>
                <w:color w:val="auto"/>
                <w:sz w:val="24"/>
                <w:lang w:eastAsia="zh-CN"/>
              </w:rPr>
              <w:t>厂房</w:t>
            </w:r>
            <w:r>
              <w:rPr>
                <w:color w:val="auto"/>
                <w:sz w:val="24"/>
              </w:rPr>
              <w:t>属于一般防渗区，</w:t>
            </w:r>
            <w:r>
              <w:rPr>
                <w:rFonts w:hint="eastAsia"/>
                <w:color w:val="auto"/>
                <w:sz w:val="24"/>
              </w:rPr>
              <w:t>沉淀池、</w:t>
            </w:r>
            <w:r>
              <w:rPr>
                <w:rFonts w:hint="eastAsia"/>
                <w:color w:val="auto"/>
                <w:kern w:val="0"/>
                <w:sz w:val="24"/>
                <w:lang w:eastAsia="zh-CN"/>
              </w:rPr>
              <w:t>厂房</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color w:val="auto"/>
                <w:sz w:val="24"/>
              </w:rPr>
              <w:t>；危废间属于重点防渗区</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09FDCA24">
            <w:pPr>
              <w:adjustRightInd w:val="0"/>
              <w:snapToGrid w:val="0"/>
              <w:spacing w:line="500" w:lineRule="exact"/>
              <w:ind w:firstLine="480" w:firstLineChars="200"/>
              <w:rPr>
                <w:bCs/>
                <w:color w:val="auto"/>
                <w:sz w:val="24"/>
              </w:rPr>
            </w:pPr>
            <w:r>
              <w:rPr>
                <w:rFonts w:hint="eastAsia"/>
                <w:color w:val="auto"/>
                <w:sz w:val="24"/>
              </w:rPr>
              <w:t>④</w:t>
            </w:r>
            <w:r>
              <w:rPr>
                <w:color w:val="auto"/>
                <w:sz w:val="24"/>
              </w:rPr>
              <w:t>如油类物质发生火灾后，使用干粉或泡沫灭火器灭火，不会产生消防废水。灭火后，消防废物作为危废，委托有资质单位处理。</w:t>
            </w:r>
          </w:p>
          <w:p w14:paraId="0BA91BBA">
            <w:pPr>
              <w:spacing w:line="500" w:lineRule="exact"/>
              <w:rPr>
                <w:color w:val="auto"/>
              </w:rPr>
            </w:pPr>
          </w:p>
        </w:tc>
      </w:tr>
    </w:tbl>
    <w:p w14:paraId="395DB3D9">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3B3275D9">
      <w:pPr>
        <w:pStyle w:val="19"/>
        <w:jc w:val="center"/>
        <w:outlineLvl w:val="0"/>
        <w:rPr>
          <w:rFonts w:ascii="Times New Roman" w:hAnsi="Times New Roman" w:eastAsia="黑体"/>
          <w:snapToGrid w:val="0"/>
          <w:color w:val="auto"/>
          <w:sz w:val="30"/>
          <w:szCs w:val="30"/>
        </w:rPr>
      </w:pPr>
      <w:bookmarkStart w:id="20" w:name="_Toc22936"/>
      <w:bookmarkStart w:id="21" w:name="_Toc19046"/>
      <w:bookmarkStart w:id="22" w:name="_Toc27846"/>
      <w:r>
        <w:rPr>
          <w:rFonts w:ascii="Times New Roman" w:hAnsi="Times New Roman" w:eastAsia="黑体"/>
          <w:snapToGrid w:val="0"/>
          <w:color w:val="auto"/>
          <w:sz w:val="30"/>
          <w:szCs w:val="30"/>
        </w:rPr>
        <w:t>五、</w:t>
      </w:r>
      <w:bookmarkStart w:id="23" w:name="_Hlk54167917"/>
      <w:r>
        <w:rPr>
          <w:rFonts w:ascii="Times New Roman" w:hAnsi="Times New Roman" w:eastAsia="黑体"/>
          <w:snapToGrid w:val="0"/>
          <w:color w:val="auto"/>
          <w:sz w:val="30"/>
          <w:szCs w:val="30"/>
        </w:rPr>
        <w:t>环境保护措施监督检查清单</w:t>
      </w:r>
      <w:bookmarkEnd w:id="20"/>
      <w:bookmarkEnd w:id="21"/>
      <w:bookmarkEnd w:id="22"/>
      <w:bookmarkEnd w:id="23"/>
    </w:p>
    <w:tbl>
      <w:tblPr>
        <w:tblStyle w:val="23"/>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098"/>
        <w:gridCol w:w="2064"/>
        <w:gridCol w:w="4622"/>
        <w:gridCol w:w="3522"/>
      </w:tblGrid>
      <w:tr w14:paraId="0B665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0" w:type="pct"/>
            <w:tcBorders>
              <w:tl2br w:val="single" w:color="auto" w:sz="4" w:space="0"/>
            </w:tcBorders>
          </w:tcPr>
          <w:p w14:paraId="5CE099F0">
            <w:pPr>
              <w:adjustRightInd w:val="0"/>
              <w:snapToGrid w:val="0"/>
              <w:spacing w:line="500" w:lineRule="exact"/>
              <w:ind w:firstLine="720" w:firstLineChars="300"/>
              <w:rPr>
                <w:color w:val="auto"/>
                <w:sz w:val="24"/>
              </w:rPr>
            </w:pPr>
            <w:r>
              <w:rPr>
                <w:color w:val="auto"/>
                <w:sz w:val="24"/>
              </w:rPr>
              <w:t>内容</w:t>
            </w:r>
          </w:p>
          <w:p w14:paraId="472817BF">
            <w:pPr>
              <w:adjustRightInd w:val="0"/>
              <w:snapToGrid w:val="0"/>
              <w:spacing w:line="500" w:lineRule="exact"/>
              <w:rPr>
                <w:color w:val="auto"/>
                <w:sz w:val="24"/>
              </w:rPr>
            </w:pPr>
            <w:r>
              <w:rPr>
                <w:color w:val="auto"/>
                <w:sz w:val="24"/>
              </w:rPr>
              <w:t>要素</w:t>
            </w:r>
          </w:p>
        </w:tc>
        <w:tc>
          <w:tcPr>
            <w:tcW w:w="738" w:type="pct"/>
            <w:vAlign w:val="center"/>
          </w:tcPr>
          <w:p w14:paraId="2E23F0DB">
            <w:pPr>
              <w:adjustRightInd w:val="0"/>
              <w:snapToGrid w:val="0"/>
              <w:spacing w:line="500" w:lineRule="exact"/>
              <w:jc w:val="center"/>
              <w:rPr>
                <w:color w:val="auto"/>
                <w:sz w:val="24"/>
              </w:rPr>
            </w:pPr>
            <w:r>
              <w:rPr>
                <w:color w:val="auto"/>
                <w:sz w:val="24"/>
              </w:rPr>
              <w:t>排放口(编号、名称)/污染源</w:t>
            </w:r>
          </w:p>
        </w:tc>
        <w:tc>
          <w:tcPr>
            <w:tcW w:w="726" w:type="pct"/>
            <w:vAlign w:val="center"/>
          </w:tcPr>
          <w:p w14:paraId="5ABA55A7">
            <w:pPr>
              <w:adjustRightInd w:val="0"/>
              <w:snapToGrid w:val="0"/>
              <w:spacing w:line="500" w:lineRule="exact"/>
              <w:jc w:val="center"/>
              <w:rPr>
                <w:color w:val="auto"/>
                <w:sz w:val="24"/>
              </w:rPr>
            </w:pPr>
            <w:r>
              <w:rPr>
                <w:color w:val="auto"/>
                <w:sz w:val="24"/>
              </w:rPr>
              <w:t>污染物项目</w:t>
            </w:r>
          </w:p>
        </w:tc>
        <w:tc>
          <w:tcPr>
            <w:tcW w:w="1626" w:type="pct"/>
            <w:vAlign w:val="center"/>
          </w:tcPr>
          <w:p w14:paraId="506F8894">
            <w:pPr>
              <w:adjustRightInd w:val="0"/>
              <w:snapToGrid w:val="0"/>
              <w:spacing w:line="500" w:lineRule="exact"/>
              <w:jc w:val="center"/>
              <w:rPr>
                <w:color w:val="auto"/>
                <w:sz w:val="24"/>
              </w:rPr>
            </w:pPr>
            <w:r>
              <w:rPr>
                <w:color w:val="auto"/>
                <w:sz w:val="24"/>
              </w:rPr>
              <w:t>环境保护措施</w:t>
            </w:r>
          </w:p>
        </w:tc>
        <w:tc>
          <w:tcPr>
            <w:tcW w:w="1238" w:type="pct"/>
            <w:vAlign w:val="center"/>
          </w:tcPr>
          <w:p w14:paraId="3EF663EE">
            <w:pPr>
              <w:adjustRightInd w:val="0"/>
              <w:snapToGrid w:val="0"/>
              <w:spacing w:line="500" w:lineRule="exact"/>
              <w:jc w:val="center"/>
              <w:rPr>
                <w:color w:val="auto"/>
                <w:sz w:val="24"/>
              </w:rPr>
            </w:pPr>
            <w:r>
              <w:rPr>
                <w:color w:val="auto"/>
                <w:sz w:val="24"/>
              </w:rPr>
              <w:t>执行标准</w:t>
            </w:r>
          </w:p>
        </w:tc>
      </w:tr>
      <w:tr w14:paraId="35D5B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0" w:type="pct"/>
            <w:vAlign w:val="center"/>
          </w:tcPr>
          <w:p w14:paraId="75CECF5B">
            <w:pPr>
              <w:adjustRightInd w:val="0"/>
              <w:snapToGrid w:val="0"/>
              <w:spacing w:line="500" w:lineRule="exact"/>
              <w:jc w:val="center"/>
              <w:rPr>
                <w:color w:val="auto"/>
                <w:sz w:val="24"/>
              </w:rPr>
            </w:pPr>
            <w:r>
              <w:rPr>
                <w:color w:val="auto"/>
                <w:sz w:val="24"/>
              </w:rPr>
              <w:t>大气环境</w:t>
            </w:r>
          </w:p>
        </w:tc>
        <w:tc>
          <w:tcPr>
            <w:tcW w:w="738" w:type="pct"/>
            <w:vAlign w:val="center"/>
          </w:tcPr>
          <w:p w14:paraId="45419B97">
            <w:pPr>
              <w:pStyle w:val="38"/>
              <w:spacing w:line="500" w:lineRule="exact"/>
              <w:jc w:val="center"/>
              <w:rPr>
                <w:rFonts w:ascii="Times New Roman" w:hAnsi="Times New Roman"/>
                <w:color w:val="auto"/>
                <w:sz w:val="24"/>
                <w:szCs w:val="24"/>
              </w:rPr>
            </w:pPr>
            <w:r>
              <w:rPr>
                <w:rFonts w:hint="eastAsia" w:ascii="Times New Roman" w:hAnsi="Times New Roman"/>
                <w:color w:val="auto"/>
                <w:sz w:val="24"/>
                <w:szCs w:val="24"/>
              </w:rPr>
              <w:t>厂界</w:t>
            </w:r>
            <w:r>
              <w:rPr>
                <w:rFonts w:ascii="Times New Roman" w:hAnsi="Times New Roman"/>
                <w:color w:val="auto"/>
                <w:sz w:val="24"/>
                <w:szCs w:val="24"/>
              </w:rPr>
              <w:t>无组织</w:t>
            </w:r>
          </w:p>
        </w:tc>
        <w:tc>
          <w:tcPr>
            <w:tcW w:w="726" w:type="pct"/>
            <w:vAlign w:val="center"/>
          </w:tcPr>
          <w:p w14:paraId="249E2B10">
            <w:pPr>
              <w:pStyle w:val="37"/>
              <w:widowControl/>
              <w:spacing w:line="500" w:lineRule="exact"/>
              <w:jc w:val="center"/>
              <w:rPr>
                <w:rFonts w:ascii="Times New Roman" w:hAnsi="Times New Roman"/>
                <w:color w:val="auto"/>
                <w:sz w:val="24"/>
                <w:szCs w:val="24"/>
              </w:rPr>
            </w:pPr>
            <w:r>
              <w:rPr>
                <w:rFonts w:ascii="Times New Roman" w:hAnsi="Times New Roman"/>
                <w:color w:val="auto"/>
                <w:sz w:val="24"/>
                <w:szCs w:val="24"/>
              </w:rPr>
              <w:t>颗粒物</w:t>
            </w:r>
          </w:p>
        </w:tc>
        <w:tc>
          <w:tcPr>
            <w:tcW w:w="1626" w:type="pct"/>
            <w:vAlign w:val="center"/>
          </w:tcPr>
          <w:p w14:paraId="1D60E287">
            <w:pPr>
              <w:adjustRightInd w:val="0"/>
              <w:snapToGrid w:val="0"/>
              <w:spacing w:line="500" w:lineRule="exact"/>
              <w:jc w:val="center"/>
              <w:rPr>
                <w:color w:val="auto"/>
                <w:sz w:val="24"/>
              </w:rPr>
            </w:pPr>
            <w:r>
              <w:rPr>
                <w:rFonts w:hint="eastAsia"/>
                <w:color w:val="auto"/>
                <w:sz w:val="24"/>
                <w:lang w:eastAsia="zh-CN"/>
              </w:rPr>
              <w:t>厂房</w:t>
            </w:r>
            <w:r>
              <w:rPr>
                <w:rFonts w:hint="eastAsia"/>
                <w:color w:val="auto"/>
                <w:sz w:val="24"/>
                <w:lang w:val="en-US" w:eastAsia="zh-CN"/>
              </w:rPr>
              <w:t>密闭，</w:t>
            </w:r>
            <w:r>
              <w:rPr>
                <w:rFonts w:hint="eastAsia"/>
                <w:color w:val="auto"/>
                <w:sz w:val="24"/>
              </w:rPr>
              <w:t>顶部设置喷淋抑尘装置（带有电伴热），可覆盖整个堆存区域，车间设置感应门；厂区门口配置洗车平台，对进出场车辆进行冲洗</w:t>
            </w:r>
          </w:p>
        </w:tc>
        <w:tc>
          <w:tcPr>
            <w:tcW w:w="1238" w:type="pct"/>
            <w:vAlign w:val="center"/>
          </w:tcPr>
          <w:p w14:paraId="490D0799">
            <w:pPr>
              <w:spacing w:line="500" w:lineRule="exact"/>
              <w:jc w:val="center"/>
              <w:rPr>
                <w:color w:val="auto"/>
                <w:sz w:val="24"/>
              </w:rPr>
            </w:pPr>
            <w:r>
              <w:rPr>
                <w:snapToGrid w:val="0"/>
                <w:color w:val="auto"/>
                <w:kern w:val="0"/>
                <w:sz w:val="24"/>
              </w:rPr>
              <w:t>《</w:t>
            </w:r>
            <w:r>
              <w:rPr>
                <w:color w:val="auto"/>
                <w:sz w:val="24"/>
                <w:szCs w:val="24"/>
              </w:rPr>
              <w:t>煤炭工业污染物排放标准》（GB20426-2006）中表5煤炭工业无组织排放限值</w:t>
            </w:r>
          </w:p>
        </w:tc>
      </w:tr>
      <w:tr w14:paraId="35481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0" w:type="pct"/>
            <w:vMerge w:val="restart"/>
            <w:vAlign w:val="center"/>
          </w:tcPr>
          <w:p w14:paraId="57DE71F4">
            <w:pPr>
              <w:adjustRightInd w:val="0"/>
              <w:snapToGrid w:val="0"/>
              <w:spacing w:line="500" w:lineRule="exact"/>
              <w:jc w:val="center"/>
              <w:rPr>
                <w:color w:val="auto"/>
                <w:sz w:val="24"/>
              </w:rPr>
            </w:pPr>
            <w:r>
              <w:rPr>
                <w:rFonts w:hint="eastAsia"/>
                <w:color w:val="auto"/>
                <w:sz w:val="24"/>
              </w:rPr>
              <w:t>水环境</w:t>
            </w:r>
          </w:p>
        </w:tc>
        <w:tc>
          <w:tcPr>
            <w:tcW w:w="738" w:type="pct"/>
            <w:vAlign w:val="center"/>
          </w:tcPr>
          <w:p w14:paraId="53955727">
            <w:pPr>
              <w:pStyle w:val="41"/>
              <w:spacing w:line="500" w:lineRule="exact"/>
              <w:rPr>
                <w:rFonts w:cs="Times New Roman"/>
                <w:bCs w:val="0"/>
                <w:color w:val="auto"/>
                <w:sz w:val="24"/>
              </w:rPr>
            </w:pPr>
            <w:r>
              <w:rPr>
                <w:rFonts w:hint="eastAsia" w:cs="Times New Roman"/>
                <w:bCs w:val="0"/>
                <w:color w:val="auto"/>
                <w:sz w:val="24"/>
              </w:rPr>
              <w:t>车辆冲洗废水</w:t>
            </w:r>
          </w:p>
        </w:tc>
        <w:tc>
          <w:tcPr>
            <w:tcW w:w="726" w:type="pct"/>
            <w:vAlign w:val="center"/>
          </w:tcPr>
          <w:p w14:paraId="1BA74C10">
            <w:pPr>
              <w:pStyle w:val="41"/>
              <w:spacing w:line="500" w:lineRule="exact"/>
              <w:rPr>
                <w:rFonts w:cs="Times New Roman"/>
                <w:color w:val="auto"/>
                <w:kern w:val="0"/>
                <w:sz w:val="24"/>
              </w:rPr>
            </w:pPr>
            <w:r>
              <w:rPr>
                <w:rFonts w:hint="eastAsia" w:cs="Times New Roman"/>
                <w:color w:val="auto"/>
                <w:kern w:val="0"/>
                <w:sz w:val="24"/>
              </w:rPr>
              <w:t>SS</w:t>
            </w:r>
          </w:p>
        </w:tc>
        <w:tc>
          <w:tcPr>
            <w:tcW w:w="1626" w:type="pct"/>
            <w:vAlign w:val="center"/>
          </w:tcPr>
          <w:p w14:paraId="47981FD7">
            <w:pPr>
              <w:adjustRightInd w:val="0"/>
              <w:snapToGrid w:val="0"/>
              <w:spacing w:line="500" w:lineRule="exact"/>
              <w:jc w:val="center"/>
              <w:rPr>
                <w:color w:val="auto"/>
                <w:sz w:val="24"/>
              </w:rPr>
            </w:pPr>
            <w:r>
              <w:rPr>
                <w:rFonts w:hint="eastAsia"/>
                <w:color w:val="auto"/>
                <w:sz w:val="24"/>
              </w:rPr>
              <w:t>经沉淀池沉淀后回用于洗车</w:t>
            </w:r>
          </w:p>
        </w:tc>
        <w:tc>
          <w:tcPr>
            <w:tcW w:w="1238" w:type="pct"/>
            <w:vAlign w:val="center"/>
          </w:tcPr>
          <w:p w14:paraId="7C2968DD">
            <w:pPr>
              <w:adjustRightInd w:val="0"/>
              <w:snapToGrid w:val="0"/>
              <w:spacing w:line="500" w:lineRule="exact"/>
              <w:jc w:val="center"/>
              <w:rPr>
                <w:color w:val="auto"/>
                <w:kern w:val="0"/>
                <w:sz w:val="24"/>
              </w:rPr>
            </w:pPr>
            <w:r>
              <w:rPr>
                <w:rFonts w:hint="eastAsia"/>
                <w:color w:val="auto"/>
                <w:kern w:val="0"/>
                <w:sz w:val="24"/>
              </w:rPr>
              <w:t>/</w:t>
            </w:r>
          </w:p>
        </w:tc>
      </w:tr>
      <w:tr w14:paraId="39ABC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70" w:type="pct"/>
            <w:vMerge w:val="continue"/>
            <w:vAlign w:val="center"/>
          </w:tcPr>
          <w:p w14:paraId="3A963F30">
            <w:pPr>
              <w:adjustRightInd w:val="0"/>
              <w:snapToGrid w:val="0"/>
              <w:spacing w:line="500" w:lineRule="exact"/>
              <w:jc w:val="center"/>
              <w:rPr>
                <w:color w:val="auto"/>
                <w:sz w:val="24"/>
              </w:rPr>
            </w:pPr>
          </w:p>
        </w:tc>
        <w:tc>
          <w:tcPr>
            <w:tcW w:w="738" w:type="pct"/>
            <w:vAlign w:val="center"/>
          </w:tcPr>
          <w:p w14:paraId="034D9FA8">
            <w:pPr>
              <w:pStyle w:val="41"/>
              <w:spacing w:line="500" w:lineRule="exact"/>
              <w:jc w:val="center"/>
              <w:rPr>
                <w:color w:val="auto"/>
                <w:sz w:val="24"/>
              </w:rPr>
            </w:pPr>
            <w:r>
              <w:rPr>
                <w:rFonts w:cs="Times New Roman"/>
                <w:bCs w:val="0"/>
                <w:color w:val="auto"/>
                <w:sz w:val="24"/>
              </w:rPr>
              <w:t>职工盥洗</w:t>
            </w:r>
            <w:r>
              <w:rPr>
                <w:rFonts w:hint="eastAsia" w:cs="Times New Roman"/>
                <w:bCs w:val="0"/>
                <w:color w:val="auto"/>
                <w:sz w:val="24"/>
              </w:rPr>
              <w:t>及冲厕</w:t>
            </w:r>
            <w:r>
              <w:rPr>
                <w:rFonts w:cs="Times New Roman"/>
                <w:bCs w:val="0"/>
                <w:color w:val="auto"/>
                <w:sz w:val="24"/>
              </w:rPr>
              <w:t>废水</w:t>
            </w:r>
          </w:p>
        </w:tc>
        <w:tc>
          <w:tcPr>
            <w:tcW w:w="726" w:type="pct"/>
            <w:vAlign w:val="center"/>
          </w:tcPr>
          <w:p w14:paraId="50E7C81A">
            <w:pPr>
              <w:pStyle w:val="8"/>
              <w:spacing w:line="500" w:lineRule="exact"/>
              <w:jc w:val="center"/>
              <w:rPr>
                <w:bCs/>
                <w:color w:val="auto"/>
                <w:kern w:val="2"/>
              </w:rPr>
            </w:pPr>
            <w:r>
              <w:rPr>
                <w:color w:val="auto"/>
              </w:rPr>
              <w:t>COD、SS</w:t>
            </w:r>
            <w:r>
              <w:rPr>
                <w:rFonts w:hint="eastAsia"/>
                <w:color w:val="auto"/>
              </w:rPr>
              <w:t>、BOD、氨氮</w:t>
            </w:r>
          </w:p>
        </w:tc>
        <w:tc>
          <w:tcPr>
            <w:tcW w:w="1626" w:type="pct"/>
            <w:vAlign w:val="center"/>
          </w:tcPr>
          <w:p w14:paraId="41ABAA50">
            <w:pPr>
              <w:adjustRightInd w:val="0"/>
              <w:snapToGrid w:val="0"/>
              <w:spacing w:line="500" w:lineRule="exact"/>
              <w:jc w:val="center"/>
              <w:rPr>
                <w:rFonts w:hint="default" w:eastAsia="宋体"/>
                <w:color w:val="auto"/>
                <w:sz w:val="24"/>
                <w:lang w:val="en-US" w:eastAsia="zh-CN"/>
              </w:rPr>
            </w:pPr>
            <w:r>
              <w:rPr>
                <w:rFonts w:hint="eastAsia"/>
                <w:color w:val="auto"/>
                <w:sz w:val="24"/>
                <w:lang w:val="en-US" w:eastAsia="zh-CN"/>
              </w:rPr>
              <w:t>排入园区污水管网，进入园区污水处理厂处理</w:t>
            </w:r>
          </w:p>
        </w:tc>
        <w:tc>
          <w:tcPr>
            <w:tcW w:w="1238" w:type="pct"/>
            <w:vAlign w:val="center"/>
          </w:tcPr>
          <w:p w14:paraId="3F0B400F">
            <w:pPr>
              <w:adjustRightInd w:val="0"/>
              <w:snapToGrid w:val="0"/>
              <w:spacing w:line="500" w:lineRule="exact"/>
              <w:jc w:val="center"/>
              <w:rPr>
                <w:color w:val="auto"/>
                <w:sz w:val="24"/>
              </w:rPr>
            </w:pPr>
            <w:r>
              <w:rPr>
                <w:rFonts w:hint="eastAsia"/>
                <w:color w:val="auto"/>
                <w:kern w:val="0"/>
                <w:sz w:val="24"/>
              </w:rPr>
              <w:t>/</w:t>
            </w:r>
          </w:p>
        </w:tc>
      </w:tr>
      <w:tr w14:paraId="1973B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70" w:type="pct"/>
            <w:vMerge w:val="continue"/>
            <w:vAlign w:val="center"/>
          </w:tcPr>
          <w:p w14:paraId="66E733C9">
            <w:pPr>
              <w:adjustRightInd w:val="0"/>
              <w:snapToGrid w:val="0"/>
              <w:spacing w:line="500" w:lineRule="exact"/>
              <w:jc w:val="center"/>
              <w:rPr>
                <w:color w:val="auto"/>
                <w:sz w:val="24"/>
              </w:rPr>
            </w:pPr>
          </w:p>
        </w:tc>
        <w:tc>
          <w:tcPr>
            <w:tcW w:w="738" w:type="pct"/>
            <w:vAlign w:val="center"/>
          </w:tcPr>
          <w:p w14:paraId="4EF40747">
            <w:pPr>
              <w:pStyle w:val="41"/>
              <w:spacing w:line="500" w:lineRule="exact"/>
              <w:rPr>
                <w:rFonts w:hint="eastAsia" w:eastAsia="宋体" w:cs="Times New Roman"/>
                <w:bCs w:val="0"/>
                <w:color w:val="auto"/>
                <w:sz w:val="24"/>
                <w:lang w:val="en-US" w:eastAsia="zh-CN"/>
              </w:rPr>
            </w:pPr>
            <w:r>
              <w:rPr>
                <w:rFonts w:hint="eastAsia" w:cs="Times New Roman"/>
                <w:bCs w:val="0"/>
                <w:color w:val="auto"/>
                <w:sz w:val="24"/>
                <w:lang w:val="en-US" w:eastAsia="zh-CN"/>
              </w:rPr>
              <w:t>初期雨水</w:t>
            </w:r>
          </w:p>
        </w:tc>
        <w:tc>
          <w:tcPr>
            <w:tcW w:w="726" w:type="pct"/>
            <w:vAlign w:val="center"/>
          </w:tcPr>
          <w:p w14:paraId="3460A8FF">
            <w:pPr>
              <w:pStyle w:val="8"/>
              <w:spacing w:line="500" w:lineRule="exact"/>
              <w:jc w:val="center"/>
              <w:rPr>
                <w:rFonts w:hint="default" w:eastAsia="宋体"/>
                <w:color w:val="auto"/>
                <w:lang w:val="en-US" w:eastAsia="zh-CN"/>
              </w:rPr>
            </w:pPr>
            <w:r>
              <w:rPr>
                <w:rFonts w:hint="eastAsia"/>
                <w:color w:val="auto"/>
                <w:lang w:val="en-US" w:eastAsia="zh-CN"/>
              </w:rPr>
              <w:t>SS</w:t>
            </w:r>
          </w:p>
        </w:tc>
        <w:tc>
          <w:tcPr>
            <w:tcW w:w="1626" w:type="pct"/>
            <w:vAlign w:val="center"/>
          </w:tcPr>
          <w:p w14:paraId="1BFFA2AA">
            <w:pPr>
              <w:adjustRightInd w:val="0"/>
              <w:snapToGrid w:val="0"/>
              <w:spacing w:line="500" w:lineRule="exact"/>
              <w:jc w:val="center"/>
              <w:rPr>
                <w:rFonts w:hint="eastAsia"/>
                <w:color w:val="auto"/>
                <w:sz w:val="24"/>
              </w:rPr>
            </w:pPr>
            <w:r>
              <w:rPr>
                <w:rFonts w:hint="eastAsia"/>
                <w:color w:val="auto"/>
                <w:sz w:val="24"/>
                <w:lang w:val="en-US" w:eastAsia="zh-CN"/>
              </w:rPr>
              <w:t>初期</w:t>
            </w:r>
            <w:r>
              <w:rPr>
                <w:rFonts w:hint="eastAsia"/>
                <w:color w:val="auto"/>
                <w:sz w:val="24"/>
              </w:rPr>
              <w:t>雨水经初期雨水收集池沉淀处理后回用于厂区地面及运输道路清扫降尘用水</w:t>
            </w:r>
          </w:p>
        </w:tc>
        <w:tc>
          <w:tcPr>
            <w:tcW w:w="1238" w:type="pct"/>
            <w:vAlign w:val="center"/>
          </w:tcPr>
          <w:p w14:paraId="7DF66A29">
            <w:pPr>
              <w:adjustRightInd w:val="0"/>
              <w:snapToGrid w:val="0"/>
              <w:spacing w:line="500" w:lineRule="exact"/>
              <w:jc w:val="center"/>
              <w:rPr>
                <w:rFonts w:hint="eastAsia" w:eastAsia="宋体"/>
                <w:color w:val="auto"/>
                <w:kern w:val="0"/>
                <w:sz w:val="24"/>
                <w:lang w:val="en-US" w:eastAsia="zh-CN"/>
              </w:rPr>
            </w:pPr>
            <w:r>
              <w:rPr>
                <w:rFonts w:hint="eastAsia"/>
                <w:color w:val="auto"/>
                <w:kern w:val="0"/>
                <w:sz w:val="24"/>
                <w:lang w:val="en-US" w:eastAsia="zh-CN"/>
              </w:rPr>
              <w:t>/</w:t>
            </w:r>
          </w:p>
        </w:tc>
      </w:tr>
      <w:tr w14:paraId="0CED6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70" w:type="pct"/>
            <w:vAlign w:val="center"/>
          </w:tcPr>
          <w:p w14:paraId="5B9D36B7">
            <w:pPr>
              <w:adjustRightInd w:val="0"/>
              <w:snapToGrid w:val="0"/>
              <w:spacing w:line="500" w:lineRule="exact"/>
              <w:jc w:val="center"/>
              <w:rPr>
                <w:color w:val="auto"/>
                <w:sz w:val="24"/>
              </w:rPr>
            </w:pPr>
            <w:r>
              <w:rPr>
                <w:color w:val="auto"/>
                <w:sz w:val="24"/>
              </w:rPr>
              <w:t>声环境</w:t>
            </w:r>
          </w:p>
        </w:tc>
        <w:tc>
          <w:tcPr>
            <w:tcW w:w="738" w:type="pct"/>
            <w:vAlign w:val="center"/>
          </w:tcPr>
          <w:p w14:paraId="5B430F9A">
            <w:pPr>
              <w:adjustRightInd w:val="0"/>
              <w:snapToGrid w:val="0"/>
              <w:spacing w:line="500" w:lineRule="exact"/>
              <w:jc w:val="center"/>
              <w:rPr>
                <w:color w:val="auto"/>
                <w:sz w:val="24"/>
              </w:rPr>
            </w:pPr>
            <w:r>
              <w:rPr>
                <w:color w:val="auto"/>
                <w:sz w:val="24"/>
              </w:rPr>
              <w:t>生产设备</w:t>
            </w:r>
          </w:p>
        </w:tc>
        <w:tc>
          <w:tcPr>
            <w:tcW w:w="726" w:type="pct"/>
            <w:vAlign w:val="center"/>
          </w:tcPr>
          <w:p w14:paraId="6E644BF7">
            <w:pPr>
              <w:adjustRightInd w:val="0"/>
              <w:snapToGrid w:val="0"/>
              <w:spacing w:line="500" w:lineRule="exact"/>
              <w:jc w:val="center"/>
              <w:rPr>
                <w:color w:val="auto"/>
                <w:sz w:val="24"/>
              </w:rPr>
            </w:pPr>
            <w:r>
              <w:rPr>
                <w:color w:val="auto"/>
                <w:sz w:val="24"/>
              </w:rPr>
              <w:t>连续等效A声级</w:t>
            </w:r>
          </w:p>
        </w:tc>
        <w:tc>
          <w:tcPr>
            <w:tcW w:w="1626" w:type="pct"/>
            <w:vAlign w:val="center"/>
          </w:tcPr>
          <w:p w14:paraId="23DD8631">
            <w:pPr>
              <w:adjustRightInd w:val="0"/>
              <w:snapToGrid w:val="0"/>
              <w:spacing w:line="500" w:lineRule="exact"/>
              <w:jc w:val="center"/>
              <w:rPr>
                <w:color w:val="auto"/>
                <w:sz w:val="24"/>
              </w:rPr>
            </w:pPr>
            <w:r>
              <w:rPr>
                <w:rFonts w:hint="eastAsia"/>
                <w:color w:val="auto"/>
                <w:sz w:val="24"/>
              </w:rPr>
              <w:t>选用低声设备</w:t>
            </w:r>
            <w:r>
              <w:rPr>
                <w:color w:val="auto"/>
                <w:sz w:val="24"/>
              </w:rPr>
              <w:t>，</w:t>
            </w:r>
            <w:r>
              <w:rPr>
                <w:rFonts w:hint="eastAsia"/>
                <w:color w:val="auto"/>
                <w:sz w:val="24"/>
              </w:rPr>
              <w:t>基础减震，</w:t>
            </w:r>
            <w:r>
              <w:rPr>
                <w:color w:val="auto"/>
                <w:sz w:val="24"/>
              </w:rPr>
              <w:t>置于封闭的厂房内</w:t>
            </w:r>
            <w:r>
              <w:rPr>
                <w:rFonts w:hint="eastAsia"/>
                <w:color w:val="auto"/>
                <w:sz w:val="24"/>
              </w:rPr>
              <w:t>，车辆平稳起步并禁止鸣笛</w:t>
            </w:r>
          </w:p>
        </w:tc>
        <w:tc>
          <w:tcPr>
            <w:tcW w:w="1238" w:type="pct"/>
            <w:vAlign w:val="center"/>
          </w:tcPr>
          <w:p w14:paraId="36EE9883">
            <w:pPr>
              <w:adjustRightInd w:val="0"/>
              <w:snapToGrid w:val="0"/>
              <w:spacing w:line="500" w:lineRule="exact"/>
              <w:jc w:val="center"/>
              <w:rPr>
                <w:color w:val="auto"/>
                <w:sz w:val="24"/>
              </w:rPr>
            </w:pPr>
            <w:r>
              <w:rPr>
                <w:color w:val="auto"/>
                <w:sz w:val="24"/>
              </w:rPr>
              <w:t>《工业企业厂界环境噪声排放标准》（GB12348-2008）</w:t>
            </w:r>
            <w:r>
              <w:rPr>
                <w:rFonts w:hint="eastAsia"/>
                <w:color w:val="auto"/>
                <w:sz w:val="24"/>
                <w:lang w:val="en-US" w:eastAsia="zh-CN"/>
              </w:rPr>
              <w:t>3、4</w:t>
            </w:r>
            <w:r>
              <w:rPr>
                <w:color w:val="auto"/>
                <w:sz w:val="24"/>
              </w:rPr>
              <w:t>类标准限值要求</w:t>
            </w:r>
          </w:p>
        </w:tc>
      </w:tr>
      <w:tr w14:paraId="1A3D9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0" w:type="pct"/>
            <w:vAlign w:val="center"/>
          </w:tcPr>
          <w:p w14:paraId="32EA9B99">
            <w:pPr>
              <w:adjustRightInd w:val="0"/>
              <w:snapToGrid w:val="0"/>
              <w:spacing w:line="500" w:lineRule="exact"/>
              <w:jc w:val="center"/>
              <w:rPr>
                <w:color w:val="auto"/>
                <w:sz w:val="24"/>
              </w:rPr>
            </w:pPr>
            <w:r>
              <w:rPr>
                <w:color w:val="auto"/>
                <w:sz w:val="24"/>
              </w:rPr>
              <w:t>电磁辐射</w:t>
            </w:r>
          </w:p>
        </w:tc>
        <w:tc>
          <w:tcPr>
            <w:tcW w:w="4329" w:type="pct"/>
            <w:gridSpan w:val="4"/>
            <w:vAlign w:val="center"/>
          </w:tcPr>
          <w:p w14:paraId="59BE9F50">
            <w:pPr>
              <w:adjustRightInd w:val="0"/>
              <w:snapToGrid w:val="0"/>
              <w:spacing w:line="500" w:lineRule="exact"/>
              <w:jc w:val="center"/>
              <w:rPr>
                <w:color w:val="auto"/>
                <w:sz w:val="24"/>
              </w:rPr>
            </w:pPr>
            <w:r>
              <w:rPr>
                <w:color w:val="auto"/>
                <w:sz w:val="24"/>
              </w:rPr>
              <w:t>/</w:t>
            </w:r>
          </w:p>
        </w:tc>
      </w:tr>
      <w:tr w14:paraId="14925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70" w:type="pct"/>
            <w:vAlign w:val="center"/>
          </w:tcPr>
          <w:p w14:paraId="4354A9C4">
            <w:pPr>
              <w:adjustRightInd w:val="0"/>
              <w:snapToGrid w:val="0"/>
              <w:spacing w:line="500" w:lineRule="exact"/>
              <w:jc w:val="center"/>
              <w:rPr>
                <w:color w:val="auto"/>
                <w:sz w:val="24"/>
              </w:rPr>
            </w:pPr>
            <w:r>
              <w:rPr>
                <w:color w:val="auto"/>
                <w:sz w:val="24"/>
              </w:rPr>
              <w:t>固体废物</w:t>
            </w:r>
          </w:p>
        </w:tc>
        <w:tc>
          <w:tcPr>
            <w:tcW w:w="4329" w:type="pct"/>
            <w:gridSpan w:val="4"/>
            <w:vAlign w:val="center"/>
          </w:tcPr>
          <w:p w14:paraId="7E8DB79E">
            <w:pPr>
              <w:pStyle w:val="11"/>
              <w:spacing w:line="500" w:lineRule="exact"/>
              <w:ind w:firstLine="480" w:firstLineChars="200"/>
              <w:rPr>
                <w:color w:val="auto"/>
                <w:sz w:val="24"/>
              </w:rPr>
            </w:pPr>
            <w:r>
              <w:rPr>
                <w:rFonts w:hint="eastAsia"/>
                <w:color w:val="auto"/>
                <w:sz w:val="24"/>
              </w:rPr>
              <w:t>一般固废主要为洗车平台产生的煤泥，定期清理掺入原煤中外售；职工生活垃圾交由环卫部门处置。</w:t>
            </w:r>
          </w:p>
          <w:p w14:paraId="18478472">
            <w:pPr>
              <w:pStyle w:val="11"/>
              <w:spacing w:line="500" w:lineRule="exact"/>
              <w:ind w:firstLine="480" w:firstLineChars="200"/>
              <w:rPr>
                <w:bCs/>
                <w:color w:val="auto"/>
                <w:sz w:val="24"/>
              </w:rPr>
            </w:pPr>
            <w:r>
              <w:rPr>
                <w:rFonts w:hint="eastAsia"/>
                <w:color w:val="auto"/>
                <w:sz w:val="24"/>
              </w:rPr>
              <w:t>危险废物主要为</w:t>
            </w:r>
            <w:r>
              <w:rPr>
                <w:color w:val="auto"/>
                <w:sz w:val="24"/>
              </w:rPr>
              <w:t>废</w:t>
            </w:r>
            <w:r>
              <w:rPr>
                <w:rFonts w:hint="eastAsia"/>
                <w:color w:val="auto"/>
                <w:sz w:val="24"/>
              </w:rPr>
              <w:t>润滑</w:t>
            </w:r>
            <w:r>
              <w:rPr>
                <w:color w:val="auto"/>
                <w:sz w:val="24"/>
              </w:rPr>
              <w:t>油</w:t>
            </w:r>
            <w:r>
              <w:rPr>
                <w:rFonts w:hint="eastAsia"/>
                <w:color w:val="auto"/>
                <w:sz w:val="24"/>
              </w:rPr>
              <w:t>和</w:t>
            </w:r>
            <w:r>
              <w:rPr>
                <w:color w:val="auto"/>
                <w:sz w:val="24"/>
              </w:rPr>
              <w:t>废油桶</w:t>
            </w:r>
            <w:r>
              <w:rPr>
                <w:rFonts w:hint="eastAsia"/>
                <w:color w:val="auto"/>
                <w:sz w:val="24"/>
              </w:rPr>
              <w:t>，收集后暂存于危废间，定期交有资质单位处理。</w:t>
            </w:r>
          </w:p>
        </w:tc>
      </w:tr>
      <w:tr w14:paraId="77115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pct"/>
            <w:vAlign w:val="center"/>
          </w:tcPr>
          <w:p w14:paraId="37DC283C">
            <w:pPr>
              <w:adjustRightInd w:val="0"/>
              <w:snapToGrid w:val="0"/>
              <w:spacing w:line="500" w:lineRule="exact"/>
              <w:jc w:val="center"/>
              <w:rPr>
                <w:color w:val="auto"/>
                <w:sz w:val="24"/>
              </w:rPr>
            </w:pPr>
            <w:r>
              <w:rPr>
                <w:color w:val="auto"/>
                <w:sz w:val="24"/>
              </w:rPr>
              <w:t>土壤及地下水</w:t>
            </w:r>
          </w:p>
          <w:p w14:paraId="4DC67004">
            <w:pPr>
              <w:adjustRightInd w:val="0"/>
              <w:snapToGrid w:val="0"/>
              <w:spacing w:line="500" w:lineRule="exact"/>
              <w:jc w:val="center"/>
              <w:rPr>
                <w:color w:val="auto"/>
                <w:sz w:val="24"/>
              </w:rPr>
            </w:pPr>
            <w:r>
              <w:rPr>
                <w:color w:val="auto"/>
                <w:sz w:val="24"/>
              </w:rPr>
              <w:t>污染防治措施</w:t>
            </w:r>
          </w:p>
        </w:tc>
        <w:tc>
          <w:tcPr>
            <w:tcW w:w="4329" w:type="pct"/>
            <w:gridSpan w:val="4"/>
            <w:vAlign w:val="center"/>
          </w:tcPr>
          <w:p w14:paraId="76934953">
            <w:pPr>
              <w:autoSpaceDE w:val="0"/>
              <w:autoSpaceDN w:val="0"/>
              <w:adjustRightInd w:val="0"/>
              <w:spacing w:line="500" w:lineRule="exact"/>
              <w:ind w:firstLine="480" w:firstLineChars="200"/>
              <w:rPr>
                <w:color w:val="auto"/>
                <w:sz w:val="24"/>
              </w:rPr>
            </w:pPr>
            <w:r>
              <w:rPr>
                <w:color w:val="auto"/>
                <w:sz w:val="24"/>
              </w:rPr>
              <w:t>（1）重点防渗区</w:t>
            </w:r>
          </w:p>
          <w:p w14:paraId="7CC3053E">
            <w:pPr>
              <w:adjustRightInd w:val="0"/>
              <w:snapToGrid w:val="0"/>
              <w:spacing w:line="500" w:lineRule="exact"/>
              <w:ind w:firstLine="480" w:firstLineChars="200"/>
              <w:rPr>
                <w:color w:val="auto"/>
                <w:kern w:val="0"/>
                <w:sz w:val="24"/>
              </w:rPr>
            </w:pPr>
            <w:r>
              <w:rPr>
                <w:color w:val="auto"/>
                <w:sz w:val="24"/>
              </w:rPr>
              <w:t>危废间：按照《危险废物贮存污染控制标准》的相关要求进行防腐防渗，</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1843F9E3">
            <w:pPr>
              <w:spacing w:line="500" w:lineRule="exact"/>
              <w:ind w:firstLine="480" w:firstLineChars="200"/>
              <w:rPr>
                <w:color w:val="auto"/>
                <w:kern w:val="0"/>
                <w:sz w:val="24"/>
              </w:rPr>
            </w:pPr>
            <w:r>
              <w:rPr>
                <w:color w:val="auto"/>
                <w:kern w:val="0"/>
                <w:sz w:val="24"/>
              </w:rPr>
              <w:t>（2）一般防渗区</w:t>
            </w:r>
          </w:p>
          <w:p w14:paraId="1831399B">
            <w:pPr>
              <w:spacing w:line="500" w:lineRule="exact"/>
              <w:ind w:firstLine="480" w:firstLineChars="200"/>
              <w:rPr>
                <w:bCs/>
                <w:color w:val="auto"/>
                <w:sz w:val="24"/>
              </w:rPr>
            </w:pPr>
            <w:r>
              <w:rPr>
                <w:rFonts w:hint="eastAsia"/>
                <w:color w:val="auto"/>
                <w:kern w:val="0"/>
                <w:sz w:val="24"/>
                <w:lang w:val="en-US" w:eastAsia="zh-CN"/>
              </w:rPr>
              <w:t>初期雨水收集池、</w:t>
            </w:r>
            <w:r>
              <w:rPr>
                <w:rFonts w:hint="eastAsia"/>
                <w:color w:val="auto"/>
                <w:kern w:val="0"/>
                <w:sz w:val="24"/>
              </w:rPr>
              <w:t>沉淀池、</w:t>
            </w:r>
            <w:r>
              <w:rPr>
                <w:rFonts w:hint="eastAsia"/>
                <w:color w:val="auto"/>
                <w:kern w:val="0"/>
                <w:sz w:val="24"/>
                <w:lang w:eastAsia="zh-CN"/>
              </w:rPr>
              <w:t>厂房</w:t>
            </w:r>
            <w:r>
              <w:rPr>
                <w:rFonts w:hint="eastAsia"/>
                <w:color w:val="auto"/>
                <w:kern w:val="0"/>
                <w:sz w:val="24"/>
              </w:rPr>
              <w:t>地面：</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p>
        </w:tc>
      </w:tr>
      <w:tr w14:paraId="71468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0" w:type="pct"/>
            <w:vAlign w:val="center"/>
          </w:tcPr>
          <w:p w14:paraId="3FB29649">
            <w:pPr>
              <w:adjustRightInd w:val="0"/>
              <w:snapToGrid w:val="0"/>
              <w:spacing w:line="500" w:lineRule="exact"/>
              <w:jc w:val="center"/>
              <w:rPr>
                <w:color w:val="auto"/>
                <w:sz w:val="24"/>
              </w:rPr>
            </w:pPr>
            <w:r>
              <w:rPr>
                <w:color w:val="auto"/>
                <w:sz w:val="24"/>
              </w:rPr>
              <w:t>生态保护措施</w:t>
            </w:r>
          </w:p>
        </w:tc>
        <w:tc>
          <w:tcPr>
            <w:tcW w:w="4329" w:type="pct"/>
            <w:gridSpan w:val="4"/>
            <w:vAlign w:val="center"/>
          </w:tcPr>
          <w:p w14:paraId="3CC54795">
            <w:pPr>
              <w:pStyle w:val="11"/>
              <w:spacing w:line="500" w:lineRule="exact"/>
              <w:jc w:val="center"/>
              <w:rPr>
                <w:bCs/>
                <w:color w:val="auto"/>
                <w:sz w:val="24"/>
              </w:rPr>
            </w:pPr>
            <w:r>
              <w:rPr>
                <w:rFonts w:hint="eastAsia"/>
                <w:bCs/>
                <w:color w:val="auto"/>
                <w:sz w:val="24"/>
              </w:rPr>
              <w:t>/</w:t>
            </w:r>
          </w:p>
        </w:tc>
      </w:tr>
      <w:tr w14:paraId="02A3A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70" w:type="pct"/>
            <w:vAlign w:val="center"/>
          </w:tcPr>
          <w:p w14:paraId="5E6AB8DC">
            <w:pPr>
              <w:adjustRightInd w:val="0"/>
              <w:snapToGrid w:val="0"/>
              <w:spacing w:line="500" w:lineRule="exact"/>
              <w:jc w:val="center"/>
              <w:rPr>
                <w:color w:val="auto"/>
                <w:spacing w:val="-8"/>
                <w:sz w:val="24"/>
              </w:rPr>
            </w:pPr>
            <w:r>
              <w:rPr>
                <w:color w:val="auto"/>
                <w:spacing w:val="-8"/>
                <w:sz w:val="24"/>
              </w:rPr>
              <w:t>环境风险</w:t>
            </w:r>
          </w:p>
          <w:p w14:paraId="2FE2E900">
            <w:pPr>
              <w:adjustRightInd w:val="0"/>
              <w:snapToGrid w:val="0"/>
              <w:spacing w:line="500" w:lineRule="exact"/>
              <w:jc w:val="center"/>
              <w:rPr>
                <w:color w:val="auto"/>
                <w:spacing w:val="-8"/>
                <w:sz w:val="24"/>
              </w:rPr>
            </w:pPr>
            <w:r>
              <w:rPr>
                <w:color w:val="auto"/>
                <w:spacing w:val="-8"/>
                <w:sz w:val="24"/>
              </w:rPr>
              <w:t>防范措施</w:t>
            </w:r>
          </w:p>
        </w:tc>
        <w:tc>
          <w:tcPr>
            <w:tcW w:w="4329" w:type="pct"/>
            <w:gridSpan w:val="4"/>
            <w:vAlign w:val="center"/>
          </w:tcPr>
          <w:p w14:paraId="7F966C6D">
            <w:pPr>
              <w:spacing w:line="500" w:lineRule="exact"/>
              <w:ind w:firstLine="480" w:firstLineChars="200"/>
              <w:rPr>
                <w:color w:val="auto"/>
                <w:sz w:val="24"/>
              </w:rPr>
            </w:pPr>
            <w:r>
              <w:rPr>
                <w:rFonts w:hint="eastAsia"/>
                <w:color w:val="auto"/>
                <w:sz w:val="24"/>
              </w:rPr>
              <w:t>以下为针对本项目风险物质制定的</w:t>
            </w:r>
            <w:r>
              <w:rPr>
                <w:color w:val="auto"/>
                <w:sz w:val="24"/>
              </w:rPr>
              <w:t>风险防范措施：</w:t>
            </w:r>
            <w:r>
              <w:rPr>
                <w:color w:val="auto"/>
                <w:kern w:val="0"/>
                <w:sz w:val="24"/>
              </w:rPr>
              <w:t>废润滑油</w:t>
            </w:r>
            <w:r>
              <w:rPr>
                <w:rFonts w:hint="eastAsia"/>
                <w:color w:val="auto"/>
                <w:kern w:val="0"/>
                <w:sz w:val="24"/>
                <w:lang w:eastAsia="zh-CN"/>
              </w:rPr>
              <w:t>、</w:t>
            </w:r>
            <w:r>
              <w:rPr>
                <w:color w:val="auto"/>
                <w:kern w:val="0"/>
                <w:sz w:val="24"/>
              </w:rPr>
              <w:t>废油桶由项目生产区转运至危废间运输前应先检查包装容器是否完整、密封，运输过程中要确保容器不泄漏、不倒塌、不坠落、不损坏。</w:t>
            </w:r>
          </w:p>
          <w:p w14:paraId="10D5C4C8">
            <w:pPr>
              <w:pStyle w:val="22"/>
              <w:spacing w:after="0" w:line="500" w:lineRule="exact"/>
              <w:ind w:left="0" w:leftChars="0" w:firstLine="480"/>
              <w:rPr>
                <w:color w:val="auto"/>
                <w:sz w:val="24"/>
              </w:rPr>
            </w:pPr>
            <w:r>
              <w:rPr>
                <w:color w:val="auto"/>
                <w:sz w:val="24"/>
              </w:rPr>
              <w:fldChar w:fldCharType="begin"/>
            </w:r>
            <w:r>
              <w:rPr>
                <w:color w:val="auto"/>
                <w:sz w:val="24"/>
              </w:rPr>
              <w:instrText xml:space="preserve"> = 1 \* GB3 \* MERGEFORMAT </w:instrText>
            </w:r>
            <w:r>
              <w:rPr>
                <w:color w:val="auto"/>
                <w:sz w:val="24"/>
              </w:rPr>
              <w:fldChar w:fldCharType="separate"/>
            </w:r>
            <w:r>
              <w:rPr>
                <w:color w:val="auto"/>
                <w:sz w:val="24"/>
              </w:rPr>
              <w:t>①</w:t>
            </w:r>
            <w:r>
              <w:rPr>
                <w:color w:val="auto"/>
                <w:sz w:val="24"/>
              </w:rPr>
              <w:fldChar w:fldCharType="end"/>
            </w:r>
            <w:r>
              <w:rPr>
                <w:color w:val="auto"/>
                <w:sz w:val="24"/>
              </w:rPr>
              <w:t>润滑油：采用专用容器储存存放于</w:t>
            </w:r>
            <w:r>
              <w:rPr>
                <w:rFonts w:hint="eastAsia"/>
                <w:color w:val="auto"/>
                <w:sz w:val="24"/>
                <w:lang w:eastAsia="zh-CN"/>
              </w:rPr>
              <w:t>厂房</w:t>
            </w:r>
            <w:r>
              <w:rPr>
                <w:color w:val="auto"/>
                <w:sz w:val="24"/>
              </w:rPr>
              <w:t>内，</w:t>
            </w:r>
            <w:r>
              <w:rPr>
                <w:rFonts w:hint="eastAsia"/>
                <w:color w:val="auto"/>
                <w:sz w:val="24"/>
              </w:rPr>
              <w:t>润滑油</w:t>
            </w:r>
            <w:r>
              <w:rPr>
                <w:color w:val="auto"/>
                <w:sz w:val="24"/>
              </w:rPr>
              <w:t>堆放</w:t>
            </w:r>
            <w:r>
              <w:rPr>
                <w:rFonts w:hint="eastAsia"/>
                <w:color w:val="auto"/>
                <w:sz w:val="24"/>
              </w:rPr>
              <w:t>区</w:t>
            </w:r>
            <w:r>
              <w:rPr>
                <w:color w:val="auto"/>
                <w:sz w:val="24"/>
              </w:rPr>
              <w:t>设置托盘，将所有桶装润滑油置于托盘内，托盘有效容积0.5m</w:t>
            </w:r>
            <w:r>
              <w:rPr>
                <w:color w:val="auto"/>
                <w:sz w:val="24"/>
                <w:vertAlign w:val="superscript"/>
              </w:rPr>
              <w:t>3</w:t>
            </w:r>
            <w:r>
              <w:rPr>
                <w:color w:val="auto"/>
                <w:sz w:val="24"/>
              </w:rPr>
              <w:t>，可容纳单个油桶全部泄露物料，禁止明火。</w:t>
            </w:r>
          </w:p>
          <w:p w14:paraId="59C83C80">
            <w:pPr>
              <w:pStyle w:val="22"/>
              <w:spacing w:after="0" w:line="500" w:lineRule="exact"/>
              <w:ind w:left="0" w:leftChars="0" w:firstLine="480"/>
              <w:rPr>
                <w:color w:val="auto"/>
                <w:sz w:val="24"/>
              </w:rPr>
            </w:pPr>
            <w:r>
              <w:rPr>
                <w:rFonts w:hint="eastAsia"/>
                <w:color w:val="auto"/>
                <w:sz w:val="24"/>
              </w:rPr>
              <w:t>②</w:t>
            </w:r>
            <w:r>
              <w:rPr>
                <w:color w:val="auto"/>
                <w:sz w:val="24"/>
              </w:rPr>
              <w:t>废</w:t>
            </w:r>
            <w:r>
              <w:rPr>
                <w:rFonts w:hint="eastAsia"/>
                <w:color w:val="auto"/>
                <w:sz w:val="24"/>
              </w:rPr>
              <w:t>润滑油</w:t>
            </w:r>
            <w:r>
              <w:rPr>
                <w:color w:val="auto"/>
                <w:sz w:val="24"/>
              </w:rPr>
              <w:t>：采用专用容器储存，暂存于厂区危废暂存间内。</w:t>
            </w:r>
          </w:p>
          <w:p w14:paraId="3CAC607D">
            <w:pPr>
              <w:adjustRightInd w:val="0"/>
              <w:snapToGrid w:val="0"/>
              <w:spacing w:line="500" w:lineRule="exact"/>
              <w:ind w:firstLine="480" w:firstLineChars="200"/>
              <w:rPr>
                <w:color w:val="auto"/>
                <w:sz w:val="24"/>
              </w:rPr>
            </w:pPr>
            <w:r>
              <w:rPr>
                <w:rFonts w:hint="eastAsia"/>
                <w:color w:val="auto"/>
                <w:sz w:val="24"/>
              </w:rPr>
              <w:t>③</w:t>
            </w:r>
            <w:r>
              <w:rPr>
                <w:color w:val="auto"/>
                <w:sz w:val="24"/>
              </w:rPr>
              <w:t>本项目根据防渗分区划分，</w:t>
            </w:r>
            <w:r>
              <w:rPr>
                <w:rFonts w:hint="eastAsia"/>
                <w:color w:val="auto"/>
                <w:sz w:val="24"/>
                <w:lang w:eastAsia="zh-CN"/>
              </w:rPr>
              <w:t>初期雨水收集池、</w:t>
            </w:r>
            <w:r>
              <w:rPr>
                <w:rFonts w:hint="eastAsia"/>
                <w:color w:val="auto"/>
                <w:sz w:val="24"/>
              </w:rPr>
              <w:t>沉淀池、</w:t>
            </w:r>
            <w:r>
              <w:rPr>
                <w:rFonts w:hint="eastAsia"/>
                <w:color w:val="auto"/>
                <w:sz w:val="24"/>
                <w:lang w:eastAsia="zh-CN"/>
              </w:rPr>
              <w:t>厂房</w:t>
            </w:r>
            <w:r>
              <w:rPr>
                <w:color w:val="auto"/>
                <w:sz w:val="24"/>
              </w:rPr>
              <w:t>属于一般防渗区，</w:t>
            </w:r>
            <w:r>
              <w:rPr>
                <w:rFonts w:hint="eastAsia"/>
                <w:color w:val="auto"/>
                <w:sz w:val="24"/>
                <w:lang w:eastAsia="zh-CN"/>
              </w:rPr>
              <w:t>初期雨水收集池、</w:t>
            </w:r>
            <w:r>
              <w:rPr>
                <w:rFonts w:hint="eastAsia"/>
                <w:color w:val="auto"/>
                <w:sz w:val="24"/>
              </w:rPr>
              <w:t>沉淀池、</w:t>
            </w:r>
            <w:r>
              <w:rPr>
                <w:rFonts w:hint="eastAsia"/>
                <w:color w:val="auto"/>
                <w:kern w:val="0"/>
                <w:sz w:val="24"/>
                <w:lang w:eastAsia="zh-CN"/>
              </w:rPr>
              <w:t>厂房</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color w:val="auto"/>
                <w:sz w:val="24"/>
              </w:rPr>
              <w:t>；危废间属于重点防渗区</w:t>
            </w:r>
            <w:r>
              <w:rPr>
                <w:rFonts w:hint="eastAsia"/>
                <w:color w:val="auto"/>
                <w:kern w:val="24"/>
                <w:sz w:val="24"/>
              </w:rPr>
              <w:t>，危废间地面和裙角采用抗渗混凝土硬化处理，四周设置围堰，地面、裙角和围堰并涂环氧</w:t>
            </w:r>
            <w:r>
              <w:rPr>
                <w:rFonts w:hint="eastAsia"/>
                <w:color w:val="auto"/>
                <w:sz w:val="24"/>
              </w:rPr>
              <w:t>树脂</w:t>
            </w:r>
            <w:r>
              <w:rPr>
                <w:rFonts w:hint="eastAsia"/>
                <w:color w:val="auto"/>
                <w:kern w:val="24"/>
                <w:sz w:val="24"/>
              </w:rPr>
              <w:t>漆防腐</w:t>
            </w:r>
            <w:r>
              <w:rPr>
                <w:color w:val="auto"/>
                <w:kern w:val="24"/>
                <w:sz w:val="24"/>
              </w:rPr>
              <w:t>，渗透系数≤10</w:t>
            </w:r>
            <w:r>
              <w:rPr>
                <w:color w:val="auto"/>
                <w:kern w:val="24"/>
                <w:sz w:val="24"/>
                <w:vertAlign w:val="superscript"/>
              </w:rPr>
              <w:t>-10</w:t>
            </w:r>
            <w:r>
              <w:rPr>
                <w:color w:val="auto"/>
                <w:kern w:val="24"/>
                <w:sz w:val="24"/>
              </w:rPr>
              <w:t>cm/s</w:t>
            </w:r>
            <w:r>
              <w:rPr>
                <w:color w:val="auto"/>
                <w:kern w:val="0"/>
                <w:sz w:val="24"/>
              </w:rPr>
              <w:t>。</w:t>
            </w:r>
          </w:p>
          <w:p w14:paraId="354B94CA">
            <w:pPr>
              <w:adjustRightInd w:val="0"/>
              <w:snapToGrid w:val="0"/>
              <w:spacing w:line="500" w:lineRule="exact"/>
              <w:ind w:firstLine="480" w:firstLineChars="200"/>
              <w:rPr>
                <w:bCs/>
                <w:color w:val="auto"/>
                <w:sz w:val="24"/>
              </w:rPr>
            </w:pPr>
            <w:r>
              <w:rPr>
                <w:rFonts w:hint="eastAsia"/>
                <w:color w:val="auto"/>
                <w:sz w:val="24"/>
              </w:rPr>
              <w:t>④</w:t>
            </w:r>
            <w:r>
              <w:rPr>
                <w:color w:val="auto"/>
                <w:sz w:val="24"/>
              </w:rPr>
              <w:t>如油类物质发生火灾后，使用干粉或泡沫灭火器灭火，不会产生消防废水。灭火后，消防废物作为危废，委托有资质单位处理。</w:t>
            </w:r>
          </w:p>
        </w:tc>
      </w:tr>
      <w:tr w14:paraId="38AED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1" w:hRule="atLeast"/>
          <w:jc w:val="center"/>
        </w:trPr>
        <w:tc>
          <w:tcPr>
            <w:tcW w:w="670" w:type="pct"/>
            <w:vAlign w:val="center"/>
          </w:tcPr>
          <w:p w14:paraId="4FEF4DDD">
            <w:pPr>
              <w:adjustRightInd w:val="0"/>
              <w:snapToGrid w:val="0"/>
              <w:spacing w:line="500" w:lineRule="exact"/>
              <w:jc w:val="center"/>
              <w:rPr>
                <w:color w:val="auto"/>
                <w:spacing w:val="-8"/>
                <w:sz w:val="24"/>
              </w:rPr>
            </w:pPr>
            <w:r>
              <w:rPr>
                <w:color w:val="auto"/>
                <w:spacing w:val="-8"/>
                <w:sz w:val="24"/>
              </w:rPr>
              <w:t>其他环境</w:t>
            </w:r>
          </w:p>
          <w:p w14:paraId="6DA3EA63">
            <w:pPr>
              <w:adjustRightInd w:val="0"/>
              <w:snapToGrid w:val="0"/>
              <w:spacing w:line="500" w:lineRule="exact"/>
              <w:jc w:val="center"/>
              <w:rPr>
                <w:color w:val="auto"/>
                <w:spacing w:val="-8"/>
                <w:sz w:val="24"/>
              </w:rPr>
            </w:pPr>
            <w:r>
              <w:rPr>
                <w:color w:val="auto"/>
                <w:spacing w:val="-8"/>
                <w:sz w:val="24"/>
              </w:rPr>
              <w:t>管理要求</w:t>
            </w:r>
          </w:p>
        </w:tc>
        <w:tc>
          <w:tcPr>
            <w:tcW w:w="4329" w:type="pct"/>
            <w:gridSpan w:val="4"/>
            <w:vAlign w:val="center"/>
          </w:tcPr>
          <w:p w14:paraId="0AF33F22">
            <w:pPr>
              <w:spacing w:line="500" w:lineRule="exact"/>
              <w:ind w:firstLine="482" w:firstLineChars="200"/>
              <w:rPr>
                <w:b/>
                <w:bCs/>
                <w:color w:val="auto"/>
                <w:sz w:val="24"/>
              </w:rPr>
            </w:pPr>
            <w:r>
              <w:rPr>
                <w:b/>
                <w:bCs/>
                <w:color w:val="auto"/>
                <w:sz w:val="24"/>
              </w:rPr>
              <w:t>1、环境管理</w:t>
            </w:r>
          </w:p>
          <w:p w14:paraId="79E5E1EB">
            <w:pPr>
              <w:spacing w:line="500" w:lineRule="exact"/>
              <w:ind w:firstLine="480" w:firstLineChars="200"/>
              <w:rPr>
                <w:color w:val="auto"/>
                <w:sz w:val="24"/>
              </w:rPr>
            </w:pPr>
            <w:r>
              <w:rPr>
                <w:rFonts w:hint="eastAsia"/>
                <w:color w:val="auto"/>
                <w:sz w:val="24"/>
              </w:rPr>
              <w:t>（1）</w:t>
            </w:r>
            <w:r>
              <w:rPr>
                <w:color w:val="auto"/>
                <w:sz w:val="24"/>
              </w:rPr>
              <w:t>设立环保管理机构</w:t>
            </w:r>
            <w:r>
              <w:rPr>
                <w:rFonts w:hint="eastAsia"/>
                <w:color w:val="auto"/>
                <w:sz w:val="24"/>
              </w:rPr>
              <w:t>，</w:t>
            </w:r>
            <w:r>
              <w:rPr>
                <w:color w:val="auto"/>
                <w:sz w:val="24"/>
              </w:rPr>
              <w:t>定期检查企业环保设施的运行，及时进行维修，确保环保设施的正常运行。</w:t>
            </w:r>
          </w:p>
          <w:p w14:paraId="1D0C2625">
            <w:pPr>
              <w:spacing w:line="500" w:lineRule="exact"/>
              <w:ind w:firstLine="480" w:firstLineChars="200"/>
              <w:outlineLvl w:val="1"/>
              <w:rPr>
                <w:color w:val="auto"/>
                <w:sz w:val="24"/>
                <w:lang w:bidi="ar"/>
              </w:rPr>
            </w:pPr>
            <w:r>
              <w:rPr>
                <w:rFonts w:hint="eastAsia"/>
                <w:color w:val="auto"/>
                <w:sz w:val="24"/>
              </w:rPr>
              <w:t>（2）</w:t>
            </w:r>
            <w:r>
              <w:rPr>
                <w:color w:val="auto"/>
                <w:sz w:val="24"/>
              </w:rPr>
              <w:t>建立污染控制</w:t>
            </w:r>
            <w:r>
              <w:rPr>
                <w:color w:val="auto"/>
                <w:sz w:val="24"/>
                <w:lang w:bidi="ar"/>
              </w:rPr>
              <w:t>管理档案</w:t>
            </w:r>
            <w:r>
              <w:rPr>
                <w:rFonts w:hint="eastAsia"/>
                <w:color w:val="auto"/>
                <w:sz w:val="24"/>
                <w:lang w:bidi="ar"/>
              </w:rPr>
              <w:t>，做好日常生产台账记录</w:t>
            </w:r>
            <w:r>
              <w:rPr>
                <w:color w:val="auto"/>
                <w:sz w:val="24"/>
                <w:lang w:bidi="ar"/>
              </w:rPr>
              <w:t>。</w:t>
            </w:r>
          </w:p>
          <w:p w14:paraId="546BA941">
            <w:pPr>
              <w:spacing w:line="500" w:lineRule="exact"/>
              <w:ind w:firstLine="480" w:firstLineChars="200"/>
              <w:outlineLvl w:val="1"/>
              <w:rPr>
                <w:color w:val="auto"/>
                <w:sz w:val="24"/>
                <w:lang w:bidi="ar"/>
              </w:rPr>
            </w:pPr>
            <w:r>
              <w:rPr>
                <w:rFonts w:hint="eastAsia"/>
                <w:color w:val="auto"/>
                <w:sz w:val="24"/>
                <w:lang w:bidi="ar"/>
              </w:rPr>
              <w:t>（3）</w:t>
            </w:r>
            <w:r>
              <w:rPr>
                <w:color w:val="auto"/>
                <w:sz w:val="24"/>
                <w:lang w:bidi="ar"/>
              </w:rPr>
              <w:t>排污口</w:t>
            </w:r>
            <w:r>
              <w:rPr>
                <w:rFonts w:hint="eastAsia"/>
                <w:color w:val="auto"/>
                <w:sz w:val="24"/>
                <w:lang w:bidi="ar"/>
              </w:rPr>
              <w:t>规范化管理并</w:t>
            </w:r>
            <w:r>
              <w:rPr>
                <w:color w:val="auto"/>
                <w:sz w:val="24"/>
                <w:lang w:bidi="ar"/>
              </w:rPr>
              <w:t>立标建档</w:t>
            </w:r>
            <w:r>
              <w:rPr>
                <w:rFonts w:hint="eastAsia"/>
                <w:color w:val="auto"/>
                <w:sz w:val="24"/>
                <w:lang w:bidi="ar"/>
              </w:rPr>
              <w:t>。</w:t>
            </w:r>
          </w:p>
          <w:p w14:paraId="24424E24">
            <w:pPr>
              <w:spacing w:line="500" w:lineRule="exact"/>
              <w:ind w:firstLine="480" w:firstLineChars="200"/>
              <w:outlineLvl w:val="1"/>
              <w:rPr>
                <w:color w:val="auto"/>
                <w:sz w:val="24"/>
              </w:rPr>
            </w:pPr>
            <w:r>
              <w:rPr>
                <w:rFonts w:hint="eastAsia"/>
                <w:color w:val="auto"/>
                <w:sz w:val="24"/>
                <w:lang w:bidi="ar"/>
              </w:rPr>
              <w:t>（4）</w:t>
            </w:r>
            <w:r>
              <w:rPr>
                <w:rFonts w:hint="eastAsia"/>
                <w:color w:val="auto"/>
                <w:sz w:val="24"/>
                <w:lang w:eastAsia="zh-CN" w:bidi="ar"/>
              </w:rPr>
              <w:t>对</w:t>
            </w:r>
            <w:r>
              <w:rPr>
                <w:rFonts w:hint="eastAsia"/>
                <w:color w:val="auto"/>
                <w:sz w:val="24"/>
                <w:lang w:bidi="ar"/>
              </w:rPr>
              <w:t>颗粒物无组织排放布点，对防尘治理设施的运行管理效果进行自行监测，并按照当地环保部门的要求进行检测、上报及时进行企业信息公</w:t>
            </w:r>
            <w:r>
              <w:rPr>
                <w:rFonts w:hint="eastAsia"/>
                <w:color w:val="auto"/>
                <w:sz w:val="24"/>
              </w:rPr>
              <w:t>开，按照监测计划定期开展自行监测</w:t>
            </w:r>
            <w:r>
              <w:rPr>
                <w:color w:val="auto"/>
                <w:sz w:val="24"/>
                <w:lang w:bidi="ar"/>
              </w:rPr>
              <w:t>。</w:t>
            </w:r>
          </w:p>
          <w:p w14:paraId="04D69511">
            <w:pPr>
              <w:spacing w:line="500" w:lineRule="exact"/>
              <w:ind w:firstLine="480" w:firstLineChars="200"/>
              <w:rPr>
                <w:color w:val="auto"/>
                <w:sz w:val="24"/>
              </w:rPr>
            </w:pPr>
            <w:r>
              <w:rPr>
                <w:rFonts w:hint="eastAsia"/>
                <w:color w:val="auto"/>
                <w:sz w:val="24"/>
              </w:rPr>
              <w:t>（5）建立健全</w:t>
            </w:r>
            <w:r>
              <w:rPr>
                <w:rFonts w:hint="eastAsia"/>
                <w:color w:val="auto"/>
                <w:sz w:val="24"/>
                <w:lang w:eastAsia="zh-CN"/>
              </w:rPr>
              <w:t>厂区</w:t>
            </w:r>
            <w:r>
              <w:rPr>
                <w:rFonts w:hint="eastAsia"/>
                <w:color w:val="auto"/>
                <w:sz w:val="24"/>
              </w:rPr>
              <w:t>扬尘污染控制管理制度。包括：岗位责任，环保操作规程，扬尘控制管理，扬尘控制考核，扬尘污染源档案，扬尘控制设施运行记录台账，扬尘控制设施使用维修保养。</w:t>
            </w:r>
          </w:p>
          <w:p w14:paraId="59FB1ABB">
            <w:pPr>
              <w:spacing w:line="500" w:lineRule="exact"/>
              <w:ind w:firstLine="480" w:firstLineChars="200"/>
              <w:rPr>
                <w:color w:val="auto"/>
                <w:sz w:val="24"/>
              </w:rPr>
            </w:pPr>
            <w:r>
              <w:rPr>
                <w:rFonts w:hint="eastAsia"/>
                <w:color w:val="auto"/>
                <w:sz w:val="24"/>
              </w:rPr>
              <w:t>（6）一般固废管理要求</w:t>
            </w:r>
          </w:p>
          <w:p w14:paraId="612E7B9D">
            <w:pPr>
              <w:widowControl/>
              <w:spacing w:line="500" w:lineRule="exact"/>
              <w:ind w:firstLine="480" w:firstLineChars="200"/>
              <w:rPr>
                <w:color w:val="auto"/>
                <w:sz w:val="24"/>
              </w:rPr>
            </w:pPr>
            <w:r>
              <w:rPr>
                <w:rFonts w:hint="eastAsia" w:cs="宋体"/>
                <w:color w:val="auto"/>
                <w:kern w:val="0"/>
                <w:sz w:val="24"/>
                <w:lang w:bidi="ar"/>
              </w:rPr>
              <w:t>①加强固体废物规范化管理，固体废物分类定点堆放，堆放场所远离办公区和周围环境敏感点；</w:t>
            </w:r>
          </w:p>
          <w:p w14:paraId="724EC852">
            <w:pPr>
              <w:widowControl/>
              <w:spacing w:line="500" w:lineRule="exact"/>
              <w:ind w:firstLine="480" w:firstLineChars="200"/>
              <w:jc w:val="left"/>
              <w:rPr>
                <w:color w:val="auto"/>
                <w:sz w:val="24"/>
              </w:rPr>
            </w:pPr>
            <w:r>
              <w:rPr>
                <w:rFonts w:hint="eastAsia"/>
                <w:color w:val="auto"/>
                <w:sz w:val="24"/>
              </w:rPr>
              <w:t>②</w:t>
            </w:r>
            <w:r>
              <w:rPr>
                <w:rFonts w:hint="eastAsia" w:cs="宋体"/>
                <w:color w:val="auto"/>
                <w:kern w:val="0"/>
                <w:sz w:val="24"/>
                <w:lang w:bidi="ar"/>
              </w:rPr>
              <w:t>固体废物要及时清运，避免产生二次污染。</w:t>
            </w:r>
          </w:p>
          <w:p w14:paraId="5B78B92D">
            <w:pPr>
              <w:spacing w:line="500" w:lineRule="exact"/>
              <w:ind w:firstLine="482" w:firstLineChars="200"/>
              <w:rPr>
                <w:b/>
                <w:bCs/>
                <w:color w:val="auto"/>
                <w:sz w:val="24"/>
              </w:rPr>
            </w:pPr>
            <w:r>
              <w:rPr>
                <w:b/>
                <w:bCs/>
                <w:color w:val="auto"/>
                <w:sz w:val="24"/>
              </w:rPr>
              <w:t>2、排污口规范化</w:t>
            </w:r>
          </w:p>
          <w:p w14:paraId="1A85DEC7">
            <w:pPr>
              <w:spacing w:line="500" w:lineRule="exact"/>
              <w:ind w:firstLine="480" w:firstLineChars="200"/>
              <w:rPr>
                <w:color w:val="auto"/>
                <w:sz w:val="24"/>
              </w:rPr>
            </w:pPr>
            <w:r>
              <w:rPr>
                <w:color w:val="auto"/>
                <w:sz w:val="24"/>
              </w:rPr>
              <w:t>（1）排污口的设置</w:t>
            </w:r>
          </w:p>
          <w:p w14:paraId="28587FB6">
            <w:pPr>
              <w:spacing w:line="500" w:lineRule="exact"/>
              <w:ind w:firstLine="480" w:firstLineChars="200"/>
              <w:rPr>
                <w:color w:val="auto"/>
                <w:sz w:val="24"/>
                <w:lang w:val="zh-CN"/>
              </w:rPr>
            </w:pPr>
            <w:r>
              <w:rPr>
                <w:rFonts w:hint="eastAsia"/>
                <w:color w:val="auto"/>
                <w:sz w:val="24"/>
              </w:rPr>
              <w:t>废气：</w:t>
            </w:r>
            <w:r>
              <w:rPr>
                <w:color w:val="auto"/>
                <w:sz w:val="24"/>
                <w:lang w:val="zh-CN"/>
              </w:rPr>
              <w:t>本项目</w:t>
            </w:r>
            <w:r>
              <w:rPr>
                <w:rFonts w:hint="eastAsia"/>
                <w:color w:val="auto"/>
                <w:sz w:val="24"/>
              </w:rPr>
              <w:t>不设废气排放口。</w:t>
            </w:r>
          </w:p>
          <w:p w14:paraId="4DE411DC">
            <w:pPr>
              <w:spacing w:line="500" w:lineRule="exact"/>
              <w:ind w:firstLine="480" w:firstLineChars="200"/>
              <w:rPr>
                <w:color w:val="auto"/>
                <w:sz w:val="24"/>
                <w:lang w:val="zh-CN"/>
              </w:rPr>
            </w:pPr>
            <w:r>
              <w:rPr>
                <w:color w:val="auto"/>
                <w:sz w:val="24"/>
                <w:lang w:val="zh-CN"/>
              </w:rPr>
              <w:t>噪声：须按《工业企业厂界环境噪声排放标准》（GB12348-2008）的规定，设置环境噪声监测点，并在该处附近醒目处设置环境保护图形标志牌。</w:t>
            </w:r>
          </w:p>
          <w:p w14:paraId="4E780E85">
            <w:pPr>
              <w:spacing w:line="500" w:lineRule="exact"/>
              <w:ind w:firstLine="480" w:firstLineChars="200"/>
              <w:rPr>
                <w:color w:val="auto"/>
                <w:sz w:val="24"/>
                <w:lang w:val="zh-CN"/>
              </w:rPr>
            </w:pPr>
            <w:r>
              <w:rPr>
                <w:color w:val="auto"/>
                <w:sz w:val="24"/>
                <w:lang w:val="zh-CN"/>
              </w:rPr>
              <w:t>废水：本项目</w:t>
            </w:r>
            <w:r>
              <w:rPr>
                <w:rFonts w:hint="eastAsia"/>
                <w:color w:val="auto"/>
                <w:sz w:val="24"/>
                <w:lang w:val="zh-CN"/>
              </w:rPr>
              <w:t>设</w:t>
            </w:r>
            <w:r>
              <w:rPr>
                <w:rFonts w:hint="eastAsia"/>
                <w:color w:val="auto"/>
                <w:sz w:val="24"/>
                <w:lang w:val="en-US" w:eastAsia="zh-CN"/>
              </w:rPr>
              <w:t>1个</w:t>
            </w:r>
            <w:r>
              <w:rPr>
                <w:rFonts w:hint="eastAsia"/>
                <w:color w:val="auto"/>
                <w:sz w:val="24"/>
                <w:lang w:val="zh-CN"/>
              </w:rPr>
              <w:t>生活污水排放口</w:t>
            </w:r>
            <w:r>
              <w:rPr>
                <w:color w:val="auto"/>
                <w:sz w:val="24"/>
                <w:lang w:val="zh-CN"/>
              </w:rPr>
              <w:t>。</w:t>
            </w:r>
          </w:p>
          <w:p w14:paraId="64BDC019">
            <w:pPr>
              <w:spacing w:line="500" w:lineRule="exact"/>
              <w:ind w:firstLine="480" w:firstLineChars="200"/>
              <w:rPr>
                <w:color w:val="auto"/>
                <w:sz w:val="24"/>
                <w:lang w:val="zh-CN"/>
              </w:rPr>
            </w:pPr>
            <w:r>
              <w:rPr>
                <w:color w:val="auto"/>
                <w:sz w:val="24"/>
                <w:lang w:val="zh-CN"/>
              </w:rPr>
              <w:t>固废：固体废物贮存场所应按《环境保护图形标志－排污口(源)》（GBl5562.</w:t>
            </w:r>
            <w:r>
              <w:rPr>
                <w:rFonts w:hint="eastAsia"/>
                <w:color w:val="auto"/>
                <w:sz w:val="24"/>
              </w:rPr>
              <w:t>2</w:t>
            </w:r>
            <w:r>
              <w:rPr>
                <w:color w:val="auto"/>
                <w:sz w:val="24"/>
                <w:lang w:val="zh-CN"/>
              </w:rPr>
              <w:t>－1995）</w:t>
            </w:r>
            <w:r>
              <w:rPr>
                <w:rFonts w:hint="eastAsia"/>
                <w:color w:val="auto"/>
                <w:sz w:val="24"/>
              </w:rPr>
              <w:t>及修改单</w:t>
            </w:r>
            <w:r>
              <w:rPr>
                <w:color w:val="auto"/>
                <w:sz w:val="24"/>
                <w:lang w:val="zh-CN"/>
              </w:rPr>
              <w:t>规定，设置统一制作的环境保护图形标志牌。</w:t>
            </w:r>
          </w:p>
          <w:p w14:paraId="4153A451">
            <w:pPr>
              <w:spacing w:line="500" w:lineRule="exact"/>
              <w:ind w:firstLine="480" w:firstLineChars="200"/>
              <w:rPr>
                <w:color w:val="auto"/>
                <w:sz w:val="24"/>
              </w:rPr>
            </w:pPr>
            <w:r>
              <w:rPr>
                <w:color w:val="auto"/>
                <w:sz w:val="24"/>
              </w:rPr>
              <w:t>（2）排污口管理的原则</w:t>
            </w:r>
          </w:p>
          <w:p w14:paraId="0F503E1B">
            <w:pPr>
              <w:spacing w:line="500" w:lineRule="exact"/>
              <w:ind w:firstLine="480" w:firstLineChars="200"/>
              <w:rPr>
                <w:color w:val="auto"/>
                <w:sz w:val="24"/>
              </w:rPr>
            </w:pPr>
            <w:r>
              <w:rPr>
                <w:color w:val="auto"/>
                <w:sz w:val="24"/>
              </w:rPr>
              <w:t>①向环境排放污染物的排污口必须规范化。</w:t>
            </w:r>
          </w:p>
          <w:p w14:paraId="1DB04123">
            <w:pPr>
              <w:spacing w:line="500" w:lineRule="exact"/>
              <w:ind w:firstLine="480" w:firstLineChars="200"/>
              <w:rPr>
                <w:color w:val="auto"/>
                <w:sz w:val="24"/>
              </w:rPr>
            </w:pPr>
            <w:r>
              <w:rPr>
                <w:color w:val="auto"/>
                <w:sz w:val="24"/>
              </w:rPr>
              <w:t>②排污口应便于采样与计量监测，便于日常监督检查。</w:t>
            </w:r>
          </w:p>
          <w:p w14:paraId="6E754244">
            <w:pPr>
              <w:spacing w:line="500" w:lineRule="exact"/>
              <w:ind w:firstLine="480" w:firstLineChars="200"/>
              <w:rPr>
                <w:color w:val="auto"/>
                <w:sz w:val="24"/>
              </w:rPr>
            </w:pPr>
            <w:r>
              <w:rPr>
                <w:color w:val="auto"/>
                <w:sz w:val="24"/>
              </w:rPr>
              <w:t>（3）排污口立标和建档</w:t>
            </w:r>
          </w:p>
          <w:p w14:paraId="5E737730">
            <w:pPr>
              <w:spacing w:line="500" w:lineRule="exact"/>
              <w:ind w:firstLine="480" w:firstLineChars="200"/>
              <w:rPr>
                <w:color w:val="auto"/>
                <w:sz w:val="24"/>
              </w:rPr>
            </w:pPr>
            <w:r>
              <w:rPr>
                <w:color w:val="auto"/>
                <w:sz w:val="24"/>
              </w:rPr>
              <w:t>①排污口立标管理</w:t>
            </w:r>
          </w:p>
          <w:p w14:paraId="13F2FC61">
            <w:pPr>
              <w:spacing w:line="500" w:lineRule="exact"/>
              <w:ind w:firstLine="480" w:firstLineChars="200"/>
              <w:rPr>
                <w:b/>
                <w:bCs/>
                <w:color w:val="auto"/>
                <w:sz w:val="24"/>
              </w:rPr>
            </w:pPr>
            <w:r>
              <w:rPr>
                <w:color w:val="auto"/>
                <w:sz w:val="24"/>
              </w:rPr>
              <w:t>排放口应按《环境保护图形标志－排污口(源)》（GB15562.1－1995）</w:t>
            </w:r>
            <w:r>
              <w:rPr>
                <w:rFonts w:hint="eastAsia"/>
                <w:color w:val="auto"/>
                <w:sz w:val="24"/>
              </w:rPr>
              <w:t>和《环境保护图形标志—固体废物贮存（处置）场》（GB 15562.2-1995）及修改单的</w:t>
            </w:r>
            <w:r>
              <w:rPr>
                <w:color w:val="auto"/>
                <w:sz w:val="24"/>
              </w:rPr>
              <w:t>规定，设置统一制作的环境保护图形标志牌，污染物排放口设置提示性环境保护图形标志牌。</w:t>
            </w:r>
          </w:p>
          <w:p w14:paraId="5A645CEB">
            <w:pPr>
              <w:numPr>
                <w:ilvl w:val="0"/>
                <w:numId w:val="0"/>
              </w:numPr>
              <w:tabs>
                <w:tab w:val="left" w:pos="0"/>
              </w:tabs>
              <w:adjustRightInd w:val="0"/>
              <w:snapToGrid w:val="0"/>
              <w:spacing w:line="500" w:lineRule="exact"/>
              <w:ind w:left="2951" w:leftChars="0" w:hanging="2951" w:hangingChars="1225"/>
              <w:jc w:val="center"/>
              <w:rPr>
                <w:b/>
                <w:bCs/>
                <w:color w:val="auto"/>
                <w:sz w:val="24"/>
              </w:rPr>
            </w:pPr>
            <w:r>
              <w:rPr>
                <w:rFonts w:hint="default" w:ascii="Times New Roman" w:hAnsi="Times New Roman" w:eastAsia="宋体" w:cs="Times New Roman"/>
                <w:b/>
                <w:bCs/>
                <w:color w:val="auto"/>
                <w:kern w:val="2"/>
                <w:sz w:val="24"/>
                <w:szCs w:val="24"/>
                <w:lang w:val="en-US" w:eastAsia="zh-CN" w:bidi="ar-SA"/>
              </w:rPr>
              <w:t>表</w:t>
            </w:r>
            <w:r>
              <w:rPr>
                <w:rFonts w:hint="eastAsia" w:cs="Times New Roman"/>
                <w:b/>
                <w:bCs/>
                <w:color w:val="auto"/>
                <w:kern w:val="2"/>
                <w:sz w:val="24"/>
                <w:szCs w:val="24"/>
                <w:lang w:val="en-US" w:eastAsia="zh-CN" w:bidi="ar-SA"/>
              </w:rPr>
              <w:t>33</w:t>
            </w:r>
            <w:r>
              <w:rPr>
                <w:rFonts w:hint="eastAsia"/>
                <w:b/>
                <w:bCs/>
                <w:color w:val="auto"/>
                <w:sz w:val="24"/>
                <w:lang w:val="en-US" w:eastAsia="zh-CN"/>
              </w:rPr>
              <w:t xml:space="preserve"> </w:t>
            </w:r>
            <w:r>
              <w:rPr>
                <w:b/>
                <w:bCs/>
                <w:color w:val="auto"/>
                <w:sz w:val="24"/>
              </w:rPr>
              <w:t xml:space="preserve"> 排污口规范化要求及环保图形标识</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948"/>
              <w:gridCol w:w="1098"/>
              <w:gridCol w:w="5771"/>
              <w:gridCol w:w="4241"/>
            </w:tblGrid>
            <w:tr w14:paraId="43C3A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93" w:type="pct"/>
                  <w:noWrap w:val="0"/>
                  <w:vAlign w:val="center"/>
                </w:tcPr>
                <w:p w14:paraId="464069DF">
                  <w:pPr>
                    <w:jc w:val="center"/>
                    <w:rPr>
                      <w:color w:val="auto"/>
                    </w:rPr>
                  </w:pPr>
                  <w:r>
                    <w:rPr>
                      <w:color w:val="auto"/>
                    </w:rPr>
                    <w:t>序号</w:t>
                  </w:r>
                </w:p>
              </w:tc>
              <w:tc>
                <w:tcPr>
                  <w:tcW w:w="455" w:type="pct"/>
                  <w:noWrap w:val="0"/>
                  <w:vAlign w:val="center"/>
                </w:tcPr>
                <w:p w14:paraId="18606C5E">
                  <w:pPr>
                    <w:jc w:val="center"/>
                    <w:rPr>
                      <w:color w:val="auto"/>
                    </w:rPr>
                  </w:pPr>
                  <w:r>
                    <w:rPr>
                      <w:color w:val="auto"/>
                    </w:rPr>
                    <w:t>项目</w:t>
                  </w:r>
                </w:p>
              </w:tc>
              <w:tc>
                <w:tcPr>
                  <w:tcW w:w="2392" w:type="pct"/>
                  <w:noWrap w:val="0"/>
                  <w:vAlign w:val="center"/>
                </w:tcPr>
                <w:p w14:paraId="3B5D7828">
                  <w:pPr>
                    <w:jc w:val="center"/>
                    <w:rPr>
                      <w:color w:val="auto"/>
                    </w:rPr>
                  </w:pPr>
                  <w:r>
                    <w:rPr>
                      <w:color w:val="auto"/>
                    </w:rPr>
                    <w:t>要求</w:t>
                  </w:r>
                </w:p>
              </w:tc>
              <w:tc>
                <w:tcPr>
                  <w:tcW w:w="1758" w:type="pct"/>
                  <w:noWrap w:val="0"/>
                  <w:vAlign w:val="center"/>
                </w:tcPr>
                <w:p w14:paraId="4B17AEA5">
                  <w:pPr>
                    <w:jc w:val="center"/>
                    <w:rPr>
                      <w:color w:val="auto"/>
                    </w:rPr>
                  </w:pPr>
                  <w:r>
                    <w:rPr>
                      <w:color w:val="auto"/>
                    </w:rPr>
                    <w:t>环保图形标志</w:t>
                  </w:r>
                </w:p>
              </w:tc>
            </w:tr>
            <w:tr w14:paraId="6AEF6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393" w:type="pct"/>
                  <w:noWrap w:val="0"/>
                  <w:vAlign w:val="center"/>
                </w:tcPr>
                <w:p w14:paraId="637494CE">
                  <w:pPr>
                    <w:jc w:val="center"/>
                    <w:rPr>
                      <w:rFonts w:hint="default" w:eastAsia="宋体"/>
                      <w:color w:val="auto"/>
                      <w:lang w:val="en-US" w:eastAsia="zh-CN"/>
                    </w:rPr>
                  </w:pPr>
                  <w:r>
                    <w:rPr>
                      <w:rFonts w:hint="eastAsia" w:eastAsia="宋体"/>
                      <w:color w:val="auto"/>
                      <w:lang w:val="en-US" w:eastAsia="zh-CN"/>
                    </w:rPr>
                    <w:t>1</w:t>
                  </w:r>
                </w:p>
              </w:tc>
              <w:tc>
                <w:tcPr>
                  <w:tcW w:w="455" w:type="pct"/>
                  <w:noWrap w:val="0"/>
                  <w:vAlign w:val="center"/>
                </w:tcPr>
                <w:p w14:paraId="1BE76A2E">
                  <w:pPr>
                    <w:keepNext w:val="0"/>
                    <w:keepLines w:val="0"/>
                    <w:pageBreakBefore w:val="0"/>
                    <w:widowControl w:val="0"/>
                    <w:kinsoku/>
                    <w:wordWrap/>
                    <w:overflowPunct/>
                    <w:topLinePunct w:val="0"/>
                    <w:autoSpaceDE/>
                    <w:autoSpaceDN/>
                    <w:bidi w:val="0"/>
                    <w:snapToGrid/>
                    <w:spacing w:line="240" w:lineRule="auto"/>
                    <w:jc w:val="center"/>
                    <w:textAlignment w:val="auto"/>
                    <w:rPr>
                      <w:color w:val="auto"/>
                    </w:rPr>
                  </w:pPr>
                  <w:r>
                    <w:rPr>
                      <w:rFonts w:hint="eastAsia"/>
                      <w:color w:val="auto"/>
                      <w:lang w:val="en-US" w:eastAsia="zh-CN"/>
                    </w:rPr>
                    <w:t>废水</w:t>
                  </w:r>
                </w:p>
              </w:tc>
              <w:tc>
                <w:tcPr>
                  <w:tcW w:w="2392" w:type="pct"/>
                  <w:noWrap w:val="0"/>
                  <w:vAlign w:val="center"/>
                </w:tcPr>
                <w:p w14:paraId="23E007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color w:val="auto"/>
                    </w:rPr>
                  </w:pPr>
                  <w:r>
                    <w:rPr>
                      <w:rFonts w:hint="eastAsia"/>
                      <w:color w:val="auto"/>
                      <w:lang w:eastAsia="zh-CN"/>
                    </w:rPr>
                    <w:t>废水排放口设置统一醒目的标识</w:t>
                  </w:r>
                </w:p>
              </w:tc>
              <w:tc>
                <w:tcPr>
                  <w:tcW w:w="1758" w:type="pct"/>
                  <w:noWrap w:val="0"/>
                  <w:vAlign w:val="center"/>
                </w:tcPr>
                <w:p w14:paraId="083B7C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color w:val="auto"/>
                    </w:rPr>
                  </w:pPr>
                  <w:r>
                    <w:rPr>
                      <w:color w:val="auto"/>
                    </w:rPr>
                    <w:drawing>
                      <wp:inline distT="0" distB="0" distL="114300" distR="114300">
                        <wp:extent cx="1347470" cy="819785"/>
                        <wp:effectExtent l="0" t="0" r="5080" b="1841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32"/>
                                <a:stretch>
                                  <a:fillRect/>
                                </a:stretch>
                              </pic:blipFill>
                              <pic:spPr>
                                <a:xfrm>
                                  <a:off x="0" y="0"/>
                                  <a:ext cx="1347470" cy="819785"/>
                                </a:xfrm>
                                <a:prstGeom prst="rect">
                                  <a:avLst/>
                                </a:prstGeom>
                                <a:noFill/>
                                <a:ln>
                                  <a:noFill/>
                                </a:ln>
                              </pic:spPr>
                            </pic:pic>
                          </a:graphicData>
                        </a:graphic>
                      </wp:inline>
                    </w:drawing>
                  </w:r>
                </w:p>
              </w:tc>
            </w:tr>
            <w:tr w14:paraId="77C548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393" w:type="pct"/>
                  <w:noWrap w:val="0"/>
                  <w:vAlign w:val="center"/>
                </w:tcPr>
                <w:p w14:paraId="23FB0B4D">
                  <w:pPr>
                    <w:jc w:val="center"/>
                    <w:rPr>
                      <w:rFonts w:hint="default" w:eastAsia="宋体"/>
                      <w:color w:val="auto"/>
                      <w:lang w:val="en-US" w:eastAsia="zh-CN"/>
                    </w:rPr>
                  </w:pPr>
                  <w:r>
                    <w:rPr>
                      <w:rFonts w:hint="eastAsia" w:eastAsia="宋体"/>
                      <w:color w:val="auto"/>
                      <w:lang w:val="en-US" w:eastAsia="zh-CN"/>
                    </w:rPr>
                    <w:t>2</w:t>
                  </w:r>
                </w:p>
              </w:tc>
              <w:tc>
                <w:tcPr>
                  <w:tcW w:w="455" w:type="pct"/>
                  <w:noWrap w:val="0"/>
                  <w:vAlign w:val="center"/>
                </w:tcPr>
                <w:p w14:paraId="79E5B0B4">
                  <w:pPr>
                    <w:jc w:val="center"/>
                    <w:rPr>
                      <w:color w:val="auto"/>
                    </w:rPr>
                  </w:pPr>
                  <w:r>
                    <w:rPr>
                      <w:color w:val="auto"/>
                    </w:rPr>
                    <w:t>噪声</w:t>
                  </w:r>
                </w:p>
              </w:tc>
              <w:tc>
                <w:tcPr>
                  <w:tcW w:w="2392" w:type="pct"/>
                  <w:noWrap w:val="0"/>
                  <w:vAlign w:val="center"/>
                </w:tcPr>
                <w:p w14:paraId="293E3F4C">
                  <w:pPr>
                    <w:autoSpaceDE w:val="0"/>
                    <w:autoSpaceDN w:val="0"/>
                    <w:adjustRightInd w:val="0"/>
                    <w:jc w:val="center"/>
                    <w:rPr>
                      <w:color w:val="auto"/>
                    </w:rPr>
                  </w:pPr>
                  <w:r>
                    <w:rPr>
                      <w:color w:val="auto"/>
                    </w:rPr>
                    <w:t>应按照《工业企业厂界噪声测量方法》（GB12349）的规定，设置环境噪声监测点，并在该处附近醒目位置设置与之相符的环境保护图形标示牌</w:t>
                  </w:r>
                </w:p>
              </w:tc>
              <w:tc>
                <w:tcPr>
                  <w:tcW w:w="1758" w:type="pct"/>
                  <w:noWrap w:val="0"/>
                  <w:vAlign w:val="center"/>
                </w:tcPr>
                <w:p w14:paraId="42BD56CA">
                  <w:pPr>
                    <w:autoSpaceDE w:val="0"/>
                    <w:autoSpaceDN w:val="0"/>
                    <w:adjustRightInd w:val="0"/>
                    <w:jc w:val="center"/>
                    <w:rPr>
                      <w:color w:val="auto"/>
                    </w:rPr>
                  </w:pPr>
                  <w:r>
                    <w:rPr>
                      <w:color w:val="auto"/>
                    </w:rPr>
                    <w:drawing>
                      <wp:inline distT="0" distB="0" distL="114300" distR="114300">
                        <wp:extent cx="1115695" cy="859790"/>
                        <wp:effectExtent l="0" t="0" r="8255" b="16510"/>
                        <wp:docPr id="4" name="图片 11"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3592101_140525028352_2"/>
                                <pic:cNvPicPr>
                                  <a:picLocks noChangeAspect="1"/>
                                </pic:cNvPicPr>
                              </pic:nvPicPr>
                              <pic:blipFill>
                                <a:blip r:embed="rId33"/>
                                <a:stretch>
                                  <a:fillRect/>
                                </a:stretch>
                              </pic:blipFill>
                              <pic:spPr>
                                <a:xfrm>
                                  <a:off x="0" y="0"/>
                                  <a:ext cx="1115695" cy="859790"/>
                                </a:xfrm>
                                <a:prstGeom prst="rect">
                                  <a:avLst/>
                                </a:prstGeom>
                                <a:noFill/>
                                <a:ln>
                                  <a:noFill/>
                                </a:ln>
                              </pic:spPr>
                            </pic:pic>
                          </a:graphicData>
                        </a:graphic>
                      </wp:inline>
                    </w:drawing>
                  </w:r>
                </w:p>
              </w:tc>
            </w:tr>
            <w:tr w14:paraId="0FBA9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76" w:hRule="atLeast"/>
                <w:jc w:val="center"/>
              </w:trPr>
              <w:tc>
                <w:tcPr>
                  <w:tcW w:w="393" w:type="pct"/>
                  <w:vMerge w:val="restart"/>
                  <w:noWrap w:val="0"/>
                  <w:vAlign w:val="center"/>
                </w:tcPr>
                <w:p w14:paraId="2AD3DB71">
                  <w:pPr>
                    <w:jc w:val="center"/>
                    <w:rPr>
                      <w:rFonts w:hint="default" w:eastAsia="宋体"/>
                      <w:color w:val="auto"/>
                      <w:lang w:val="en-US" w:eastAsia="zh-CN"/>
                    </w:rPr>
                  </w:pPr>
                  <w:r>
                    <w:rPr>
                      <w:rFonts w:hint="eastAsia" w:eastAsia="宋体"/>
                      <w:color w:val="auto"/>
                      <w:lang w:val="en-US" w:eastAsia="zh-CN"/>
                    </w:rPr>
                    <w:t>3</w:t>
                  </w:r>
                </w:p>
              </w:tc>
              <w:tc>
                <w:tcPr>
                  <w:tcW w:w="455" w:type="pct"/>
                  <w:vMerge w:val="restart"/>
                  <w:noWrap w:val="0"/>
                  <w:vAlign w:val="center"/>
                </w:tcPr>
                <w:p w14:paraId="06DBFEF7">
                  <w:pPr>
                    <w:jc w:val="center"/>
                    <w:rPr>
                      <w:color w:val="auto"/>
                    </w:rPr>
                  </w:pPr>
                  <w:r>
                    <w:rPr>
                      <w:color w:val="auto"/>
                    </w:rPr>
                    <w:t>固体</w:t>
                  </w:r>
                </w:p>
                <w:p w14:paraId="093EB379">
                  <w:pPr>
                    <w:jc w:val="center"/>
                    <w:rPr>
                      <w:color w:val="auto"/>
                    </w:rPr>
                  </w:pPr>
                  <w:r>
                    <w:rPr>
                      <w:color w:val="auto"/>
                    </w:rPr>
                    <w:t>废物</w:t>
                  </w:r>
                </w:p>
              </w:tc>
              <w:tc>
                <w:tcPr>
                  <w:tcW w:w="2392" w:type="pct"/>
                  <w:noWrap w:val="0"/>
                  <w:vAlign w:val="center"/>
                </w:tcPr>
                <w:p w14:paraId="33C5187C">
                  <w:pPr>
                    <w:autoSpaceDE w:val="0"/>
                    <w:autoSpaceDN w:val="0"/>
                    <w:adjustRightInd w:val="0"/>
                    <w:jc w:val="center"/>
                    <w:rPr>
                      <w:color w:val="auto"/>
                    </w:rPr>
                  </w:pPr>
                  <w:r>
                    <w:rPr>
                      <w:color w:val="auto"/>
                    </w:rPr>
                    <w:t>项目一般固体废物应设置专用储存、处置场所。固体废物贮存必须规范化，并设置与之相符的环境保护图形标示牌</w:t>
                  </w:r>
                </w:p>
              </w:tc>
              <w:tc>
                <w:tcPr>
                  <w:tcW w:w="1758" w:type="pct"/>
                  <w:noWrap w:val="0"/>
                  <w:vAlign w:val="center"/>
                </w:tcPr>
                <w:p w14:paraId="5F9DCEFC">
                  <w:pPr>
                    <w:autoSpaceDE w:val="0"/>
                    <w:autoSpaceDN w:val="0"/>
                    <w:adjustRightInd w:val="0"/>
                    <w:jc w:val="center"/>
                    <w:rPr>
                      <w:color w:val="auto"/>
                    </w:rPr>
                  </w:pPr>
                  <w:r>
                    <w:rPr>
                      <w:color w:val="auto"/>
                    </w:rPr>
                    <w:drawing>
                      <wp:inline distT="0" distB="0" distL="114300" distR="114300">
                        <wp:extent cx="1323340" cy="818515"/>
                        <wp:effectExtent l="0" t="0" r="10160" b="635"/>
                        <wp:docPr id="5" name="图片 12"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TB2.Mf3g4hmpuFjSZFyXXcLdFXa_!!759074892.png_300x300"/>
                                <pic:cNvPicPr>
                                  <a:picLocks noChangeAspect="1"/>
                                </pic:cNvPicPr>
                              </pic:nvPicPr>
                              <pic:blipFill>
                                <a:blip r:embed="rId34"/>
                                <a:stretch>
                                  <a:fillRect/>
                                </a:stretch>
                              </pic:blipFill>
                              <pic:spPr>
                                <a:xfrm>
                                  <a:off x="0" y="0"/>
                                  <a:ext cx="1323340" cy="818515"/>
                                </a:xfrm>
                                <a:prstGeom prst="rect">
                                  <a:avLst/>
                                </a:prstGeom>
                                <a:noFill/>
                                <a:ln>
                                  <a:noFill/>
                                </a:ln>
                              </pic:spPr>
                            </pic:pic>
                          </a:graphicData>
                        </a:graphic>
                      </wp:inline>
                    </w:drawing>
                  </w:r>
                </w:p>
              </w:tc>
            </w:tr>
            <w:tr w14:paraId="4BD4F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35" w:hRule="atLeast"/>
                <w:jc w:val="center"/>
              </w:trPr>
              <w:tc>
                <w:tcPr>
                  <w:tcW w:w="393" w:type="pct"/>
                  <w:vMerge w:val="continue"/>
                  <w:noWrap w:val="0"/>
                  <w:vAlign w:val="center"/>
                </w:tcPr>
                <w:p w14:paraId="473EBB51">
                  <w:pPr>
                    <w:jc w:val="center"/>
                    <w:rPr>
                      <w:rFonts w:hint="eastAsia" w:eastAsia="宋体"/>
                      <w:color w:val="auto"/>
                      <w:lang w:val="en-US" w:eastAsia="zh-CN"/>
                    </w:rPr>
                  </w:pPr>
                </w:p>
              </w:tc>
              <w:tc>
                <w:tcPr>
                  <w:tcW w:w="455" w:type="pct"/>
                  <w:vMerge w:val="continue"/>
                  <w:noWrap w:val="0"/>
                  <w:vAlign w:val="center"/>
                </w:tcPr>
                <w:p w14:paraId="1D1722A1">
                  <w:pPr>
                    <w:jc w:val="center"/>
                    <w:rPr>
                      <w:color w:val="auto"/>
                    </w:rPr>
                  </w:pPr>
                </w:p>
              </w:tc>
              <w:tc>
                <w:tcPr>
                  <w:tcW w:w="2392" w:type="pct"/>
                  <w:noWrap w:val="0"/>
                  <w:vAlign w:val="center"/>
                </w:tcPr>
                <w:p w14:paraId="2370C23C">
                  <w:pPr>
                    <w:autoSpaceDE w:val="0"/>
                    <w:autoSpaceDN w:val="0"/>
                    <w:adjustRightInd w:val="0"/>
                    <w:jc w:val="center"/>
                    <w:rPr>
                      <w:color w:val="auto"/>
                    </w:rPr>
                  </w:pPr>
                  <w:r>
                    <w:rPr>
                      <w:rFonts w:hint="default" w:ascii="Times New Roman" w:hAnsi="Times New Roman" w:eastAsia="宋体" w:cs="Times New Roman"/>
                      <w:color w:val="auto"/>
                      <w:highlight w:val="none"/>
                    </w:rPr>
                    <w:t>项目危险废物应设置专用储存、处置场所。危险废物贮存必须规范化，并设置与之相符的环境保护图形标示牌</w:t>
                  </w:r>
                </w:p>
              </w:tc>
              <w:tc>
                <w:tcPr>
                  <w:tcW w:w="1758" w:type="pct"/>
                  <w:noWrap w:val="0"/>
                  <w:vAlign w:val="center"/>
                </w:tcPr>
                <w:p w14:paraId="7FF6477D">
                  <w:pPr>
                    <w:autoSpaceDE w:val="0"/>
                    <w:autoSpaceDN w:val="0"/>
                    <w:adjustRightInd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sz w:val="21"/>
                      <w:highlight w:val="none"/>
                    </w:rPr>
                    <w:drawing>
                      <wp:inline distT="0" distB="0" distL="114300" distR="114300">
                        <wp:extent cx="1405890" cy="1276350"/>
                        <wp:effectExtent l="0" t="0" r="3810" b="0"/>
                        <wp:docPr id="10" name="图片 4"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1677821471094"/>
                                <pic:cNvPicPr>
                                  <a:picLocks noChangeAspect="1"/>
                                </pic:cNvPicPr>
                              </pic:nvPicPr>
                              <pic:blipFill>
                                <a:blip r:embed="rId35"/>
                                <a:stretch>
                                  <a:fillRect/>
                                </a:stretch>
                              </pic:blipFill>
                              <pic:spPr>
                                <a:xfrm>
                                  <a:off x="0" y="0"/>
                                  <a:ext cx="1405890" cy="1276350"/>
                                </a:xfrm>
                                <a:prstGeom prst="rect">
                                  <a:avLst/>
                                </a:prstGeom>
                                <a:noFill/>
                                <a:ln>
                                  <a:noFill/>
                                </a:ln>
                              </pic:spPr>
                            </pic:pic>
                          </a:graphicData>
                        </a:graphic>
                      </wp:inline>
                    </w:drawing>
                  </w:r>
                </w:p>
              </w:tc>
            </w:tr>
          </w:tbl>
          <w:p w14:paraId="7A3D9995">
            <w:pPr>
              <w:spacing w:line="500" w:lineRule="exact"/>
              <w:ind w:firstLine="480" w:firstLineChars="200"/>
              <w:rPr>
                <w:color w:val="auto"/>
                <w:sz w:val="24"/>
              </w:rPr>
            </w:pPr>
            <w:r>
              <w:rPr>
                <w:color w:val="auto"/>
                <w:sz w:val="24"/>
              </w:rPr>
              <w:t>②排污口建档管理</w:t>
            </w:r>
          </w:p>
          <w:p w14:paraId="52E749C9">
            <w:pPr>
              <w:spacing w:line="500" w:lineRule="exact"/>
              <w:ind w:firstLine="480" w:firstLineChars="200"/>
              <w:rPr>
                <w:color w:val="auto"/>
                <w:sz w:val="24"/>
              </w:rPr>
            </w:pPr>
            <w:r>
              <w:rPr>
                <w:color w:val="auto"/>
                <w:sz w:val="24"/>
              </w:rPr>
              <w:t>使用国家环保局统一印制的《中华人民共和国规范化排污口标志登记证》，并按要求填写有关内容，项目建成后，应将主要污染物种类、数量、浓度、排放去向、立标情况及设施运行情况记录于档案。</w:t>
            </w:r>
          </w:p>
          <w:p w14:paraId="4B408068">
            <w:pPr>
              <w:spacing w:line="500" w:lineRule="exact"/>
              <w:ind w:firstLine="482" w:firstLineChars="200"/>
              <w:rPr>
                <w:b/>
                <w:bCs/>
                <w:color w:val="auto"/>
                <w:sz w:val="24"/>
              </w:rPr>
            </w:pPr>
            <w:r>
              <w:rPr>
                <w:b/>
                <w:bCs/>
                <w:color w:val="auto"/>
                <w:sz w:val="24"/>
              </w:rPr>
              <w:t>3、环境影响评价制度与排污许可制度衔接</w:t>
            </w:r>
          </w:p>
          <w:p w14:paraId="392BD06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color w:val="auto"/>
                <w:sz w:val="24"/>
              </w:rPr>
            </w:pPr>
            <w:r>
              <w:rPr>
                <w:color w:val="auto"/>
                <w:sz w:val="24"/>
                <w:lang w:bidi="ar"/>
              </w:rPr>
              <w:t>根据《排污许可管理办法(试行)》(部令第 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color w:val="auto"/>
                <w:sz w:val="24"/>
                <w:lang w:bidi="ar"/>
              </w:rPr>
              <w:t>。</w:t>
            </w:r>
            <w:r>
              <w:rPr>
                <w:rFonts w:hint="eastAsia"/>
                <w:color w:val="auto"/>
                <w:sz w:val="24"/>
              </w:rPr>
              <w:t>企业</w:t>
            </w:r>
            <w:r>
              <w:rPr>
                <w:color w:val="auto"/>
                <w:sz w:val="24"/>
              </w:rPr>
              <w:t>应当</w:t>
            </w:r>
            <w:r>
              <w:rPr>
                <w:rFonts w:hint="eastAsia"/>
                <w:color w:val="auto"/>
                <w:sz w:val="24"/>
              </w:rPr>
              <w:t>在本项目建成后及时</w:t>
            </w:r>
            <w:r>
              <w:rPr>
                <w:color w:val="auto"/>
                <w:sz w:val="24"/>
              </w:rPr>
              <w:t>在全国排污许可证管理信息平台</w:t>
            </w:r>
            <w:r>
              <w:rPr>
                <w:rFonts w:hint="eastAsia"/>
                <w:color w:val="auto"/>
                <w:sz w:val="24"/>
              </w:rPr>
              <w:t>对</w:t>
            </w:r>
            <w:r>
              <w:rPr>
                <w:color w:val="auto"/>
                <w:sz w:val="24"/>
              </w:rPr>
              <w:t>排污</w:t>
            </w:r>
            <w:r>
              <w:rPr>
                <w:rFonts w:hint="eastAsia"/>
                <w:color w:val="auto"/>
                <w:sz w:val="24"/>
              </w:rPr>
              <w:t>信息进行申报。</w:t>
            </w:r>
          </w:p>
          <w:p w14:paraId="374767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4、验收管理要求</w:t>
            </w:r>
          </w:p>
          <w:p w14:paraId="2308C8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依据《建设项目环境保护管理条例》(中华人民共和国国务院令第682·号)、《建设项目竣工环境保护验收暂行办法》(国环规环评[2017]4号)以及《关于发布《建设项目竣工环境保护验收技术指南污染影响类》的公告》(生态环境部公告·公告2018年第9号)，建设项目竣工后，建设单位应当按照标准和程序，对配套建设的环境保护设施进行验收，进行验收监测并编制验收报告。</w:t>
            </w:r>
          </w:p>
          <w:p w14:paraId="52390D40">
            <w:pPr>
              <w:pStyle w:val="11"/>
              <w:spacing w:line="500" w:lineRule="exact"/>
              <w:ind w:firstLine="480" w:firstLineChars="200"/>
              <w:rPr>
                <w:color w:val="auto"/>
                <w:sz w:val="24"/>
              </w:rPr>
            </w:pPr>
          </w:p>
        </w:tc>
      </w:tr>
    </w:tbl>
    <w:p w14:paraId="659FDF3B">
      <w:pPr>
        <w:pStyle w:val="2"/>
        <w:rPr>
          <w:color w:val="auto"/>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74D07A60">
      <w:pPr>
        <w:pStyle w:val="19"/>
        <w:jc w:val="center"/>
        <w:outlineLvl w:val="0"/>
        <w:rPr>
          <w:rFonts w:ascii="Times New Roman" w:hAnsi="Times New Roman" w:eastAsia="黑体"/>
          <w:snapToGrid w:val="0"/>
          <w:color w:val="auto"/>
          <w:sz w:val="30"/>
          <w:szCs w:val="30"/>
        </w:rPr>
      </w:pPr>
      <w:bookmarkStart w:id="24" w:name="_Toc20986"/>
      <w:bookmarkStart w:id="25" w:name="_Toc16095"/>
      <w:bookmarkStart w:id="26" w:name="_Toc6402"/>
      <w:r>
        <w:rPr>
          <w:rFonts w:ascii="Times New Roman" w:hAnsi="Times New Roman" w:eastAsia="黑体"/>
          <w:snapToGrid w:val="0"/>
          <w:color w:val="auto"/>
          <w:sz w:val="30"/>
          <w:szCs w:val="30"/>
        </w:rPr>
        <w:t>六、结论</w:t>
      </w:r>
      <w:bookmarkEnd w:id="24"/>
      <w:bookmarkEnd w:id="25"/>
      <w:bookmarkEnd w:id="26"/>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288"/>
      </w:tblGrid>
      <w:tr w14:paraId="77944D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98" w:hRule="atLeast"/>
          <w:jc w:val="center"/>
        </w:trPr>
        <w:tc>
          <w:tcPr>
            <w:tcW w:w="5000" w:type="pct"/>
          </w:tcPr>
          <w:p w14:paraId="497AD21F">
            <w:pPr>
              <w:spacing w:line="500" w:lineRule="exact"/>
              <w:ind w:firstLine="480" w:firstLineChars="200"/>
              <w:rPr>
                <w:color w:val="auto"/>
                <w:sz w:val="24"/>
              </w:rPr>
            </w:pPr>
            <w:r>
              <w:rPr>
                <w:rFonts w:hint="eastAsia"/>
                <w:color w:val="auto"/>
                <w:sz w:val="24"/>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14:paraId="030507FB">
            <w:pPr>
              <w:spacing w:line="500" w:lineRule="exact"/>
              <w:ind w:firstLine="420" w:firstLineChars="200"/>
              <w:rPr>
                <w:color w:val="auto"/>
              </w:rPr>
            </w:pPr>
          </w:p>
          <w:p w14:paraId="3B82B55C">
            <w:pPr>
              <w:spacing w:line="360" w:lineRule="auto"/>
              <w:rPr>
                <w:color w:val="auto"/>
              </w:rPr>
            </w:pPr>
          </w:p>
          <w:p w14:paraId="0CDDBBC8">
            <w:pPr>
              <w:pStyle w:val="2"/>
              <w:rPr>
                <w:color w:val="auto"/>
              </w:rPr>
            </w:pPr>
          </w:p>
          <w:p w14:paraId="6007EBB9">
            <w:pPr>
              <w:pStyle w:val="2"/>
              <w:rPr>
                <w:color w:val="auto"/>
              </w:rPr>
            </w:pPr>
          </w:p>
          <w:p w14:paraId="582E2438">
            <w:pPr>
              <w:pStyle w:val="2"/>
              <w:rPr>
                <w:color w:val="auto"/>
              </w:rPr>
            </w:pPr>
          </w:p>
          <w:p w14:paraId="6A1A2FC9">
            <w:pPr>
              <w:pStyle w:val="2"/>
              <w:rPr>
                <w:color w:val="auto"/>
              </w:rPr>
            </w:pPr>
          </w:p>
          <w:p w14:paraId="06719090">
            <w:pPr>
              <w:pStyle w:val="2"/>
              <w:rPr>
                <w:color w:val="auto"/>
              </w:rPr>
            </w:pPr>
          </w:p>
          <w:p w14:paraId="62954BF4">
            <w:pPr>
              <w:pStyle w:val="2"/>
              <w:rPr>
                <w:color w:val="auto"/>
              </w:rPr>
            </w:pPr>
          </w:p>
          <w:p w14:paraId="655EF72A">
            <w:pPr>
              <w:rPr>
                <w:color w:val="auto"/>
              </w:rPr>
            </w:pPr>
          </w:p>
          <w:p w14:paraId="5CAFCBAF">
            <w:pPr>
              <w:rPr>
                <w:color w:val="auto"/>
              </w:rPr>
            </w:pPr>
          </w:p>
          <w:p w14:paraId="331FBFC6">
            <w:pPr>
              <w:rPr>
                <w:color w:val="auto"/>
              </w:rPr>
            </w:pPr>
          </w:p>
          <w:p w14:paraId="37771C4C">
            <w:pPr>
              <w:rPr>
                <w:color w:val="auto"/>
              </w:rPr>
            </w:pPr>
          </w:p>
          <w:p w14:paraId="342752D1">
            <w:pPr>
              <w:rPr>
                <w:color w:val="auto"/>
              </w:rPr>
            </w:pPr>
          </w:p>
          <w:p w14:paraId="0307C1D9">
            <w:pPr>
              <w:rPr>
                <w:color w:val="auto"/>
              </w:rPr>
            </w:pPr>
          </w:p>
          <w:p w14:paraId="73D38EA6">
            <w:pPr>
              <w:rPr>
                <w:color w:val="auto"/>
              </w:rPr>
            </w:pPr>
          </w:p>
          <w:p w14:paraId="660E9DDA">
            <w:pPr>
              <w:rPr>
                <w:color w:val="auto"/>
              </w:rPr>
            </w:pPr>
          </w:p>
          <w:p w14:paraId="6C70E56F">
            <w:pPr>
              <w:rPr>
                <w:color w:val="auto"/>
              </w:rPr>
            </w:pPr>
          </w:p>
          <w:p w14:paraId="6A5760BD">
            <w:pPr>
              <w:rPr>
                <w:color w:val="auto"/>
              </w:rPr>
            </w:pPr>
          </w:p>
          <w:p w14:paraId="5F9437FA">
            <w:pPr>
              <w:rPr>
                <w:color w:val="auto"/>
              </w:rPr>
            </w:pPr>
          </w:p>
          <w:p w14:paraId="107D73F7">
            <w:pPr>
              <w:rPr>
                <w:color w:val="auto"/>
              </w:rPr>
            </w:pPr>
          </w:p>
          <w:p w14:paraId="1D371964">
            <w:pPr>
              <w:rPr>
                <w:color w:val="auto"/>
              </w:rPr>
            </w:pPr>
          </w:p>
          <w:p w14:paraId="086AFC1F">
            <w:pPr>
              <w:rPr>
                <w:color w:val="auto"/>
              </w:rPr>
            </w:pPr>
          </w:p>
          <w:p w14:paraId="39A3C9E8">
            <w:pPr>
              <w:rPr>
                <w:color w:val="auto"/>
              </w:rPr>
            </w:pPr>
          </w:p>
          <w:p w14:paraId="0F5997F3">
            <w:pPr>
              <w:rPr>
                <w:color w:val="auto"/>
              </w:rPr>
            </w:pPr>
          </w:p>
          <w:p w14:paraId="2986B5FF">
            <w:pPr>
              <w:rPr>
                <w:color w:val="auto"/>
              </w:rPr>
            </w:pPr>
          </w:p>
          <w:p w14:paraId="2639AA5F">
            <w:pPr>
              <w:rPr>
                <w:color w:val="auto"/>
              </w:rPr>
            </w:pPr>
          </w:p>
          <w:p w14:paraId="4E6A89B7">
            <w:pPr>
              <w:pStyle w:val="2"/>
              <w:rPr>
                <w:color w:val="auto"/>
              </w:rPr>
            </w:pPr>
          </w:p>
          <w:p w14:paraId="66E0D9B0">
            <w:pPr>
              <w:pStyle w:val="2"/>
              <w:rPr>
                <w:color w:val="auto"/>
              </w:rPr>
            </w:pPr>
          </w:p>
          <w:p w14:paraId="62E0BEBB">
            <w:pPr>
              <w:pStyle w:val="2"/>
              <w:rPr>
                <w:color w:val="auto"/>
              </w:rPr>
            </w:pPr>
          </w:p>
        </w:tc>
      </w:tr>
    </w:tbl>
    <w:p w14:paraId="3DAB67D7">
      <w:pPr>
        <w:rPr>
          <w:color w:val="auto"/>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14:paraId="4A0DF542">
      <w:pPr>
        <w:pStyle w:val="19"/>
        <w:adjustRightInd w:val="0"/>
        <w:snapToGrid w:val="0"/>
        <w:spacing w:before="0" w:beforeAutospacing="0" w:after="0" w:afterAutospacing="0"/>
        <w:rPr>
          <w:rFonts w:ascii="Times New Roman" w:hAnsi="Times New Roman" w:eastAsia="黑体"/>
          <w:snapToGrid w:val="0"/>
          <w:color w:val="auto"/>
          <w:sz w:val="32"/>
          <w:szCs w:val="32"/>
        </w:rPr>
      </w:pPr>
      <w:bookmarkStart w:id="27" w:name="_Toc9737"/>
      <w:r>
        <w:rPr>
          <w:rFonts w:hint="eastAsia" w:ascii="Times New Roman" w:hAnsi="Times New Roman" w:eastAsia="黑体"/>
          <w:snapToGrid w:val="0"/>
          <w:color w:val="auto"/>
          <w:sz w:val="32"/>
          <w:szCs w:val="32"/>
        </w:rPr>
        <w:t>附表</w:t>
      </w:r>
      <w:bookmarkEnd w:id="27"/>
    </w:p>
    <w:p w14:paraId="06335A43">
      <w:pPr>
        <w:pStyle w:val="19"/>
        <w:adjustRightInd w:val="0"/>
        <w:snapToGrid w:val="0"/>
        <w:spacing w:before="0" w:beforeAutospacing="0" w:after="0" w:afterAutospacing="0"/>
        <w:jc w:val="center"/>
        <w:rPr>
          <w:rFonts w:ascii="Times New Roman" w:hAnsi="Times New Roman" w:eastAsia="方正小标宋_GBK"/>
          <w:snapToGrid w:val="0"/>
          <w:color w:val="auto"/>
          <w:sz w:val="38"/>
          <w:szCs w:val="38"/>
        </w:rPr>
      </w:pPr>
      <w:bookmarkStart w:id="28" w:name="_Toc5135"/>
      <w:r>
        <w:rPr>
          <w:rFonts w:ascii="Times New Roman" w:hAnsi="Times New Roman" w:eastAsia="方正小标宋_GBK"/>
          <w:snapToGrid w:val="0"/>
          <w:color w:val="auto"/>
          <w:sz w:val="38"/>
          <w:szCs w:val="38"/>
        </w:rPr>
        <w:t>建设项目污染物排放量汇总表</w:t>
      </w:r>
      <w:bookmarkEnd w:id="28"/>
    </w:p>
    <w:tbl>
      <w:tblPr>
        <w:tblStyle w:val="23"/>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43"/>
        <w:gridCol w:w="1786"/>
        <w:gridCol w:w="1508"/>
        <w:gridCol w:w="2011"/>
        <w:gridCol w:w="1977"/>
        <w:gridCol w:w="1755"/>
        <w:gridCol w:w="2022"/>
      </w:tblGrid>
      <w:tr w14:paraId="0F87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0" w:type="pct"/>
            <w:tcBorders>
              <w:tl2br w:val="single" w:color="auto" w:sz="4" w:space="0"/>
            </w:tcBorders>
            <w:tcMar>
              <w:left w:w="28" w:type="dxa"/>
              <w:right w:w="28" w:type="dxa"/>
            </w:tcMar>
            <w:vAlign w:val="center"/>
          </w:tcPr>
          <w:p w14:paraId="0AB85DBF">
            <w:pPr>
              <w:pStyle w:val="34"/>
              <w:spacing w:beforeLines="0" w:afterLines="0" w:line="320" w:lineRule="exact"/>
              <w:ind w:firstLine="456" w:firstLineChars="200"/>
              <w:jc w:val="both"/>
              <w:rPr>
                <w:rFonts w:ascii="黑体" w:hAnsi="黑体" w:eastAsia="黑体" w:cs="黑体"/>
                <w:snapToGrid w:val="0"/>
                <w:color w:val="auto"/>
                <w:spacing w:val="-6"/>
                <w:kern w:val="21"/>
                <w:sz w:val="24"/>
                <w:szCs w:val="24"/>
              </w:rPr>
            </w:pPr>
            <w:r>
              <w:rPr>
                <w:rFonts w:hint="eastAsia" w:ascii="黑体" w:hAnsi="黑体" w:eastAsia="黑体" w:cs="黑体"/>
                <w:snapToGrid w:val="0"/>
                <w:color w:val="auto"/>
                <w:spacing w:val="-6"/>
                <w:kern w:val="21"/>
                <w:sz w:val="24"/>
                <w:szCs w:val="24"/>
              </w:rPr>
              <w:t>项目</w:t>
            </w:r>
          </w:p>
          <w:p w14:paraId="6BCB3D5D">
            <w:pPr>
              <w:spacing w:line="320" w:lineRule="exact"/>
              <w:rPr>
                <w:color w:val="auto"/>
              </w:rPr>
            </w:pPr>
          </w:p>
          <w:p w14:paraId="5CD3C2B4">
            <w:pPr>
              <w:pStyle w:val="34"/>
              <w:spacing w:beforeLines="0" w:afterLines="0" w:line="320" w:lineRule="exact"/>
              <w:jc w:val="both"/>
              <w:rPr>
                <w:rFonts w:ascii="Times New Roman" w:cs="宋体"/>
                <w:snapToGrid w:val="0"/>
                <w:color w:val="auto"/>
                <w:spacing w:val="-6"/>
                <w:kern w:val="21"/>
                <w:sz w:val="24"/>
                <w:szCs w:val="24"/>
              </w:rPr>
            </w:pPr>
            <w:r>
              <w:rPr>
                <w:rFonts w:hint="eastAsia" w:ascii="黑体" w:hAnsi="黑体" w:eastAsia="黑体" w:cs="黑体"/>
                <w:snapToGrid w:val="0"/>
                <w:color w:val="auto"/>
                <w:spacing w:val="-6"/>
                <w:kern w:val="21"/>
                <w:sz w:val="24"/>
                <w:szCs w:val="24"/>
              </w:rPr>
              <w:t>分类</w:t>
            </w:r>
          </w:p>
        </w:tc>
        <w:tc>
          <w:tcPr>
            <w:tcW w:w="584" w:type="pct"/>
            <w:tcMar>
              <w:left w:w="28" w:type="dxa"/>
              <w:right w:w="28" w:type="dxa"/>
            </w:tcMar>
            <w:vAlign w:val="center"/>
          </w:tcPr>
          <w:p w14:paraId="75D7C8EA">
            <w:pPr>
              <w:pStyle w:val="34"/>
              <w:spacing w:beforeLines="0" w:afterLines="0" w:line="320" w:lineRule="exact"/>
              <w:rPr>
                <w:rFonts w:ascii="黑体" w:hAnsi="黑体" w:eastAsia="黑体" w:cs="宋体"/>
                <w:snapToGrid w:val="0"/>
                <w:color w:val="auto"/>
                <w:spacing w:val="-6"/>
                <w:kern w:val="21"/>
                <w:sz w:val="24"/>
                <w:szCs w:val="24"/>
              </w:rPr>
            </w:pPr>
            <w:r>
              <w:rPr>
                <w:rFonts w:hint="eastAsia" w:ascii="黑体" w:hAnsi="黑体" w:eastAsia="黑体" w:cs="宋体"/>
                <w:snapToGrid w:val="0"/>
                <w:color w:val="auto"/>
                <w:spacing w:val="-6"/>
                <w:kern w:val="21"/>
                <w:sz w:val="24"/>
                <w:szCs w:val="24"/>
              </w:rPr>
              <w:t>污染物名称</w:t>
            </w:r>
          </w:p>
        </w:tc>
        <w:tc>
          <w:tcPr>
            <w:tcW w:w="635" w:type="pct"/>
            <w:tcMar>
              <w:left w:w="28" w:type="dxa"/>
              <w:right w:w="28" w:type="dxa"/>
            </w:tcMar>
            <w:vAlign w:val="center"/>
          </w:tcPr>
          <w:p w14:paraId="5A50F32E">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现有工程</w:t>
            </w:r>
          </w:p>
          <w:p w14:paraId="67E5BB56">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1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①</w:t>
            </w:r>
            <w:r>
              <w:rPr>
                <w:rFonts w:ascii="黑体" w:hAnsi="黑体" w:eastAsia="黑体"/>
                <w:snapToGrid w:val="0"/>
                <w:color w:val="auto"/>
                <w:spacing w:val="-6"/>
                <w:kern w:val="21"/>
                <w:sz w:val="24"/>
                <w:szCs w:val="24"/>
              </w:rPr>
              <w:fldChar w:fldCharType="end"/>
            </w:r>
          </w:p>
        </w:tc>
        <w:tc>
          <w:tcPr>
            <w:tcW w:w="536" w:type="pct"/>
            <w:tcMar>
              <w:left w:w="28" w:type="dxa"/>
              <w:right w:w="28" w:type="dxa"/>
            </w:tcMar>
            <w:vAlign w:val="center"/>
          </w:tcPr>
          <w:p w14:paraId="694D1C95">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现有工程</w:t>
            </w:r>
          </w:p>
          <w:p w14:paraId="5CF818AF">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许可排放量</w:t>
            </w:r>
          </w:p>
          <w:p w14:paraId="66AA7DA0">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2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snapToGrid w:val="0"/>
                <w:color w:val="auto"/>
                <w:spacing w:val="-6"/>
                <w:kern w:val="21"/>
                <w:sz w:val="24"/>
                <w:szCs w:val="24"/>
              </w:rPr>
              <w:t>②</w:t>
            </w:r>
            <w:r>
              <w:rPr>
                <w:rFonts w:ascii="黑体" w:hAnsi="黑体" w:eastAsia="黑体"/>
                <w:snapToGrid w:val="0"/>
                <w:color w:val="auto"/>
                <w:spacing w:val="-6"/>
                <w:kern w:val="21"/>
                <w:sz w:val="24"/>
                <w:szCs w:val="24"/>
              </w:rPr>
              <w:fldChar w:fldCharType="end"/>
            </w:r>
          </w:p>
        </w:tc>
        <w:tc>
          <w:tcPr>
            <w:tcW w:w="715" w:type="pct"/>
            <w:tcMar>
              <w:left w:w="28" w:type="dxa"/>
              <w:right w:w="28" w:type="dxa"/>
            </w:tcMar>
            <w:vAlign w:val="center"/>
          </w:tcPr>
          <w:p w14:paraId="671D6AF5">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在建工程</w:t>
            </w:r>
          </w:p>
          <w:p w14:paraId="14C45B72">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3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③</w:t>
            </w:r>
            <w:r>
              <w:rPr>
                <w:rFonts w:ascii="黑体" w:hAnsi="黑体" w:eastAsia="黑体"/>
                <w:snapToGrid w:val="0"/>
                <w:color w:val="auto"/>
                <w:spacing w:val="-6"/>
                <w:kern w:val="21"/>
                <w:sz w:val="24"/>
                <w:szCs w:val="24"/>
              </w:rPr>
              <w:fldChar w:fldCharType="end"/>
            </w:r>
          </w:p>
        </w:tc>
        <w:tc>
          <w:tcPr>
            <w:tcW w:w="703" w:type="pct"/>
            <w:tcMar>
              <w:left w:w="28" w:type="dxa"/>
              <w:right w:w="28" w:type="dxa"/>
            </w:tcMar>
            <w:vAlign w:val="center"/>
          </w:tcPr>
          <w:p w14:paraId="662BC310">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本项目</w:t>
            </w:r>
          </w:p>
          <w:p w14:paraId="7BDC432B">
            <w:pPr>
              <w:pStyle w:val="34"/>
              <w:spacing w:beforeLines="0" w:afterLines="0" w:line="320" w:lineRule="exact"/>
              <w:rPr>
                <w:rFonts w:ascii="黑体" w:hAnsi="黑体" w:eastAsia="黑体"/>
                <w:snapToGrid w:val="0"/>
                <w:color w:val="auto"/>
                <w:spacing w:val="-6"/>
                <w:kern w:val="21"/>
                <w:sz w:val="24"/>
                <w:szCs w:val="24"/>
              </w:rPr>
            </w:pPr>
            <w:r>
              <w:rPr>
                <w:rFonts w:ascii="黑体" w:hAnsi="黑体" w:eastAsia="黑体"/>
                <w:snapToGrid w:val="0"/>
                <w:color w:val="auto"/>
                <w:spacing w:val="-6"/>
                <w:kern w:val="21"/>
                <w:sz w:val="24"/>
                <w:szCs w:val="24"/>
              </w:rPr>
              <w:t>排放量（固</w:t>
            </w:r>
            <w:r>
              <w:rPr>
                <w:rFonts w:hint="eastAsia" w:ascii="黑体" w:hAnsi="黑体" w:eastAsia="黑体"/>
                <w:snapToGrid w:val="0"/>
                <w:color w:val="auto"/>
                <w:spacing w:val="-6"/>
                <w:kern w:val="21"/>
                <w:sz w:val="24"/>
                <w:szCs w:val="24"/>
              </w:rPr>
              <w:t>体</w:t>
            </w:r>
            <w:r>
              <w:rPr>
                <w:rFonts w:ascii="黑体" w:hAnsi="黑体" w:eastAsia="黑体"/>
                <w:snapToGrid w:val="0"/>
                <w:color w:val="auto"/>
                <w:spacing w:val="-6"/>
                <w:kern w:val="21"/>
                <w:sz w:val="24"/>
                <w:szCs w:val="24"/>
              </w:rPr>
              <w:t>废</w:t>
            </w:r>
            <w:r>
              <w:rPr>
                <w:rFonts w:hint="eastAsia" w:ascii="黑体" w:hAnsi="黑体" w:eastAsia="黑体"/>
                <w:snapToGrid w:val="0"/>
                <w:color w:val="auto"/>
                <w:spacing w:val="-6"/>
                <w:kern w:val="21"/>
                <w:sz w:val="24"/>
                <w:szCs w:val="24"/>
              </w:rPr>
              <w:t>物</w:t>
            </w:r>
            <w:r>
              <w:rPr>
                <w:rFonts w:ascii="黑体" w:hAnsi="黑体" w:eastAsia="黑体"/>
                <w:snapToGrid w:val="0"/>
                <w:color w:val="auto"/>
                <w:spacing w:val="-6"/>
                <w:kern w:val="21"/>
                <w:sz w:val="24"/>
                <w:szCs w:val="24"/>
              </w:rPr>
              <w:t>产生量）</w:t>
            </w:r>
            <w:r>
              <w:rPr>
                <w:rFonts w:ascii="黑体" w:hAnsi="黑体" w:eastAsia="黑体"/>
                <w:snapToGrid w:val="0"/>
                <w:color w:val="auto"/>
                <w:spacing w:val="-6"/>
                <w:kern w:val="21"/>
                <w:sz w:val="24"/>
                <w:szCs w:val="24"/>
              </w:rPr>
              <w:fldChar w:fldCharType="begin"/>
            </w:r>
            <w:r>
              <w:rPr>
                <w:rFonts w:ascii="黑体" w:hAnsi="黑体" w:eastAsia="黑体"/>
                <w:snapToGrid w:val="0"/>
                <w:color w:val="auto"/>
                <w:spacing w:val="-6"/>
                <w:kern w:val="21"/>
                <w:sz w:val="24"/>
                <w:szCs w:val="24"/>
              </w:rPr>
              <w:instrText xml:space="preserve"> = 4 \* GB3 \* MERGEFORMAT </w:instrText>
            </w:r>
            <w:r>
              <w:rPr>
                <w:rFonts w:ascii="黑体" w:hAnsi="黑体" w:eastAsia="黑体"/>
                <w:snapToGrid w:val="0"/>
                <w:color w:val="auto"/>
                <w:spacing w:val="-6"/>
                <w:kern w:val="21"/>
                <w:sz w:val="24"/>
                <w:szCs w:val="24"/>
              </w:rPr>
              <w:fldChar w:fldCharType="separate"/>
            </w:r>
            <w:r>
              <w:rPr>
                <w:rFonts w:hint="eastAsia" w:ascii="黑体" w:hAnsi="黑体" w:eastAsia="黑体" w:cs="宋体"/>
                <w:color w:val="auto"/>
                <w:kern w:val="2"/>
                <w:sz w:val="24"/>
                <w:szCs w:val="24"/>
              </w:rPr>
              <w:t>④</w:t>
            </w:r>
            <w:r>
              <w:rPr>
                <w:rFonts w:ascii="黑体" w:hAnsi="黑体" w:eastAsia="黑体"/>
                <w:snapToGrid w:val="0"/>
                <w:color w:val="auto"/>
                <w:spacing w:val="-6"/>
                <w:kern w:val="21"/>
                <w:sz w:val="24"/>
                <w:szCs w:val="24"/>
              </w:rPr>
              <w:fldChar w:fldCharType="end"/>
            </w:r>
          </w:p>
        </w:tc>
        <w:tc>
          <w:tcPr>
            <w:tcW w:w="624" w:type="pct"/>
            <w:tcMar>
              <w:left w:w="28" w:type="dxa"/>
              <w:right w:w="28" w:type="dxa"/>
            </w:tcMar>
            <w:vAlign w:val="center"/>
          </w:tcPr>
          <w:p w14:paraId="77EF1F91">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以新带老削减量</w:t>
            </w:r>
          </w:p>
          <w:p w14:paraId="4C8C1AA6">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（新建项目不填）</w:t>
            </w:r>
            <w:r>
              <w:rPr>
                <w:rFonts w:ascii="黑体" w:hAnsi="黑体" w:eastAsia="黑体"/>
                <w:snapToGrid w:val="0"/>
                <w:color w:val="auto"/>
                <w:spacing w:val="-16"/>
                <w:kern w:val="21"/>
                <w:sz w:val="24"/>
                <w:szCs w:val="24"/>
              </w:rPr>
              <w:fldChar w:fldCharType="begin"/>
            </w:r>
            <w:r>
              <w:rPr>
                <w:rFonts w:ascii="黑体" w:hAnsi="黑体" w:eastAsia="黑体"/>
                <w:snapToGrid w:val="0"/>
                <w:color w:val="auto"/>
                <w:spacing w:val="-16"/>
                <w:kern w:val="21"/>
                <w:sz w:val="24"/>
                <w:szCs w:val="24"/>
              </w:rPr>
              <w:instrText xml:space="preserve"> = 5 \* GB3 \* MERGEFORMAT </w:instrText>
            </w:r>
            <w:r>
              <w:rPr>
                <w:rFonts w:ascii="黑体" w:hAnsi="黑体" w:eastAsia="黑体"/>
                <w:snapToGrid w:val="0"/>
                <w:color w:val="auto"/>
                <w:spacing w:val="-16"/>
                <w:kern w:val="21"/>
                <w:sz w:val="24"/>
                <w:szCs w:val="24"/>
              </w:rPr>
              <w:fldChar w:fldCharType="separate"/>
            </w:r>
            <w:r>
              <w:rPr>
                <w:rFonts w:hint="eastAsia" w:ascii="黑体" w:hAnsi="黑体" w:eastAsia="黑体" w:cs="宋体"/>
                <w:color w:val="auto"/>
                <w:kern w:val="2"/>
                <w:sz w:val="24"/>
                <w:szCs w:val="24"/>
              </w:rPr>
              <w:t>⑤</w:t>
            </w:r>
            <w:r>
              <w:rPr>
                <w:rFonts w:ascii="黑体" w:hAnsi="黑体" w:eastAsia="黑体"/>
                <w:snapToGrid w:val="0"/>
                <w:color w:val="auto"/>
                <w:spacing w:val="-16"/>
                <w:kern w:val="21"/>
                <w:sz w:val="24"/>
                <w:szCs w:val="24"/>
              </w:rPr>
              <w:fldChar w:fldCharType="end"/>
            </w:r>
          </w:p>
        </w:tc>
        <w:tc>
          <w:tcPr>
            <w:tcW w:w="719" w:type="pct"/>
            <w:tcMar>
              <w:left w:w="28" w:type="dxa"/>
              <w:right w:w="28" w:type="dxa"/>
            </w:tcMar>
            <w:vAlign w:val="center"/>
          </w:tcPr>
          <w:p w14:paraId="09F87822">
            <w:pPr>
              <w:pStyle w:val="34"/>
              <w:spacing w:beforeLines="0" w:afterLines="0" w:line="320" w:lineRule="exact"/>
              <w:rPr>
                <w:rFonts w:ascii="黑体" w:hAnsi="黑体" w:eastAsia="黑体"/>
                <w:snapToGrid w:val="0"/>
                <w:color w:val="auto"/>
                <w:spacing w:val="-16"/>
                <w:kern w:val="21"/>
                <w:sz w:val="24"/>
                <w:szCs w:val="24"/>
              </w:rPr>
            </w:pPr>
            <w:r>
              <w:rPr>
                <w:rFonts w:ascii="黑体" w:hAnsi="黑体" w:eastAsia="黑体"/>
                <w:snapToGrid w:val="0"/>
                <w:color w:val="auto"/>
                <w:spacing w:val="-16"/>
                <w:kern w:val="21"/>
                <w:sz w:val="24"/>
                <w:szCs w:val="24"/>
              </w:rPr>
              <w:t>本项目建成后</w:t>
            </w:r>
          </w:p>
          <w:p w14:paraId="1A947AE7">
            <w:pPr>
              <w:pStyle w:val="34"/>
              <w:spacing w:beforeLines="0" w:afterLines="0" w:line="320" w:lineRule="exact"/>
              <w:rPr>
                <w:rFonts w:ascii="黑体" w:hAnsi="黑体" w:eastAsia="黑体"/>
                <w:snapToGrid w:val="0"/>
                <w:color w:val="auto"/>
                <w:spacing w:val="-16"/>
                <w:kern w:val="21"/>
                <w:sz w:val="24"/>
                <w:szCs w:val="24"/>
              </w:rPr>
            </w:pPr>
            <w:r>
              <w:rPr>
                <w:rFonts w:hint="eastAsia" w:ascii="黑体" w:hAnsi="黑体" w:eastAsia="黑体"/>
                <w:snapToGrid w:val="0"/>
                <w:color w:val="auto"/>
                <w:spacing w:val="-16"/>
                <w:kern w:val="21"/>
                <w:sz w:val="24"/>
                <w:szCs w:val="24"/>
              </w:rPr>
              <w:t>全厂</w:t>
            </w:r>
            <w:r>
              <w:rPr>
                <w:rFonts w:ascii="黑体" w:hAnsi="黑体" w:eastAsia="黑体"/>
                <w:snapToGrid w:val="0"/>
                <w:color w:val="auto"/>
                <w:spacing w:val="-16"/>
                <w:kern w:val="21"/>
                <w:sz w:val="24"/>
                <w:szCs w:val="24"/>
              </w:rPr>
              <w:t>排放量（固</w:t>
            </w:r>
            <w:r>
              <w:rPr>
                <w:rFonts w:hint="eastAsia" w:ascii="黑体" w:hAnsi="黑体" w:eastAsia="黑体"/>
                <w:snapToGrid w:val="0"/>
                <w:color w:val="auto"/>
                <w:spacing w:val="-16"/>
                <w:kern w:val="21"/>
                <w:sz w:val="24"/>
                <w:szCs w:val="24"/>
              </w:rPr>
              <w:t>体</w:t>
            </w:r>
            <w:r>
              <w:rPr>
                <w:rFonts w:ascii="黑体" w:hAnsi="黑体" w:eastAsia="黑体"/>
                <w:snapToGrid w:val="0"/>
                <w:color w:val="auto"/>
                <w:spacing w:val="-16"/>
                <w:kern w:val="21"/>
                <w:sz w:val="24"/>
                <w:szCs w:val="24"/>
              </w:rPr>
              <w:t>废</w:t>
            </w:r>
            <w:r>
              <w:rPr>
                <w:rFonts w:hint="eastAsia" w:ascii="黑体" w:hAnsi="黑体" w:eastAsia="黑体"/>
                <w:snapToGrid w:val="0"/>
                <w:color w:val="auto"/>
                <w:spacing w:val="-16"/>
                <w:kern w:val="21"/>
                <w:sz w:val="24"/>
                <w:szCs w:val="24"/>
              </w:rPr>
              <w:t>物</w:t>
            </w:r>
            <w:r>
              <w:rPr>
                <w:rFonts w:ascii="黑体" w:hAnsi="黑体" w:eastAsia="黑体"/>
                <w:snapToGrid w:val="0"/>
                <w:color w:val="auto"/>
                <w:spacing w:val="-16"/>
                <w:kern w:val="21"/>
                <w:sz w:val="24"/>
                <w:szCs w:val="24"/>
              </w:rPr>
              <w:t>产生量）</w:t>
            </w:r>
            <w:r>
              <w:rPr>
                <w:rFonts w:ascii="黑体" w:hAnsi="黑体" w:eastAsia="黑体"/>
                <w:snapToGrid w:val="0"/>
                <w:color w:val="auto"/>
                <w:spacing w:val="-16"/>
                <w:kern w:val="21"/>
                <w:sz w:val="24"/>
                <w:szCs w:val="24"/>
              </w:rPr>
              <w:fldChar w:fldCharType="begin"/>
            </w:r>
            <w:r>
              <w:rPr>
                <w:rFonts w:ascii="黑体" w:hAnsi="黑体" w:eastAsia="黑体"/>
                <w:snapToGrid w:val="0"/>
                <w:color w:val="auto"/>
                <w:spacing w:val="-16"/>
                <w:kern w:val="21"/>
                <w:sz w:val="24"/>
                <w:szCs w:val="24"/>
              </w:rPr>
              <w:instrText xml:space="preserve"> = 6 \* GB3 \* MERGEFORMAT </w:instrText>
            </w:r>
            <w:r>
              <w:rPr>
                <w:rFonts w:ascii="黑体" w:hAnsi="黑体" w:eastAsia="黑体"/>
                <w:snapToGrid w:val="0"/>
                <w:color w:val="auto"/>
                <w:spacing w:val="-16"/>
                <w:kern w:val="21"/>
                <w:sz w:val="24"/>
                <w:szCs w:val="24"/>
              </w:rPr>
              <w:fldChar w:fldCharType="separate"/>
            </w:r>
            <w:r>
              <w:rPr>
                <w:rFonts w:hint="eastAsia" w:ascii="黑体" w:hAnsi="黑体" w:eastAsia="黑体" w:cs="宋体"/>
                <w:color w:val="auto"/>
                <w:kern w:val="2"/>
                <w:sz w:val="24"/>
                <w:szCs w:val="24"/>
              </w:rPr>
              <w:t>⑥</w:t>
            </w:r>
            <w:r>
              <w:rPr>
                <w:rFonts w:ascii="黑体" w:hAnsi="黑体" w:eastAsia="黑体"/>
                <w:snapToGrid w:val="0"/>
                <w:color w:val="auto"/>
                <w:spacing w:val="-16"/>
                <w:kern w:val="21"/>
                <w:sz w:val="24"/>
                <w:szCs w:val="24"/>
              </w:rPr>
              <w:fldChar w:fldCharType="end"/>
            </w:r>
          </w:p>
        </w:tc>
      </w:tr>
      <w:tr w14:paraId="6A347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80" w:type="pct"/>
            <w:vAlign w:val="center"/>
          </w:tcPr>
          <w:p w14:paraId="3D7D78CB">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废气</w:t>
            </w:r>
          </w:p>
        </w:tc>
        <w:tc>
          <w:tcPr>
            <w:tcW w:w="584" w:type="pct"/>
            <w:vAlign w:val="center"/>
          </w:tcPr>
          <w:p w14:paraId="0A667E34">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颗粒物</w:t>
            </w:r>
          </w:p>
        </w:tc>
        <w:tc>
          <w:tcPr>
            <w:tcW w:w="635" w:type="pct"/>
            <w:vAlign w:val="center"/>
          </w:tcPr>
          <w:p w14:paraId="1F91BC8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385B609E">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5E0F766E">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6EC7EB7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1.1</w:t>
            </w:r>
            <w:r>
              <w:rPr>
                <w:rFonts w:hint="eastAsia" w:ascii="Times New Roman" w:cs="宋体"/>
                <w:snapToGrid w:val="0"/>
                <w:color w:val="auto"/>
                <w:kern w:val="21"/>
                <w:sz w:val="24"/>
                <w:szCs w:val="24"/>
              </w:rPr>
              <w:t>t/a</w:t>
            </w:r>
          </w:p>
        </w:tc>
        <w:tc>
          <w:tcPr>
            <w:tcW w:w="624" w:type="pct"/>
            <w:vAlign w:val="center"/>
          </w:tcPr>
          <w:p w14:paraId="0A654A8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9" w:type="pct"/>
            <w:vAlign w:val="center"/>
          </w:tcPr>
          <w:p w14:paraId="6A0E53B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1.1</w:t>
            </w:r>
            <w:r>
              <w:rPr>
                <w:rFonts w:hint="eastAsia" w:ascii="Times New Roman" w:cs="宋体"/>
                <w:snapToGrid w:val="0"/>
                <w:color w:val="auto"/>
                <w:kern w:val="21"/>
                <w:sz w:val="24"/>
                <w:szCs w:val="24"/>
              </w:rPr>
              <w:t>t/a</w:t>
            </w:r>
          </w:p>
        </w:tc>
      </w:tr>
      <w:tr w14:paraId="33619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80" w:type="pct"/>
            <w:vMerge w:val="restart"/>
            <w:vAlign w:val="center"/>
          </w:tcPr>
          <w:p w14:paraId="100179E2">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废水</w:t>
            </w:r>
          </w:p>
        </w:tc>
        <w:tc>
          <w:tcPr>
            <w:tcW w:w="584" w:type="pct"/>
            <w:vAlign w:val="center"/>
          </w:tcPr>
          <w:p w14:paraId="75868A96">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COD</w:t>
            </w:r>
          </w:p>
        </w:tc>
        <w:tc>
          <w:tcPr>
            <w:tcW w:w="635" w:type="pct"/>
            <w:vAlign w:val="center"/>
          </w:tcPr>
          <w:p w14:paraId="50E426E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697F1D06">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396ADDB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4131F9E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53EF365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4EE23321">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50B7D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0" w:type="pct"/>
            <w:vMerge w:val="continue"/>
            <w:vAlign w:val="center"/>
          </w:tcPr>
          <w:p w14:paraId="524CAC5B">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A3ED557">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氨氮</w:t>
            </w:r>
          </w:p>
        </w:tc>
        <w:tc>
          <w:tcPr>
            <w:tcW w:w="635" w:type="pct"/>
            <w:vAlign w:val="center"/>
          </w:tcPr>
          <w:p w14:paraId="06BFB0D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644D6D74">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2747E33F">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71C07C9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74A7C0F3">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023B400C">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2E643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80" w:type="pct"/>
            <w:vMerge w:val="continue"/>
            <w:vAlign w:val="center"/>
          </w:tcPr>
          <w:p w14:paraId="511F5228">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4ADA13FF">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总磷</w:t>
            </w:r>
          </w:p>
        </w:tc>
        <w:tc>
          <w:tcPr>
            <w:tcW w:w="635" w:type="pct"/>
            <w:vAlign w:val="center"/>
          </w:tcPr>
          <w:p w14:paraId="1DC9CA30">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34B39C3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5226BE26">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0E57B02A">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6429BAF9">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61D51868">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5C901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80" w:type="pct"/>
            <w:vMerge w:val="continue"/>
            <w:vAlign w:val="center"/>
          </w:tcPr>
          <w:p w14:paraId="485A5AF4">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0585D500">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总氮</w:t>
            </w:r>
          </w:p>
        </w:tc>
        <w:tc>
          <w:tcPr>
            <w:tcW w:w="635" w:type="pct"/>
            <w:vAlign w:val="center"/>
          </w:tcPr>
          <w:p w14:paraId="1D6CF385">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536" w:type="pct"/>
            <w:vAlign w:val="center"/>
          </w:tcPr>
          <w:p w14:paraId="58EEA85E">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5" w:type="pct"/>
            <w:vAlign w:val="center"/>
          </w:tcPr>
          <w:p w14:paraId="0E19B8C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03" w:type="pct"/>
            <w:vAlign w:val="center"/>
          </w:tcPr>
          <w:p w14:paraId="0CCB225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624" w:type="pct"/>
            <w:vAlign w:val="center"/>
          </w:tcPr>
          <w:p w14:paraId="5E8A8267">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2F6B8379">
            <w:pPr>
              <w:spacing w:line="500" w:lineRule="exact"/>
              <w:jc w:val="center"/>
              <w:rPr>
                <w:rFonts w:cs="宋体"/>
                <w:snapToGrid w:val="0"/>
                <w:color w:val="auto"/>
                <w:kern w:val="21"/>
                <w:sz w:val="24"/>
              </w:rPr>
            </w:pPr>
            <w:r>
              <w:rPr>
                <w:rFonts w:hint="eastAsia" w:cs="宋体"/>
                <w:snapToGrid w:val="0"/>
                <w:color w:val="auto"/>
                <w:kern w:val="21"/>
                <w:sz w:val="24"/>
              </w:rPr>
              <w:t>—</w:t>
            </w:r>
          </w:p>
        </w:tc>
      </w:tr>
      <w:tr w14:paraId="2587B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80" w:type="pct"/>
            <w:vMerge w:val="restart"/>
            <w:vAlign w:val="center"/>
          </w:tcPr>
          <w:p w14:paraId="7F6EA33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一般工业固体废物</w:t>
            </w:r>
          </w:p>
        </w:tc>
        <w:tc>
          <w:tcPr>
            <w:tcW w:w="584" w:type="pct"/>
            <w:vAlign w:val="center"/>
          </w:tcPr>
          <w:p w14:paraId="78B2A73E">
            <w:pPr>
              <w:widowControl/>
              <w:spacing w:line="500" w:lineRule="exact"/>
              <w:jc w:val="center"/>
              <w:rPr>
                <w:bCs/>
                <w:color w:val="auto"/>
                <w:sz w:val="24"/>
              </w:rPr>
            </w:pPr>
            <w:r>
              <w:rPr>
                <w:rFonts w:hint="eastAsia"/>
                <w:bCs/>
                <w:color w:val="auto"/>
                <w:sz w:val="24"/>
              </w:rPr>
              <w:t>生活垃圾</w:t>
            </w:r>
          </w:p>
        </w:tc>
        <w:tc>
          <w:tcPr>
            <w:tcW w:w="635" w:type="pct"/>
            <w:vAlign w:val="center"/>
          </w:tcPr>
          <w:p w14:paraId="75FDEE5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53E56C3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38DD40B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498EE177">
            <w:pPr>
              <w:spacing w:line="500" w:lineRule="exact"/>
              <w:jc w:val="center"/>
              <w:rPr>
                <w:rFonts w:cs="宋体"/>
                <w:snapToGrid w:val="0"/>
                <w:color w:val="auto"/>
                <w:kern w:val="21"/>
                <w:sz w:val="24"/>
              </w:rPr>
            </w:pPr>
            <w:r>
              <w:rPr>
                <w:rFonts w:hint="eastAsia" w:cs="宋体"/>
                <w:snapToGrid w:val="0"/>
                <w:color w:val="auto"/>
                <w:kern w:val="21"/>
                <w:sz w:val="24"/>
              </w:rPr>
              <w:t>2.4</w:t>
            </w:r>
            <w:r>
              <w:rPr>
                <w:rFonts w:cs="宋体"/>
                <w:snapToGrid w:val="0"/>
                <w:color w:val="auto"/>
                <w:kern w:val="21"/>
                <w:sz w:val="24"/>
              </w:rPr>
              <w:t>t/a</w:t>
            </w:r>
          </w:p>
        </w:tc>
        <w:tc>
          <w:tcPr>
            <w:tcW w:w="624" w:type="pct"/>
            <w:vAlign w:val="center"/>
          </w:tcPr>
          <w:p w14:paraId="15EEE30F">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69D55B01">
            <w:pPr>
              <w:spacing w:line="500" w:lineRule="exact"/>
              <w:jc w:val="center"/>
              <w:rPr>
                <w:rFonts w:cs="宋体"/>
                <w:snapToGrid w:val="0"/>
                <w:color w:val="auto"/>
                <w:kern w:val="21"/>
                <w:sz w:val="24"/>
              </w:rPr>
            </w:pPr>
            <w:r>
              <w:rPr>
                <w:rFonts w:hint="eastAsia" w:cs="宋体"/>
                <w:snapToGrid w:val="0"/>
                <w:color w:val="auto"/>
                <w:kern w:val="21"/>
                <w:sz w:val="24"/>
              </w:rPr>
              <w:t>2.4</w:t>
            </w:r>
            <w:r>
              <w:rPr>
                <w:rFonts w:cs="宋体"/>
                <w:snapToGrid w:val="0"/>
                <w:color w:val="auto"/>
                <w:kern w:val="21"/>
                <w:sz w:val="24"/>
              </w:rPr>
              <w:t>t/a</w:t>
            </w:r>
          </w:p>
        </w:tc>
      </w:tr>
      <w:tr w14:paraId="57972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80" w:type="pct"/>
            <w:vMerge w:val="continue"/>
            <w:vAlign w:val="center"/>
          </w:tcPr>
          <w:p w14:paraId="221B4C4A">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34E169E">
            <w:pPr>
              <w:widowControl/>
              <w:spacing w:line="500" w:lineRule="exact"/>
              <w:jc w:val="center"/>
              <w:rPr>
                <w:bCs/>
                <w:color w:val="auto"/>
                <w:sz w:val="24"/>
              </w:rPr>
            </w:pPr>
            <w:r>
              <w:rPr>
                <w:rFonts w:hint="eastAsia"/>
                <w:bCs/>
                <w:color w:val="auto"/>
                <w:sz w:val="24"/>
              </w:rPr>
              <w:t>煤泥</w:t>
            </w:r>
          </w:p>
        </w:tc>
        <w:tc>
          <w:tcPr>
            <w:tcW w:w="635" w:type="pct"/>
            <w:vAlign w:val="center"/>
          </w:tcPr>
          <w:p w14:paraId="0A7213BA">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4681B88F">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46A140E9">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274FB51E">
            <w:pPr>
              <w:spacing w:line="500" w:lineRule="exact"/>
              <w:jc w:val="center"/>
              <w:rPr>
                <w:rFonts w:cs="宋体"/>
                <w:snapToGrid w:val="0"/>
                <w:color w:val="auto"/>
                <w:kern w:val="21"/>
                <w:sz w:val="24"/>
              </w:rPr>
            </w:pPr>
            <w:r>
              <w:rPr>
                <w:rFonts w:hint="eastAsia" w:cs="宋体"/>
                <w:snapToGrid w:val="0"/>
                <w:color w:val="auto"/>
                <w:kern w:val="21"/>
                <w:sz w:val="24"/>
              </w:rPr>
              <w:t>0.5t/a</w:t>
            </w:r>
          </w:p>
        </w:tc>
        <w:tc>
          <w:tcPr>
            <w:tcW w:w="624" w:type="pct"/>
            <w:vAlign w:val="center"/>
          </w:tcPr>
          <w:p w14:paraId="28FE34AC">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441E816D">
            <w:pPr>
              <w:spacing w:line="500" w:lineRule="exact"/>
              <w:jc w:val="center"/>
              <w:rPr>
                <w:rFonts w:cs="宋体"/>
                <w:snapToGrid w:val="0"/>
                <w:color w:val="auto"/>
                <w:kern w:val="21"/>
                <w:sz w:val="24"/>
              </w:rPr>
            </w:pPr>
            <w:r>
              <w:rPr>
                <w:rFonts w:hint="eastAsia" w:cs="宋体"/>
                <w:snapToGrid w:val="0"/>
                <w:color w:val="auto"/>
                <w:kern w:val="21"/>
                <w:sz w:val="24"/>
              </w:rPr>
              <w:t>0.5t/a</w:t>
            </w:r>
          </w:p>
        </w:tc>
      </w:tr>
      <w:tr w14:paraId="73767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0" w:type="pct"/>
            <w:vMerge w:val="restart"/>
            <w:vAlign w:val="center"/>
          </w:tcPr>
          <w:p w14:paraId="28734C7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危险废物</w:t>
            </w:r>
          </w:p>
        </w:tc>
        <w:tc>
          <w:tcPr>
            <w:tcW w:w="584" w:type="pct"/>
            <w:vAlign w:val="center"/>
          </w:tcPr>
          <w:p w14:paraId="7724043C">
            <w:pPr>
              <w:widowControl/>
              <w:spacing w:line="500" w:lineRule="exact"/>
              <w:jc w:val="center"/>
              <w:rPr>
                <w:bCs/>
                <w:color w:val="auto"/>
                <w:sz w:val="24"/>
              </w:rPr>
            </w:pPr>
            <w:r>
              <w:rPr>
                <w:bCs/>
                <w:color w:val="auto"/>
                <w:sz w:val="24"/>
              </w:rPr>
              <w:t>废润滑油</w:t>
            </w:r>
          </w:p>
        </w:tc>
        <w:tc>
          <w:tcPr>
            <w:tcW w:w="635" w:type="pct"/>
            <w:vAlign w:val="center"/>
          </w:tcPr>
          <w:p w14:paraId="46FA138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09476876">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52895FB4">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2329165B">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0.02</w:t>
            </w:r>
            <w:r>
              <w:rPr>
                <w:rFonts w:ascii="Times New Roman" w:cs="宋体"/>
                <w:snapToGrid w:val="0"/>
                <w:color w:val="auto"/>
                <w:kern w:val="21"/>
                <w:sz w:val="24"/>
                <w:szCs w:val="24"/>
              </w:rPr>
              <w:t>t/a</w:t>
            </w:r>
          </w:p>
        </w:tc>
        <w:tc>
          <w:tcPr>
            <w:tcW w:w="624" w:type="pct"/>
            <w:vAlign w:val="center"/>
          </w:tcPr>
          <w:p w14:paraId="75E5C64B">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57878841">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0.02</w:t>
            </w:r>
            <w:r>
              <w:rPr>
                <w:rFonts w:ascii="Times New Roman" w:cs="宋体"/>
                <w:snapToGrid w:val="0"/>
                <w:color w:val="auto"/>
                <w:kern w:val="21"/>
                <w:sz w:val="24"/>
                <w:szCs w:val="24"/>
              </w:rPr>
              <w:t>t/a</w:t>
            </w:r>
          </w:p>
        </w:tc>
      </w:tr>
      <w:tr w14:paraId="08855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80" w:type="pct"/>
            <w:vMerge w:val="continue"/>
            <w:vAlign w:val="center"/>
          </w:tcPr>
          <w:p w14:paraId="1855E35F">
            <w:pPr>
              <w:pStyle w:val="34"/>
              <w:spacing w:beforeLines="0" w:afterLines="0" w:line="500" w:lineRule="exact"/>
              <w:rPr>
                <w:rFonts w:ascii="Times New Roman" w:cs="宋体"/>
                <w:snapToGrid w:val="0"/>
                <w:color w:val="auto"/>
                <w:kern w:val="21"/>
                <w:sz w:val="24"/>
                <w:szCs w:val="24"/>
              </w:rPr>
            </w:pPr>
          </w:p>
        </w:tc>
        <w:tc>
          <w:tcPr>
            <w:tcW w:w="584" w:type="pct"/>
            <w:vAlign w:val="center"/>
          </w:tcPr>
          <w:p w14:paraId="101F73FB">
            <w:pPr>
              <w:widowControl/>
              <w:spacing w:line="500" w:lineRule="exact"/>
              <w:jc w:val="center"/>
              <w:rPr>
                <w:bCs/>
                <w:color w:val="auto"/>
                <w:sz w:val="24"/>
              </w:rPr>
            </w:pPr>
            <w:r>
              <w:rPr>
                <w:bCs/>
                <w:color w:val="auto"/>
                <w:sz w:val="24"/>
              </w:rPr>
              <w:t>废油桶</w:t>
            </w:r>
          </w:p>
        </w:tc>
        <w:tc>
          <w:tcPr>
            <w:tcW w:w="635" w:type="pct"/>
            <w:vAlign w:val="center"/>
          </w:tcPr>
          <w:p w14:paraId="26CE21FC">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536" w:type="pct"/>
            <w:vAlign w:val="center"/>
          </w:tcPr>
          <w:p w14:paraId="71C6479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15" w:type="pct"/>
            <w:vAlign w:val="center"/>
          </w:tcPr>
          <w:p w14:paraId="25F4ABD9">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rPr>
              <w:t>—</w:t>
            </w:r>
          </w:p>
        </w:tc>
        <w:tc>
          <w:tcPr>
            <w:tcW w:w="703" w:type="pct"/>
            <w:vAlign w:val="center"/>
          </w:tcPr>
          <w:p w14:paraId="1C4D6A95">
            <w:pPr>
              <w:pStyle w:val="34"/>
              <w:spacing w:beforeLines="0" w:afterLines="0" w:line="500" w:lineRule="exact"/>
              <w:rPr>
                <w:rFonts w:ascii="Times New Roman" w:cs="宋体"/>
                <w:snapToGrid w:val="0"/>
                <w:color w:val="auto"/>
                <w:kern w:val="21"/>
                <w:sz w:val="24"/>
                <w:szCs w:val="24"/>
              </w:rPr>
            </w:pPr>
            <w:r>
              <w:rPr>
                <w:rFonts w:hint="eastAsia" w:ascii="Times New Roman" w:cs="宋体"/>
                <w:snapToGrid w:val="0"/>
                <w:color w:val="auto"/>
                <w:kern w:val="21"/>
                <w:sz w:val="24"/>
                <w:szCs w:val="24"/>
                <w:lang w:val="en-US" w:eastAsia="zh-CN"/>
              </w:rPr>
              <w:t>0.01</w:t>
            </w:r>
            <w:r>
              <w:rPr>
                <w:rFonts w:ascii="Times New Roman" w:cs="宋体"/>
                <w:snapToGrid w:val="0"/>
                <w:color w:val="auto"/>
                <w:kern w:val="21"/>
                <w:sz w:val="24"/>
                <w:szCs w:val="24"/>
              </w:rPr>
              <w:t>t/a</w:t>
            </w:r>
          </w:p>
        </w:tc>
        <w:tc>
          <w:tcPr>
            <w:tcW w:w="624" w:type="pct"/>
            <w:vAlign w:val="center"/>
          </w:tcPr>
          <w:p w14:paraId="5662480D">
            <w:pPr>
              <w:spacing w:line="500" w:lineRule="exact"/>
              <w:jc w:val="center"/>
              <w:rPr>
                <w:rFonts w:cs="宋体"/>
                <w:snapToGrid w:val="0"/>
                <w:color w:val="auto"/>
                <w:kern w:val="21"/>
                <w:sz w:val="24"/>
              </w:rPr>
            </w:pPr>
            <w:r>
              <w:rPr>
                <w:rFonts w:hint="eastAsia" w:cs="宋体"/>
                <w:snapToGrid w:val="0"/>
                <w:color w:val="auto"/>
                <w:kern w:val="21"/>
                <w:sz w:val="24"/>
              </w:rPr>
              <w:t>—</w:t>
            </w:r>
          </w:p>
        </w:tc>
        <w:tc>
          <w:tcPr>
            <w:tcW w:w="719" w:type="pct"/>
            <w:vAlign w:val="center"/>
          </w:tcPr>
          <w:p w14:paraId="31DB32F5">
            <w:pPr>
              <w:pStyle w:val="34"/>
              <w:spacing w:beforeLines="0" w:afterLines="0" w:line="500" w:lineRule="exact"/>
              <w:rPr>
                <w:rFonts w:ascii="Times New Roman" w:cs="宋体"/>
                <w:snapToGrid w:val="0"/>
                <w:color w:val="auto"/>
                <w:kern w:val="21"/>
                <w:sz w:val="24"/>
                <w:szCs w:val="24"/>
              </w:rPr>
            </w:pPr>
            <w:r>
              <w:rPr>
                <w:rFonts w:ascii="Times New Roman" w:cs="宋体"/>
                <w:snapToGrid w:val="0"/>
                <w:color w:val="auto"/>
                <w:kern w:val="21"/>
                <w:sz w:val="24"/>
                <w:szCs w:val="24"/>
              </w:rPr>
              <w:t>0.</w:t>
            </w:r>
            <w:r>
              <w:rPr>
                <w:rFonts w:hint="eastAsia" w:ascii="Times New Roman" w:cs="宋体"/>
                <w:snapToGrid w:val="0"/>
                <w:color w:val="auto"/>
                <w:kern w:val="21"/>
                <w:sz w:val="24"/>
                <w:szCs w:val="24"/>
              </w:rPr>
              <w:t>0</w:t>
            </w:r>
            <w:r>
              <w:rPr>
                <w:rFonts w:hint="eastAsia" w:ascii="Times New Roman" w:cs="宋体"/>
                <w:snapToGrid w:val="0"/>
                <w:color w:val="auto"/>
                <w:kern w:val="21"/>
                <w:sz w:val="24"/>
                <w:szCs w:val="24"/>
                <w:lang w:val="en-US" w:eastAsia="zh-CN"/>
              </w:rPr>
              <w:t>1</w:t>
            </w:r>
            <w:r>
              <w:rPr>
                <w:rFonts w:ascii="Times New Roman" w:cs="宋体"/>
                <w:snapToGrid w:val="0"/>
                <w:color w:val="auto"/>
                <w:kern w:val="21"/>
                <w:sz w:val="24"/>
                <w:szCs w:val="24"/>
              </w:rPr>
              <w:t>t/a</w:t>
            </w:r>
          </w:p>
        </w:tc>
      </w:tr>
    </w:tbl>
    <w:p w14:paraId="3B00A070">
      <w:pPr>
        <w:pStyle w:val="34"/>
        <w:spacing w:before="249" w:beforeLines="80" w:after="31"/>
        <w:jc w:val="left"/>
        <w:rPr>
          <w:color w:val="auto"/>
        </w:rPr>
      </w:pPr>
      <w:r>
        <w:rPr>
          <w:rFonts w:ascii="Times New Roman"/>
          <w:snapToGrid w:val="0"/>
          <w:color w:val="auto"/>
          <w:kern w:val="21"/>
          <w:sz w:val="24"/>
          <w:szCs w:val="24"/>
        </w:rPr>
        <w:t>注：</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6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⑥</w:t>
      </w:r>
      <w:r>
        <w:rPr>
          <w:rFonts w:ascii="Times New Roman"/>
          <w:snapToGrid w:val="0"/>
          <w:color w:val="auto"/>
          <w:spacing w:val="-16"/>
          <w:kern w:val="21"/>
          <w:sz w:val="24"/>
          <w:szCs w:val="24"/>
        </w:rPr>
        <w:fldChar w:fldCharType="end"/>
      </w:r>
      <w:r>
        <w:rPr>
          <w:rFonts w:ascii="Times New Roman"/>
          <w:snapToGrid w:val="0"/>
          <w:color w:val="auto"/>
          <w:spacing w:val="-1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1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①</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3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③</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6"/>
          <w:kern w:val="21"/>
          <w:sz w:val="24"/>
          <w:szCs w:val="24"/>
        </w:rPr>
        <w:fldChar w:fldCharType="begin"/>
      </w:r>
      <w:r>
        <w:rPr>
          <w:rFonts w:ascii="Times New Roman"/>
          <w:snapToGrid w:val="0"/>
          <w:color w:val="auto"/>
          <w:spacing w:val="-6"/>
          <w:kern w:val="21"/>
          <w:sz w:val="24"/>
          <w:szCs w:val="24"/>
        </w:rPr>
        <w:instrText xml:space="preserve"> = 4 \* GB3 \* MERGEFORMAT </w:instrText>
      </w:r>
      <w:r>
        <w:rPr>
          <w:rFonts w:ascii="Times New Roman"/>
          <w:snapToGrid w:val="0"/>
          <w:color w:val="auto"/>
          <w:spacing w:val="-6"/>
          <w:kern w:val="21"/>
          <w:sz w:val="24"/>
          <w:szCs w:val="24"/>
        </w:rPr>
        <w:fldChar w:fldCharType="separate"/>
      </w:r>
      <w:r>
        <w:rPr>
          <w:rFonts w:ascii="Times New Roman"/>
          <w:color w:val="auto"/>
          <w:sz w:val="24"/>
          <w:szCs w:val="24"/>
        </w:rPr>
        <w:t>④</w:t>
      </w:r>
      <w:r>
        <w:rPr>
          <w:rFonts w:ascii="Times New Roman"/>
          <w:snapToGrid w:val="0"/>
          <w:color w:val="auto"/>
          <w:spacing w:val="-6"/>
          <w:kern w:val="21"/>
          <w:sz w:val="24"/>
          <w:szCs w:val="24"/>
        </w:rPr>
        <w:fldChar w:fldCharType="end"/>
      </w:r>
      <w:r>
        <w:rPr>
          <w:rFonts w:ascii="Times New Roman"/>
          <w:snapToGrid w:val="0"/>
          <w:color w:val="auto"/>
          <w:spacing w:val="-6"/>
          <w:kern w:val="21"/>
          <w:sz w:val="24"/>
          <w:szCs w:val="24"/>
        </w:rPr>
        <w:t>-</w:t>
      </w:r>
      <w:r>
        <w:rPr>
          <w:rFonts w:ascii="Times New Roman"/>
          <w:snapToGrid w:val="0"/>
          <w:color w:val="auto"/>
          <w:spacing w:val="-16"/>
          <w:kern w:val="21"/>
          <w:sz w:val="24"/>
          <w:szCs w:val="24"/>
        </w:rPr>
        <w:fldChar w:fldCharType="begin"/>
      </w:r>
      <w:r>
        <w:rPr>
          <w:rFonts w:ascii="Times New Roman"/>
          <w:snapToGrid w:val="0"/>
          <w:color w:val="auto"/>
          <w:spacing w:val="-16"/>
          <w:kern w:val="21"/>
          <w:sz w:val="24"/>
          <w:szCs w:val="24"/>
        </w:rPr>
        <w:instrText xml:space="preserve"> = 5 \* GB3 \* MERGEFORMAT </w:instrText>
      </w:r>
      <w:r>
        <w:rPr>
          <w:rFonts w:ascii="Times New Roman"/>
          <w:snapToGrid w:val="0"/>
          <w:color w:val="auto"/>
          <w:spacing w:val="-16"/>
          <w:kern w:val="21"/>
          <w:sz w:val="24"/>
          <w:szCs w:val="24"/>
        </w:rPr>
        <w:fldChar w:fldCharType="separate"/>
      </w:r>
      <w:r>
        <w:rPr>
          <w:rFonts w:ascii="Times New Roman"/>
          <w:color w:val="auto"/>
          <w:sz w:val="24"/>
          <w:szCs w:val="24"/>
        </w:rPr>
        <w:t>⑤</w:t>
      </w:r>
      <w:r>
        <w:rPr>
          <w:rFonts w:ascii="Times New Roman"/>
          <w:snapToGrid w:val="0"/>
          <w:color w:val="auto"/>
          <w:spacing w:val="-16"/>
          <w:kern w:val="21"/>
          <w:sz w:val="24"/>
          <w:szCs w:val="24"/>
        </w:rPr>
        <w:fldChar w:fldCharType="end"/>
      </w:r>
    </w:p>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5C76">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9D5D">
    <w:pPr>
      <w:pStyle w:val="15"/>
      <w:framePr w:wrap="around" w:vAnchor="text" w:hAnchor="margin" w:xAlign="center" w:yAlign="top"/>
      <w:rPr>
        <w:rStyle w:val="26"/>
      </w:rPr>
    </w:pPr>
    <w:r>
      <w:fldChar w:fldCharType="begin"/>
    </w:r>
    <w:r>
      <w:rPr>
        <w:rStyle w:val="26"/>
      </w:rPr>
      <w:instrText xml:space="preserve">PAGE  </w:instrText>
    </w:r>
    <w:r>
      <w:fldChar w:fldCharType="end"/>
    </w:r>
  </w:p>
  <w:p w14:paraId="32EA1028">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567B">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AF94">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A1CF">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EBC4">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B117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E6B117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CDC17"/>
    <w:multiLevelType w:val="singleLevel"/>
    <w:tmpl w:val="8CACDC17"/>
    <w:lvl w:ilvl="0" w:tentative="0">
      <w:start w:val="4"/>
      <w:numFmt w:val="decimal"/>
      <w:suff w:val="nothing"/>
      <w:lvlText w:val="%1、"/>
      <w:lvlJc w:val="left"/>
    </w:lvl>
  </w:abstractNum>
  <w:abstractNum w:abstractNumId="1">
    <w:nsid w:val="AB0B497D"/>
    <w:multiLevelType w:val="singleLevel"/>
    <w:tmpl w:val="AB0B497D"/>
    <w:lvl w:ilvl="0" w:tentative="0">
      <w:start w:val="1"/>
      <w:numFmt w:val="decimal"/>
      <w:suff w:val="nothing"/>
      <w:lvlText w:val="%1、"/>
      <w:lvlJc w:val="left"/>
    </w:lvl>
  </w:abstractNum>
  <w:abstractNum w:abstractNumId="2">
    <w:nsid w:val="AE280FEA"/>
    <w:multiLevelType w:val="singleLevel"/>
    <w:tmpl w:val="AE280FE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MDM2OGVmMDNhYTQ0MzFiN2E5MGQ1N2E1OThkYzEifQ=="/>
  </w:docVars>
  <w:rsids>
    <w:rsidRoot w:val="752F5ECC"/>
    <w:rsid w:val="000126AE"/>
    <w:rsid w:val="00031E59"/>
    <w:rsid w:val="00150EAD"/>
    <w:rsid w:val="00181768"/>
    <w:rsid w:val="00257851"/>
    <w:rsid w:val="00773C40"/>
    <w:rsid w:val="007A64B7"/>
    <w:rsid w:val="00892025"/>
    <w:rsid w:val="008A25B5"/>
    <w:rsid w:val="00911A9D"/>
    <w:rsid w:val="009A4048"/>
    <w:rsid w:val="00A00BF9"/>
    <w:rsid w:val="00A1023E"/>
    <w:rsid w:val="00BC50D0"/>
    <w:rsid w:val="00C46C2E"/>
    <w:rsid w:val="00D36F66"/>
    <w:rsid w:val="00D65DB9"/>
    <w:rsid w:val="015145C3"/>
    <w:rsid w:val="02251150"/>
    <w:rsid w:val="027B41E2"/>
    <w:rsid w:val="02DC0835"/>
    <w:rsid w:val="03884FB1"/>
    <w:rsid w:val="04657F2A"/>
    <w:rsid w:val="04A05305"/>
    <w:rsid w:val="04AA5267"/>
    <w:rsid w:val="04AC5413"/>
    <w:rsid w:val="04B26F5A"/>
    <w:rsid w:val="04E11E4C"/>
    <w:rsid w:val="06D009E7"/>
    <w:rsid w:val="071F2612"/>
    <w:rsid w:val="07C876CD"/>
    <w:rsid w:val="08EC2BCF"/>
    <w:rsid w:val="0A0A26FA"/>
    <w:rsid w:val="0A40121D"/>
    <w:rsid w:val="0AD479F2"/>
    <w:rsid w:val="0B27418B"/>
    <w:rsid w:val="0B6977CE"/>
    <w:rsid w:val="0C433490"/>
    <w:rsid w:val="0CF050A5"/>
    <w:rsid w:val="0D11133C"/>
    <w:rsid w:val="0D5E4574"/>
    <w:rsid w:val="0D6945E7"/>
    <w:rsid w:val="0D93489D"/>
    <w:rsid w:val="0E006C6A"/>
    <w:rsid w:val="0F3666B3"/>
    <w:rsid w:val="119E1A73"/>
    <w:rsid w:val="11D17876"/>
    <w:rsid w:val="11FF111B"/>
    <w:rsid w:val="124715D1"/>
    <w:rsid w:val="13532C39"/>
    <w:rsid w:val="135A5DAA"/>
    <w:rsid w:val="1379754E"/>
    <w:rsid w:val="137B2D48"/>
    <w:rsid w:val="139D6164"/>
    <w:rsid w:val="13B5414D"/>
    <w:rsid w:val="14862752"/>
    <w:rsid w:val="15B26513"/>
    <w:rsid w:val="15F5072F"/>
    <w:rsid w:val="15FF20B6"/>
    <w:rsid w:val="184B14B9"/>
    <w:rsid w:val="19531585"/>
    <w:rsid w:val="19647652"/>
    <w:rsid w:val="19C8015F"/>
    <w:rsid w:val="19E2435E"/>
    <w:rsid w:val="1A393593"/>
    <w:rsid w:val="1A9E45FD"/>
    <w:rsid w:val="1AD33E2D"/>
    <w:rsid w:val="1B294E8F"/>
    <w:rsid w:val="1B5E6624"/>
    <w:rsid w:val="1BC05048"/>
    <w:rsid w:val="1C5B40D8"/>
    <w:rsid w:val="1CC94F5B"/>
    <w:rsid w:val="1CE04199"/>
    <w:rsid w:val="1CF33ECD"/>
    <w:rsid w:val="1D4A056E"/>
    <w:rsid w:val="1E1679C2"/>
    <w:rsid w:val="1E8A6AB3"/>
    <w:rsid w:val="1F4F7692"/>
    <w:rsid w:val="1F8F155B"/>
    <w:rsid w:val="204B45AF"/>
    <w:rsid w:val="21BC30FA"/>
    <w:rsid w:val="22017B31"/>
    <w:rsid w:val="23273F1B"/>
    <w:rsid w:val="23960F39"/>
    <w:rsid w:val="23AD1279"/>
    <w:rsid w:val="247F353E"/>
    <w:rsid w:val="262836A1"/>
    <w:rsid w:val="268E24BD"/>
    <w:rsid w:val="28C665FE"/>
    <w:rsid w:val="2912282B"/>
    <w:rsid w:val="298011DE"/>
    <w:rsid w:val="29C410CB"/>
    <w:rsid w:val="29C867E5"/>
    <w:rsid w:val="2AD27254"/>
    <w:rsid w:val="2C54533B"/>
    <w:rsid w:val="2CB21F6B"/>
    <w:rsid w:val="2DEF7F0C"/>
    <w:rsid w:val="2E395A53"/>
    <w:rsid w:val="2F9F2EFF"/>
    <w:rsid w:val="2FA97143"/>
    <w:rsid w:val="30D04228"/>
    <w:rsid w:val="315213F7"/>
    <w:rsid w:val="3152583A"/>
    <w:rsid w:val="316D4F30"/>
    <w:rsid w:val="325F6949"/>
    <w:rsid w:val="33220EE5"/>
    <w:rsid w:val="33913002"/>
    <w:rsid w:val="339A574D"/>
    <w:rsid w:val="3543172D"/>
    <w:rsid w:val="36F37476"/>
    <w:rsid w:val="37994E8B"/>
    <w:rsid w:val="37E07842"/>
    <w:rsid w:val="385064C3"/>
    <w:rsid w:val="3879704B"/>
    <w:rsid w:val="388C3EFF"/>
    <w:rsid w:val="39B06F76"/>
    <w:rsid w:val="39E60BE9"/>
    <w:rsid w:val="3B201ED9"/>
    <w:rsid w:val="3BA7592F"/>
    <w:rsid w:val="3C01227D"/>
    <w:rsid w:val="3C24443F"/>
    <w:rsid w:val="3C2F6619"/>
    <w:rsid w:val="3CB173C5"/>
    <w:rsid w:val="3CC843C4"/>
    <w:rsid w:val="3CDD75E9"/>
    <w:rsid w:val="3D9170BE"/>
    <w:rsid w:val="3E2A0189"/>
    <w:rsid w:val="3EDE4585"/>
    <w:rsid w:val="3F177AAF"/>
    <w:rsid w:val="3F431747"/>
    <w:rsid w:val="3F7B238A"/>
    <w:rsid w:val="3F9A410F"/>
    <w:rsid w:val="3FD04C0F"/>
    <w:rsid w:val="3FDB01E0"/>
    <w:rsid w:val="3FE40E21"/>
    <w:rsid w:val="3FE65C0B"/>
    <w:rsid w:val="406A416F"/>
    <w:rsid w:val="40B553F3"/>
    <w:rsid w:val="413820FC"/>
    <w:rsid w:val="41AC0586"/>
    <w:rsid w:val="41DE0EAC"/>
    <w:rsid w:val="421C2D03"/>
    <w:rsid w:val="423C727A"/>
    <w:rsid w:val="439D4BCE"/>
    <w:rsid w:val="43A03188"/>
    <w:rsid w:val="43B626AF"/>
    <w:rsid w:val="43F57400"/>
    <w:rsid w:val="450B7F9A"/>
    <w:rsid w:val="46250CEB"/>
    <w:rsid w:val="47205EEB"/>
    <w:rsid w:val="48A57FEE"/>
    <w:rsid w:val="48A64365"/>
    <w:rsid w:val="4988174D"/>
    <w:rsid w:val="4B9F79B9"/>
    <w:rsid w:val="4C0F4BC6"/>
    <w:rsid w:val="4C96649F"/>
    <w:rsid w:val="4CAD0D22"/>
    <w:rsid w:val="4DD74FC1"/>
    <w:rsid w:val="4E94593C"/>
    <w:rsid w:val="4F6138AE"/>
    <w:rsid w:val="4F732AC8"/>
    <w:rsid w:val="50017164"/>
    <w:rsid w:val="50DA7787"/>
    <w:rsid w:val="51031C29"/>
    <w:rsid w:val="52347DDE"/>
    <w:rsid w:val="527821A3"/>
    <w:rsid w:val="52B41428"/>
    <w:rsid w:val="531D5FA7"/>
    <w:rsid w:val="546065D0"/>
    <w:rsid w:val="54611A8E"/>
    <w:rsid w:val="54E77EF2"/>
    <w:rsid w:val="56502B1D"/>
    <w:rsid w:val="56CF5E58"/>
    <w:rsid w:val="57F5285D"/>
    <w:rsid w:val="58346AE5"/>
    <w:rsid w:val="585B37B7"/>
    <w:rsid w:val="594C7537"/>
    <w:rsid w:val="5A490FF5"/>
    <w:rsid w:val="5A6C6A91"/>
    <w:rsid w:val="5A834E9D"/>
    <w:rsid w:val="5B030E5B"/>
    <w:rsid w:val="5B092532"/>
    <w:rsid w:val="5B6360E6"/>
    <w:rsid w:val="5BB30CD8"/>
    <w:rsid w:val="5CD36ACB"/>
    <w:rsid w:val="5D935C71"/>
    <w:rsid w:val="5E1450F9"/>
    <w:rsid w:val="5F1C764A"/>
    <w:rsid w:val="5FF506FB"/>
    <w:rsid w:val="60083E99"/>
    <w:rsid w:val="601F199B"/>
    <w:rsid w:val="60295A6F"/>
    <w:rsid w:val="60D52FE7"/>
    <w:rsid w:val="62823949"/>
    <w:rsid w:val="62A36DC8"/>
    <w:rsid w:val="62DF7AA9"/>
    <w:rsid w:val="645B239F"/>
    <w:rsid w:val="657D7DA4"/>
    <w:rsid w:val="65E0425C"/>
    <w:rsid w:val="66C46F7C"/>
    <w:rsid w:val="67B83777"/>
    <w:rsid w:val="68002B4A"/>
    <w:rsid w:val="69B85694"/>
    <w:rsid w:val="6A310550"/>
    <w:rsid w:val="6AF32585"/>
    <w:rsid w:val="6B712159"/>
    <w:rsid w:val="6BC934F9"/>
    <w:rsid w:val="6D06131C"/>
    <w:rsid w:val="6DC47EFC"/>
    <w:rsid w:val="6EC77CFB"/>
    <w:rsid w:val="706C4AB4"/>
    <w:rsid w:val="71D47071"/>
    <w:rsid w:val="721775E4"/>
    <w:rsid w:val="726A345E"/>
    <w:rsid w:val="731C6E4F"/>
    <w:rsid w:val="73772751"/>
    <w:rsid w:val="737F4D5B"/>
    <w:rsid w:val="73F45FEA"/>
    <w:rsid w:val="74C7265A"/>
    <w:rsid w:val="75093403"/>
    <w:rsid w:val="752F5ECC"/>
    <w:rsid w:val="756B5511"/>
    <w:rsid w:val="75F036DE"/>
    <w:rsid w:val="76054972"/>
    <w:rsid w:val="766F3739"/>
    <w:rsid w:val="7713072E"/>
    <w:rsid w:val="772C6366"/>
    <w:rsid w:val="7762504C"/>
    <w:rsid w:val="7781227F"/>
    <w:rsid w:val="77CE285A"/>
    <w:rsid w:val="77F9150C"/>
    <w:rsid w:val="78445A31"/>
    <w:rsid w:val="78966BAE"/>
    <w:rsid w:val="790249A1"/>
    <w:rsid w:val="79132FEC"/>
    <w:rsid w:val="7969598C"/>
    <w:rsid w:val="79B5319C"/>
    <w:rsid w:val="79BD47BC"/>
    <w:rsid w:val="79C14970"/>
    <w:rsid w:val="7AE41EF4"/>
    <w:rsid w:val="7B4A3D55"/>
    <w:rsid w:val="7C3B154A"/>
    <w:rsid w:val="7D400BC1"/>
    <w:rsid w:val="7EB545EF"/>
    <w:rsid w:val="7ECA47AD"/>
    <w:rsid w:val="7FC8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4"/>
    <w:basedOn w:val="1"/>
    <w:next w:val="1"/>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qFormat/>
    <w:uiPriority w:val="99"/>
    <w:rPr>
      <w:color w:val="000000"/>
      <w:sz w:val="24"/>
      <w:szCs w:val="24"/>
    </w:rPr>
  </w:style>
  <w:style w:type="paragraph" w:customStyle="1" w:styleId="3">
    <w:name w:val="纯文本1"/>
    <w:basedOn w:val="1"/>
    <w:autoRedefine/>
    <w:qFormat/>
    <w:uiPriority w:val="99"/>
    <w:pPr>
      <w:autoSpaceDE w:val="0"/>
      <w:autoSpaceDN w:val="0"/>
      <w:adjustRightInd w:val="0"/>
      <w:textAlignment w:val="baseline"/>
    </w:pPr>
    <w:rPr>
      <w:rFonts w:ascii="宋体"/>
      <w:szCs w:val="20"/>
    </w:rPr>
  </w:style>
  <w:style w:type="paragraph" w:styleId="6">
    <w:name w:val="Normal Indent"/>
    <w:basedOn w:val="1"/>
    <w:next w:val="5"/>
    <w:autoRedefine/>
    <w:unhideWhenUsed/>
    <w:qFormat/>
    <w:uiPriority w:val="99"/>
    <w:pPr>
      <w:adjustRightInd w:val="0"/>
      <w:snapToGrid w:val="0"/>
      <w:spacing w:line="460" w:lineRule="atLeast"/>
      <w:ind w:firstLine="200" w:firstLineChars="200"/>
    </w:pPr>
    <w:rPr>
      <w:rFonts w:ascii="Arial" w:hAnsi="Arial" w:cs="Arial"/>
      <w:sz w:val="28"/>
      <w:szCs w:val="28"/>
    </w:rPr>
  </w:style>
  <w:style w:type="paragraph" w:styleId="7">
    <w:name w:val="caption"/>
    <w:basedOn w:val="1"/>
    <w:next w:val="1"/>
    <w:autoRedefine/>
    <w:qFormat/>
    <w:uiPriority w:val="0"/>
    <w:pPr>
      <w:spacing w:before="160" w:after="160" w:line="288" w:lineRule="auto"/>
      <w:ind w:firstLine="510"/>
      <w:jc w:val="center"/>
    </w:pPr>
    <w:rPr>
      <w:rFonts w:ascii="Arial" w:hAnsi="Arial" w:eastAsia="黑体"/>
      <w:sz w:val="24"/>
    </w:rPr>
  </w:style>
  <w:style w:type="paragraph" w:styleId="8">
    <w:name w:val="annotation text"/>
    <w:basedOn w:val="1"/>
    <w:link w:val="47"/>
    <w:autoRedefine/>
    <w:unhideWhenUsed/>
    <w:qFormat/>
    <w:uiPriority w:val="99"/>
    <w:pPr>
      <w:jc w:val="left"/>
    </w:pPr>
    <w:rPr>
      <w:kern w:val="0"/>
      <w:sz w:val="24"/>
    </w:rPr>
  </w:style>
  <w:style w:type="paragraph" w:styleId="9">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7"/>
    <w:autoRedefine/>
    <w:semiHidden/>
    <w:unhideWhenUsed/>
    <w:qFormat/>
    <w:uiPriority w:val="99"/>
    <w:pPr>
      <w:spacing w:after="120"/>
      <w:ind w:left="420" w:leftChars="200"/>
    </w:pPr>
  </w:style>
  <w:style w:type="paragraph" w:styleId="11">
    <w:name w:val="Block Text"/>
    <w:basedOn w:val="1"/>
    <w:next w:val="1"/>
    <w:autoRedefine/>
    <w:qFormat/>
    <w:uiPriority w:val="0"/>
  </w:style>
  <w:style w:type="paragraph" w:styleId="12">
    <w:name w:val="Plain Text"/>
    <w:basedOn w:val="1"/>
    <w:autoRedefine/>
    <w:qFormat/>
    <w:uiPriority w:val="0"/>
    <w:rPr>
      <w:rFonts w:ascii="宋体" w:hAnsi="Courier New"/>
    </w:rPr>
  </w:style>
  <w:style w:type="paragraph" w:styleId="13">
    <w:name w:val="Body Text Indent 2"/>
    <w:basedOn w:val="1"/>
    <w:autoRedefine/>
    <w:qFormat/>
    <w:uiPriority w:val="0"/>
    <w:pPr>
      <w:spacing w:line="560" w:lineRule="exact"/>
      <w:ind w:firstLine="480" w:firstLineChars="200"/>
    </w:pPr>
    <w:rPr>
      <w:rFonts w:hAnsi="宋体"/>
      <w:sz w:val="24"/>
    </w:rPr>
  </w:style>
  <w:style w:type="paragraph" w:styleId="14">
    <w:name w:val="Balloon Text"/>
    <w:basedOn w:val="1"/>
    <w:link w:val="46"/>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kern w:val="0"/>
      <w:sz w:val="18"/>
      <w:szCs w:val="20"/>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Body Text Indent 3"/>
    <w:basedOn w:val="1"/>
    <w:autoRedefine/>
    <w:qFormat/>
    <w:uiPriority w:val="0"/>
    <w:pPr>
      <w:spacing w:after="120"/>
      <w:ind w:left="420"/>
    </w:pPr>
    <w:rPr>
      <w:sz w:val="16"/>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link w:val="48"/>
    <w:autoRedefine/>
    <w:qFormat/>
    <w:uiPriority w:val="0"/>
    <w:rPr>
      <w:b/>
      <w:bCs/>
      <w:kern w:val="2"/>
      <w:sz w:val="21"/>
    </w:rPr>
  </w:style>
  <w:style w:type="paragraph" w:styleId="21">
    <w:name w:val="Body Text First Indent"/>
    <w:basedOn w:val="9"/>
    <w:next w:val="1"/>
    <w:autoRedefine/>
    <w:qFormat/>
    <w:uiPriority w:val="0"/>
    <w:pPr>
      <w:ind w:firstLine="420" w:firstLineChars="100"/>
    </w:pPr>
    <w:rPr>
      <w:szCs w:val="24"/>
    </w:rPr>
  </w:style>
  <w:style w:type="paragraph" w:styleId="22">
    <w:name w:val="Body Text First Indent 2"/>
    <w:basedOn w:val="10"/>
    <w:next w:val="1"/>
    <w:autoRedefine/>
    <w:semiHidden/>
    <w:unhideWhenUsed/>
    <w:qFormat/>
    <w:uiPriority w:val="99"/>
    <w:pPr>
      <w:ind w:firstLine="420" w:firstLineChars="200"/>
    </w:pPr>
  </w:style>
  <w:style w:type="table" w:styleId="24">
    <w:name w:val="Table Grid"/>
    <w:basedOn w:val="2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style>
  <w:style w:type="character" w:styleId="27">
    <w:name w:val="annotation reference"/>
    <w:basedOn w:val="25"/>
    <w:autoRedefine/>
    <w:qFormat/>
    <w:uiPriority w:val="0"/>
    <w:rPr>
      <w:sz w:val="21"/>
      <w:szCs w:val="21"/>
    </w:rPr>
  </w:style>
  <w:style w:type="paragraph" w:styleId="28">
    <w:name w:val="List Paragraph"/>
    <w:basedOn w:val="1"/>
    <w:autoRedefine/>
    <w:qFormat/>
    <w:uiPriority w:val="34"/>
    <w:pPr>
      <w:ind w:firstLine="420" w:firstLineChars="200"/>
    </w:pPr>
  </w:style>
  <w:style w:type="paragraph" w:customStyle="1" w:styleId="29">
    <w:name w:val="样式 小四 行距: 固定值 24 磅 首行缩进:  2 字符"/>
    <w:basedOn w:val="1"/>
    <w:autoRedefine/>
    <w:qFormat/>
    <w:uiPriority w:val="0"/>
    <w:pPr>
      <w:spacing w:line="440" w:lineRule="exact"/>
      <w:ind w:firstLine="200"/>
    </w:pPr>
  </w:style>
  <w:style w:type="paragraph" w:customStyle="1" w:styleId="30">
    <w:name w:val="Other|1"/>
    <w:basedOn w:val="1"/>
    <w:autoRedefine/>
    <w:qFormat/>
    <w:uiPriority w:val="0"/>
    <w:pPr>
      <w:jc w:val="center"/>
    </w:pPr>
    <w:rPr>
      <w:rFonts w:ascii="宋体" w:hAnsi="宋体" w:cs="宋体"/>
      <w:sz w:val="20"/>
      <w:szCs w:val="20"/>
      <w:lang w:val="zh-TW" w:eastAsia="zh-TW" w:bidi="zh-TW"/>
    </w:rPr>
  </w:style>
  <w:style w:type="paragraph" w:customStyle="1" w:styleId="31">
    <w:name w:val="正文正"/>
    <w:basedOn w:val="1"/>
    <w:autoRedefine/>
    <w:qFormat/>
    <w:uiPriority w:val="0"/>
    <w:pPr>
      <w:ind w:firstLine="560" w:firstLineChars="200"/>
    </w:pPr>
    <w:rPr>
      <w:sz w:val="28"/>
    </w:rPr>
  </w:style>
  <w:style w:type="paragraph" w:customStyle="1" w:styleId="32">
    <w:name w:val="Table Paragraph"/>
    <w:basedOn w:val="1"/>
    <w:autoRedefine/>
    <w:qFormat/>
    <w:uiPriority w:val="0"/>
    <w:pPr>
      <w:jc w:val="center"/>
    </w:pPr>
    <w:rPr>
      <w:rFonts w:ascii="宋体" w:hAnsi="宋体" w:cs="宋体"/>
      <w:lang w:val="zh-CN" w:bidi="zh-CN"/>
    </w:rPr>
  </w:style>
  <w:style w:type="paragraph" w:customStyle="1" w:styleId="33">
    <w:name w:val="二级无标题条"/>
    <w:basedOn w:val="1"/>
    <w:autoRedefine/>
    <w:qFormat/>
    <w:uiPriority w:val="0"/>
  </w:style>
  <w:style w:type="paragraph" w:customStyle="1" w:styleId="3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35">
    <w:name w:val="表头样式1"/>
    <w:basedOn w:val="1"/>
    <w:autoRedefine/>
    <w:qFormat/>
    <w:uiPriority w:val="0"/>
    <w:pPr>
      <w:tabs>
        <w:tab w:val="center" w:pos="4505"/>
      </w:tabs>
      <w:jc w:val="center"/>
    </w:pPr>
    <w:rPr>
      <w:b/>
    </w:rPr>
  </w:style>
  <w:style w:type="paragraph" w:customStyle="1" w:styleId="36">
    <w:name w:val="...正文"/>
    <w:basedOn w:val="1"/>
    <w:autoRedefine/>
    <w:qFormat/>
    <w:uiPriority w:val="0"/>
    <w:pPr>
      <w:widowControl/>
      <w:spacing w:line="480" w:lineRule="exact"/>
      <w:ind w:firstLine="560" w:firstLineChars="200"/>
    </w:pPr>
    <w:rPr>
      <w:kern w:val="0"/>
      <w:sz w:val="24"/>
      <w:lang w:val="en-GB"/>
    </w:rPr>
  </w:style>
  <w:style w:type="paragraph" w:customStyle="1" w:styleId="37">
    <w:name w:val="正文_1"/>
    <w:autoRedefine/>
    <w:qFormat/>
    <w:uiPriority w:val="0"/>
    <w:pPr>
      <w:widowControl w:val="0"/>
      <w:spacing w:line="480" w:lineRule="exact"/>
      <w:jc w:val="both"/>
    </w:pPr>
    <w:rPr>
      <w:rFonts w:ascii="Calibri" w:hAnsi="Calibri" w:eastAsia="宋体" w:cs="Times New Roman"/>
      <w:kern w:val="2"/>
      <w:sz w:val="32"/>
      <w:lang w:val="en-US" w:eastAsia="zh-CN" w:bidi="ar-SA"/>
    </w:rPr>
  </w:style>
  <w:style w:type="paragraph" w:customStyle="1" w:styleId="38">
    <w:name w:val="正文_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9">
    <w:name w:val="24磅正文"/>
    <w:basedOn w:val="1"/>
    <w:autoRedefine/>
    <w:qFormat/>
    <w:uiPriority w:val="0"/>
    <w:pPr>
      <w:spacing w:line="480" w:lineRule="exact"/>
      <w:ind w:firstLine="480" w:firstLineChars="200"/>
    </w:pPr>
    <w:rPr>
      <w:sz w:val="24"/>
    </w:rPr>
  </w:style>
  <w:style w:type="paragraph" w:customStyle="1" w:styleId="40">
    <w:name w:val="报告正文"/>
    <w:basedOn w:val="1"/>
    <w:autoRedefine/>
    <w:qFormat/>
    <w:uiPriority w:val="0"/>
    <w:pPr>
      <w:spacing w:line="480" w:lineRule="exact"/>
      <w:ind w:firstLine="200" w:firstLineChars="200"/>
    </w:pPr>
    <w:rPr>
      <w:color w:val="000000"/>
      <w:sz w:val="24"/>
    </w:rPr>
  </w:style>
  <w:style w:type="paragraph" w:customStyle="1" w:styleId="41">
    <w:name w:val="(.a表格内容"/>
    <w:basedOn w:val="42"/>
    <w:autoRedefine/>
    <w:qFormat/>
    <w:uiPriority w:val="0"/>
    <w:pPr>
      <w:spacing w:line="0" w:lineRule="atLeast"/>
      <w:ind w:firstLine="0" w:firstLineChars="0"/>
      <w:jc w:val="center"/>
    </w:pPr>
    <w:rPr>
      <w:rFonts w:eastAsia="宋体"/>
      <w:sz w:val="21"/>
    </w:rPr>
  </w:style>
  <w:style w:type="paragraph" w:customStyle="1" w:styleId="42">
    <w:name w:val="（.a正文"/>
    <w:autoRedefine/>
    <w:qFormat/>
    <w:uiPriority w:val="0"/>
    <w:pPr>
      <w:adjustRightInd w:val="0"/>
      <w:spacing w:line="480" w:lineRule="exact"/>
      <w:ind w:firstLine="200" w:firstLineChars="200"/>
      <w:jc w:val="both"/>
    </w:pPr>
    <w:rPr>
      <w:rFonts w:ascii="Times New Roman" w:hAnsi="Times New Roman" w:eastAsia="Times New Roman" w:cs="Arial"/>
      <w:bCs/>
      <w:kern w:val="2"/>
      <w:sz w:val="24"/>
      <w:szCs w:val="24"/>
      <w:lang w:val="en-US" w:eastAsia="zh-CN" w:bidi="ar-SA"/>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character" w:customStyle="1" w:styleId="44">
    <w:name w:val="font11"/>
    <w:basedOn w:val="25"/>
    <w:autoRedefine/>
    <w:qFormat/>
    <w:uiPriority w:val="99"/>
    <w:rPr>
      <w:rFonts w:ascii="Times New Roman" w:hAnsi="Times New Roman" w:cs="Times New Roman"/>
      <w:color w:val="FF0000"/>
      <w:sz w:val="24"/>
      <w:szCs w:val="24"/>
      <w:u w:val="none"/>
      <w:vertAlign w:val="superscript"/>
    </w:rPr>
  </w:style>
  <w:style w:type="paragraph" w:customStyle="1" w:styleId="45">
    <w:name w:val="正文缩进1"/>
    <w:basedOn w:val="1"/>
    <w:autoRedefine/>
    <w:qFormat/>
    <w:uiPriority w:val="0"/>
    <w:pPr>
      <w:ind w:firstLine="480" w:firstLineChars="200"/>
    </w:pPr>
    <w:rPr>
      <w:rFonts w:ascii="Arial" w:hAnsi="Arial"/>
      <w:snapToGrid w:val="0"/>
      <w:sz w:val="24"/>
      <w:szCs w:val="20"/>
    </w:rPr>
  </w:style>
  <w:style w:type="character" w:customStyle="1" w:styleId="46">
    <w:name w:val="批注框文本 字符"/>
    <w:basedOn w:val="25"/>
    <w:link w:val="14"/>
    <w:autoRedefine/>
    <w:qFormat/>
    <w:uiPriority w:val="0"/>
    <w:rPr>
      <w:kern w:val="2"/>
      <w:sz w:val="18"/>
      <w:szCs w:val="18"/>
    </w:rPr>
  </w:style>
  <w:style w:type="character" w:customStyle="1" w:styleId="47">
    <w:name w:val="批注文字 字符"/>
    <w:basedOn w:val="25"/>
    <w:link w:val="8"/>
    <w:autoRedefine/>
    <w:qFormat/>
    <w:uiPriority w:val="99"/>
    <w:rPr>
      <w:sz w:val="24"/>
      <w:szCs w:val="24"/>
    </w:rPr>
  </w:style>
  <w:style w:type="character" w:customStyle="1" w:styleId="48">
    <w:name w:val="批注主题 字符"/>
    <w:basedOn w:val="47"/>
    <w:link w:val="20"/>
    <w:autoRedefine/>
    <w:qFormat/>
    <w:uiPriority w:val="0"/>
    <w:rPr>
      <w:b/>
      <w:bCs/>
      <w:kern w:val="2"/>
      <w:sz w:val="21"/>
      <w:szCs w:val="24"/>
    </w:rPr>
  </w:style>
  <w:style w:type="paragraph" w:customStyle="1" w:styleId="49">
    <w:name w:val="中文报告书样式"/>
    <w:basedOn w:val="1"/>
    <w:qFormat/>
    <w:uiPriority w:val="0"/>
    <w:pPr>
      <w:spacing w:line="480" w:lineRule="atLeast"/>
      <w:ind w:firstLine="482"/>
    </w:pPr>
    <w:rPr>
      <w:kern w:val="24"/>
      <w:szCs w:val="20"/>
    </w:rPr>
  </w:style>
  <w:style w:type="paragraph" w:customStyle="1" w:styleId="50">
    <w:name w:val="正文内容g"/>
    <w:basedOn w:val="1"/>
    <w:next w:val="1"/>
    <w:autoRedefine/>
    <w:qFormat/>
    <w:uiPriority w:val="0"/>
    <w:pPr>
      <w:spacing w:line="460" w:lineRule="exact"/>
      <w:ind w:firstLine="720" w:firstLineChars="200"/>
    </w:pPr>
    <w:rPr>
      <w:kern w:val="0"/>
      <w:sz w:val="20"/>
      <w:szCs w:val="20"/>
    </w:rPr>
  </w:style>
  <w:style w:type="paragraph" w:customStyle="1" w:styleId="51">
    <w:name w:val="Normal Indent"/>
    <w:basedOn w:val="1"/>
    <w:qFormat/>
    <w:uiPriority w:val="0"/>
    <w:pPr>
      <w:ind w:firstLine="480" w:firstLineChars="200"/>
    </w:pPr>
    <w:rPr>
      <w:rFonts w:ascii="Arial" w:hAnsi="Arial" w:eastAsia="宋体" w:cs="Times New Roman"/>
      <w:snapToGrid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jpe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e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1"/>
    <customShpInfo spid="_x0000_s2062"/>
    <customShpInfo spid="_x0000_s206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1318</Words>
  <Characters>1472</Characters>
  <Lines>224</Lines>
  <Paragraphs>63</Paragraphs>
  <TotalTime>14</TotalTime>
  <ScaleCrop>false</ScaleCrop>
  <LinksUpToDate>false</LinksUpToDate>
  <CharactersWithSpaces>1518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2023-11-21T11:37:00Z</dcterms:created>
  <dc:creator>Destiny</dc:creator>
  <cp:lastModifiedBy>阿离</cp:lastModifiedBy>
  <cp:lastPrinted>2023-08-23T10:28:00Z</cp:lastPrinted>
  <dcterms:modified xsi:type="dcterms:W3CDTF">2025-02-18T07:39:02Z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D03E67BE5EE746168420602735DA0722_13</vt:lpwstr>
  </property>
  <property fmtid="{D5CDD505-2E9C-101B-9397-08002B2CF9AE}" pid="4" name="KSOTemplateDocerSaveRecord">
    <vt:lpwstr>eyJoZGlkIjoiNjAyZmU4YmI1YzdmNTNlZDlkMmIyZDcwOTI0YzI5OTIiLCJ1c2VySWQiOiI0MDAxODQ2OTAifQ==</vt:lpwstr>
  </property>
</Properties>
</file>