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b/>
          <w:bCs/>
          <w:sz w:val="72"/>
          <w:szCs w:val="96"/>
        </w:rPr>
      </w:pPr>
      <w:r>
        <mc:AlternateContent>
          <mc:Choice Requires="wps">
            <w:drawing>
              <wp:anchor distT="0" distB="0" distL="114300" distR="114300" simplePos="0" relativeHeight="251661312" behindDoc="0" locked="0" layoutInCell="1" allowOverlap="1">
                <wp:simplePos x="0" y="0"/>
                <wp:positionH relativeFrom="column">
                  <wp:posOffset>321945</wp:posOffset>
                </wp:positionH>
                <wp:positionV relativeFrom="paragraph">
                  <wp:posOffset>5481320</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106001</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唐山海港经济开发区应急管理局</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35pt;margin-top:431.6pt;height:84pt;width:431.7pt;z-index:251661312;mso-width-relative:page;mso-height-relative:page;" filled="f" stroked="f" coordsize="21600,21600" o:gfxdata="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c9Mu1wAAAAs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106001</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唐山海港经济开发区应急管理局</w:t>
                      </w:r>
                    </w:p>
                  </w:txbxContent>
                </v:textbox>
              </v:shape>
            </w:pict>
          </mc:Fallback>
        </mc:AlternateContent>
      </w:r>
      <w: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13"/>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4"/>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5408" behindDoc="0" locked="0" layoutInCell="1" allowOverlap="1">
                <wp:simplePos x="0" y="0"/>
                <wp:positionH relativeFrom="column">
                  <wp:posOffset>-2453005</wp:posOffset>
                </wp:positionH>
                <wp:positionV relativeFrom="paragraph">
                  <wp:posOffset>2132330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193.15pt;margin-top:167.9pt;height:113.95pt;width:712.85pt;z-index:251665408;mso-width-relative:page;mso-height-relative:page;" coordorigin="-3504,4387" coordsize="19200,2716"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1SWbbcAAAADQEAAA8AAAAAAAAAAQAgAAAAIgAAAGRycy9kb3ducmV2LnhtbFBLAQIU&#10;ABQAAAAIAIdO4kB4PbsMtwMAAIEMAAAOAAAAAAAAAAEAIAAAACsBAABkcnMvZTJvRG9jLnhtbFBL&#10;BQYAAAAABgAGAFkBAABUBwAAAAA=&#10;">
                <o:lock v:ext="edit" aspectratio="f"/>
                <v:rect id="矩形 19" o:spid="_x0000_s1026" o:spt="1" style="position:absolute;left:-381;top:4387;height:2457;width:1834;v-text-anchor:middle;" fillcolor="#0176AB" filled="t" stroked="f" coordsize="21600,21600"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v:fill on="t" focussize="0,0"/>
                  <v:stroke on="f"/>
                  <v:imagedata o:title=""/>
                  <o:lock v:ext="edit" aspectratio="f"/>
                </v:rect>
                <v:shape id="矩形 24" o:spid="_x0000_s1026" o:spt="100" style="position:absolute;left:-3504;top:6953;height:150;width:11815;" fillcolor="#E5AA57" filled="t" stroked="f" coordsize="7501732,94593"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5"/>
                    <a:stretch>
                      <a:fillRect/>
                    </a:stretch>
                  </pic:blipFill>
                  <pic:spPr>
                    <a:xfrm>
                      <a:off x="0" y="0"/>
                      <a:ext cx="215900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2336;mso-width-relative:page;mso-height-relative:page;" coordorigin="12098,1831" coordsize="9377,2969"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VBwvF2wAAAAsBAAAPAAAAAAAAAAEAIAAAACIAAABkcnMvZG93bnJldi54bWxQSwECFAAUAAAA&#10;CACHTuJAIE9ecUEDAABECQAADgAAAAAAAAABACAAAAAqAQAAZHJzL2Uyb0RvYy54bWxQSwUGAAAA&#10;AAYABgBZAQAA3QYAAAAA&#10;">
                <o:lock v:ext="edit" aspectratio="f"/>
                <v:shape id="文本框 32" o:spid="_x0000_s1026" o:spt="202" type="#_x0000_t202" style="position:absolute;left:13325;top:1831;height:1348;width:4462;"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32" o:spid="_x0000_s1026" o:spt="202" type="#_x0000_t202" style="position:absolute;left:6119;top:2843;height:1421;width:9377;"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v:group>
            </w:pict>
          </mc:Fallback>
        </mc:AlternateContent>
      </w:r>
      <w: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21591575&quot;,&quot;origin&quot;:0,&quot;type&quot;:&quot;icons&quot;,&quot;user&quot;:&quot;292216292&quot;}"/>
                  </s:tag>
                </a:ext>
              </a:extLst>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3360;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rPr>
          <w:rFonts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2023年度部门决算公开文本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唐山海港经济开发区应急管理局</w:t>
      </w:r>
    </w:p>
    <w:p>
      <w:pPr>
        <w:snapToGrid w:val="0"/>
        <w:jc w:val="center"/>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二〇二四年八月</w:t>
      </w:r>
    </w:p>
    <w:p>
      <w:pPr>
        <w:tabs>
          <w:tab w:val="left" w:pos="2728"/>
        </w:tabs>
        <w:jc w:val="both"/>
        <w:rPr>
          <w:rFonts w:ascii="黑体" w:hAnsi="Times New Roman" w:eastAsia="黑体" w:cs="Times New Roman"/>
          <w:sz w:val="48"/>
          <w:szCs w:val="48"/>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负责开发区应急管理工作，指导各级各部门应对安全生产类、自然灾害类等突发事件和综合防灾减灾</w:t>
      </w:r>
      <w:r>
        <w:rPr>
          <w:rFonts w:hint="eastAsia" w:ascii="方正仿宋简体" w:hAnsi="方正仿宋简体" w:eastAsia="方正仿宋简体" w:cs="方正仿宋简体"/>
          <w:sz w:val="32"/>
          <w:szCs w:val="32"/>
          <w:lang w:eastAsia="zh-CN"/>
        </w:rPr>
        <w:t>救</w:t>
      </w:r>
      <w:r>
        <w:rPr>
          <w:rFonts w:hint="eastAsia" w:ascii="方正仿宋简体" w:hAnsi="方正仿宋简体" w:eastAsia="方正仿宋简体" w:cs="方正仿宋简体"/>
          <w:sz w:val="32"/>
          <w:szCs w:val="32"/>
        </w:rPr>
        <w:t>灾工作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拟订开发区应急管理、防震减灾、安全生产等政策规定，组织编制开发区总体应急预案和安全生产类、自然灾害类专项预案，组织开展预案演练，推动应急避难设施建设。指导各级及社会应急救援力量建设。统一协调指挥各类应急专业队伍，建立应急协调联动机制，推进指挥平台对接。</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导协调开发区农业农村办公室、自然资源和规划分局、王滩镇政府、综合执法大队等部门做好森林和草原火灾、水旱灾害、地质灾害等防治工作，负责自然灾害综合监测预警工作指导开展自然灾害综合风险评估工作;组织指导开发区防震减灾工作，负责地震监测预测预警、震害防御和地震现场应急救援工作，参与后救援和震后重建等工作;协调消防开展消防监火灾预防、火灾扑救等工作。</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全区安全生产综合监督管理和相关工商贸行业安全生产监督管理工作;依法行使安全生产综合监督管理职权，指导协调、监督检查开发区有关部门安全生产工作，组织开展安全生产督导检查、考核;依法组织指导生产安全事故调查处理，监督事故查处和</w:t>
      </w:r>
      <w:r>
        <w:rPr>
          <w:rFonts w:hint="eastAsia" w:ascii="方正仿宋简体" w:hAnsi="方正仿宋简体" w:eastAsia="方正仿宋简体" w:cs="方正仿宋简体"/>
          <w:sz w:val="32"/>
          <w:szCs w:val="32"/>
          <w:lang w:eastAsia="zh-CN"/>
        </w:rPr>
        <w:t>责任</w:t>
      </w:r>
      <w:r>
        <w:rPr>
          <w:rFonts w:hint="eastAsia" w:ascii="方正仿宋简体" w:hAnsi="方正仿宋简体" w:eastAsia="方正仿宋简体" w:cs="方正仿宋简体"/>
          <w:sz w:val="32"/>
          <w:szCs w:val="32"/>
        </w:rPr>
        <w:t>迫究落实情况。</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制定应急物资储备和应急救援装备规划并组织实施，会同相关部门建立健全应急物资、救援装备信息平台和调拨制度，在救灾时统一调度。</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应急管理、防震减灾、安全生产宣传教育和培训工作，组织指导应急管理、防灾减灾、安全生产的科学技术推广应用和信息化建设工作。牵头建立统一的全区应急管理信息系统，建立灾情报告制度，健全自然灾害信息资源获取和共享机制。</w:t>
      </w:r>
    </w:p>
    <w:p>
      <w:pPr>
        <w:pStyle w:val="7"/>
        <w:shd w:val="clear" w:color="auto" w:fill="FFFFFF"/>
        <w:spacing w:before="0" w:beforeAutospacing="0" w:after="0" w:afterAutospacing="0" w:line="570" w:lineRule="exact"/>
        <w:ind w:firstLine="640" w:firstLineChars="200"/>
        <w:rPr>
          <w:rFonts w:ascii="仿宋_GB2312" w:hAnsi="Cambria" w:eastAsia="仿宋_GB2312" w:cs="Times New Roman"/>
          <w:sz w:val="32"/>
          <w:szCs w:val="32"/>
        </w:rPr>
      </w:pPr>
      <w:r>
        <w:rPr>
          <w:rFonts w:hint="eastAsia" w:ascii="仿宋_GB2312" w:hAnsi="Cambria" w:eastAsia="仿宋_GB2312" w:cs="仿宋_GB2312"/>
          <w:sz w:val="32"/>
          <w:szCs w:val="32"/>
        </w:rPr>
        <w:t>我</w:t>
      </w:r>
      <w:r>
        <w:rPr>
          <w:rFonts w:hint="eastAsia" w:ascii="仿宋_GB2312" w:hAnsi="Cambria" w:eastAsia="仿宋_GB2312" w:cs="仿宋_GB2312"/>
          <w:sz w:val="32"/>
          <w:szCs w:val="32"/>
          <w:lang w:eastAsia="zh-CN"/>
        </w:rPr>
        <w:t>局内设五</w:t>
      </w:r>
      <w:r>
        <w:rPr>
          <w:rFonts w:hint="eastAsia" w:ascii="仿宋_GB2312" w:hAnsi="Cambria" w:eastAsia="仿宋_GB2312" w:cs="仿宋_GB2312"/>
          <w:sz w:val="32"/>
          <w:szCs w:val="32"/>
        </w:rPr>
        <w:t>个</w:t>
      </w:r>
      <w:r>
        <w:rPr>
          <w:rFonts w:hint="eastAsia" w:ascii="仿宋_GB2312" w:hAnsi="Cambria" w:eastAsia="仿宋_GB2312" w:cs="仿宋_GB2312"/>
          <w:sz w:val="32"/>
          <w:szCs w:val="32"/>
          <w:lang w:eastAsia="zh-CN"/>
        </w:rPr>
        <w:t>科室</w:t>
      </w:r>
      <w:r>
        <w:rPr>
          <w:rFonts w:hint="eastAsia" w:ascii="仿宋_GB2312" w:hAnsi="Cambria" w:eastAsia="仿宋_GB2312" w:cs="仿宋_GB2312"/>
          <w:sz w:val="32"/>
          <w:szCs w:val="32"/>
        </w:rPr>
        <w:t>：危化品监管科、</w:t>
      </w:r>
      <w:r>
        <w:rPr>
          <w:rFonts w:hint="eastAsia" w:ascii="仿宋_GB2312" w:hAnsi="Cambria" w:eastAsia="仿宋_GB2312" w:cs="仿宋_GB2312"/>
          <w:sz w:val="32"/>
          <w:szCs w:val="32"/>
          <w:lang w:eastAsia="zh-CN"/>
        </w:rPr>
        <w:t>工贸</w:t>
      </w:r>
      <w:r>
        <w:rPr>
          <w:rFonts w:hint="eastAsia" w:ascii="仿宋_GB2312" w:hAnsi="Cambria" w:eastAsia="仿宋_GB2312" w:cs="仿宋_GB2312"/>
          <w:sz w:val="32"/>
          <w:szCs w:val="32"/>
        </w:rPr>
        <w:t>监管科、</w:t>
      </w:r>
      <w:r>
        <w:rPr>
          <w:rFonts w:hint="eastAsia" w:ascii="仿宋_GB2312" w:hAnsi="Cambria" w:eastAsia="仿宋_GB2312" w:cs="仿宋_GB2312"/>
          <w:sz w:val="32"/>
          <w:szCs w:val="32"/>
          <w:lang w:eastAsia="zh-CN"/>
        </w:rPr>
        <w:t>应急</w:t>
      </w:r>
      <w:r>
        <w:rPr>
          <w:rFonts w:hint="eastAsia" w:ascii="仿宋_GB2312" w:hAnsi="Cambria" w:eastAsia="仿宋_GB2312" w:cs="仿宋_GB2312"/>
          <w:sz w:val="32"/>
          <w:szCs w:val="32"/>
          <w:lang w:val="en-US" w:eastAsia="zh-CN"/>
        </w:rPr>
        <w:t>救灾科</w:t>
      </w:r>
      <w:r>
        <w:rPr>
          <w:rFonts w:hint="eastAsia" w:ascii="仿宋_GB2312" w:hAnsi="Cambria" w:eastAsia="仿宋_GB2312" w:cs="仿宋_GB2312"/>
          <w:sz w:val="32"/>
          <w:szCs w:val="32"/>
        </w:rPr>
        <w:t>、办公室</w:t>
      </w:r>
      <w:r>
        <w:rPr>
          <w:rFonts w:hint="eastAsia" w:ascii="仿宋_GB2312" w:hAnsi="Cambria" w:eastAsia="仿宋_GB2312" w:cs="仿宋_GB2312"/>
          <w:sz w:val="32"/>
          <w:szCs w:val="32"/>
          <w:lang w:eastAsia="zh-CN"/>
        </w:rPr>
        <w:t>、综合协调科</w:t>
      </w:r>
      <w:r>
        <w:rPr>
          <w:rFonts w:hint="eastAsia" w:ascii="仿宋_GB2312" w:hAnsi="Cambria" w:eastAsia="仿宋_GB2312" w:cs="仿宋_GB2312"/>
          <w:sz w:val="32"/>
          <w:szCs w:val="32"/>
        </w:rPr>
        <w:t>。</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我部门无二级预算单位，因此，唐山海港经济开发区应急管理局2022年度部门决算即唐山海港经济开发区应急管理局本级2022年度决算。</w:t>
      </w:r>
      <w:r>
        <w:rPr>
          <w:rFonts w:hint="eastAsia" w:ascii="仿宋_GB2312" w:hAnsi="Calibri" w:eastAsia="仿宋_GB2312" w:cs="ArialUnicodeMS"/>
          <w:kern w:val="0"/>
          <w:sz w:val="32"/>
          <w:szCs w:val="32"/>
        </w:rPr>
        <w:t>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唐山海港经济开发区应急管理局</w:t>
            </w:r>
          </w:p>
        </w:tc>
        <w:tc>
          <w:tcPr>
            <w:tcW w:w="2445" w:type="dxa"/>
          </w:tcPr>
          <w:p>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665" w:type="dxa"/>
          </w:tcPr>
          <w:p>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numPr>
          <w:ilvl w:val="0"/>
          <w:numId w:val="1"/>
        </w:numPr>
        <w:spacing w:after="312" w:afterLines="100" w:line="580" w:lineRule="exact"/>
        <w:ind w:left="1757"/>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2023年度部门决算表</w:t>
      </w:r>
    </w:p>
    <w:tbl>
      <w:tblPr>
        <w:tblStyle w:val="8"/>
        <w:tblW w:w="10260" w:type="dxa"/>
        <w:jc w:val="center"/>
        <w:tblLayout w:type="fixed"/>
        <w:tblCellMar>
          <w:top w:w="15" w:type="dxa"/>
          <w:left w:w="15" w:type="dxa"/>
          <w:bottom w:w="15" w:type="dxa"/>
          <w:right w:w="15" w:type="dxa"/>
        </w:tblCellMar>
      </w:tblPr>
      <w:tblGrid>
        <w:gridCol w:w="3490"/>
        <w:gridCol w:w="536"/>
        <w:gridCol w:w="26"/>
        <w:gridCol w:w="1324"/>
        <w:gridCol w:w="814"/>
        <w:gridCol w:w="2469"/>
        <w:gridCol w:w="502"/>
        <w:gridCol w:w="1099"/>
      </w:tblGrid>
      <w:tr>
        <w:tblPrEx>
          <w:tblCellMar>
            <w:top w:w="15" w:type="dxa"/>
            <w:left w:w="15" w:type="dxa"/>
            <w:bottom w:w="15" w:type="dxa"/>
            <w:right w:w="15" w:type="dxa"/>
          </w:tblCellMar>
        </w:tblPrEx>
        <w:trPr>
          <w:trHeight w:val="917" w:hRule="exact"/>
          <w:jc w:val="center"/>
        </w:trPr>
        <w:tc>
          <w:tcPr>
            <w:tcW w:w="10260" w:type="dxa"/>
            <w:gridSpan w:val="8"/>
            <w:tcBorders>
              <w:top w:val="nil"/>
              <w:left w:val="nil"/>
              <w:bottom w:val="nil"/>
              <w:right w:val="nil"/>
            </w:tcBorders>
            <w:shd w:val="clear" w:color="auto" w:fill="FFFFFF"/>
            <w:vAlign w:val="bottom"/>
          </w:tcPr>
          <w:p>
            <w:pPr>
              <w:widowControl/>
              <w:spacing w:line="500" w:lineRule="exact"/>
              <w:jc w:val="center"/>
              <w:textAlignment w:val="center"/>
              <w:rPr>
                <w:rFonts w:ascii="Times New Roman" w:hAnsi="Times New Roman" w:eastAsia="仿宋_GB2312"/>
                <w:b/>
                <w:bCs/>
                <w:sz w:val="36"/>
                <w:szCs w:val="36"/>
              </w:rPr>
            </w:pPr>
          </w:p>
          <w:p>
            <w:pPr>
              <w:widowControl/>
              <w:spacing w:line="500" w:lineRule="exact"/>
              <w:jc w:val="center"/>
              <w:textAlignment w:val="center"/>
              <w:rPr>
                <w:rFonts w:ascii="Times New Roman" w:hAnsi="Times New Roman" w:eastAsia="仿宋_GB2312"/>
                <w:b/>
                <w:bCs/>
                <w:sz w:val="36"/>
                <w:szCs w:val="36"/>
              </w:rPr>
            </w:pPr>
            <w:r>
              <w:rPr>
                <w:rFonts w:hint="eastAsia" w:ascii="Times New Roman" w:hAnsi="Times New Roman" w:eastAsia="仿宋_GB2312"/>
                <w:b/>
                <w:bCs/>
                <w:sz w:val="36"/>
                <w:szCs w:val="36"/>
              </w:rPr>
              <w:t>收入支出决算总表</w:t>
            </w:r>
          </w:p>
          <w:p>
            <w:pPr>
              <w:widowControl/>
              <w:jc w:val="center"/>
              <w:textAlignment w:val="center"/>
              <w:rPr>
                <w:rFonts w:ascii="Times New Roman" w:hAnsi="Times New Roman" w:eastAsia="仿宋_GB2312"/>
                <w:b/>
                <w:bCs/>
                <w:sz w:val="32"/>
                <w:szCs w:val="32"/>
              </w:rPr>
            </w:pPr>
          </w:p>
        </w:tc>
      </w:tr>
      <w:tr>
        <w:tblPrEx>
          <w:tblCellMar>
            <w:top w:w="15" w:type="dxa"/>
            <w:left w:w="15" w:type="dxa"/>
            <w:bottom w:w="15" w:type="dxa"/>
            <w:right w:w="15" w:type="dxa"/>
          </w:tblCellMar>
        </w:tblPrEx>
        <w:trPr>
          <w:trHeight w:val="358" w:hRule="exact"/>
          <w:jc w:val="center"/>
        </w:trPr>
        <w:tc>
          <w:tcPr>
            <w:tcW w:w="10260" w:type="dxa"/>
            <w:gridSpan w:val="8"/>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2"/>
                <w:lang w:bidi="ar"/>
              </w:rPr>
            </w:pPr>
            <w:r>
              <w:rPr>
                <w:rFonts w:hint="eastAsia" w:ascii="宋体" w:hAnsi="宋体" w:eastAsia="宋体" w:cs="宋体"/>
                <w:color w:val="000000"/>
                <w:kern w:val="0"/>
                <w:sz w:val="20"/>
                <w:szCs w:val="20"/>
                <w:lang w:bidi="ar"/>
              </w:rPr>
              <w:t>公开01表</w:t>
            </w:r>
          </w:p>
        </w:tc>
      </w:tr>
      <w:tr>
        <w:tblPrEx>
          <w:tblCellMar>
            <w:top w:w="15" w:type="dxa"/>
            <w:left w:w="15" w:type="dxa"/>
            <w:bottom w:w="15" w:type="dxa"/>
            <w:right w:w="15" w:type="dxa"/>
          </w:tblCellMar>
        </w:tblPrEx>
        <w:trPr>
          <w:trHeight w:val="350" w:hRule="exact"/>
          <w:jc w:val="center"/>
        </w:trPr>
        <w:tc>
          <w:tcPr>
            <w:tcW w:w="4052" w:type="dxa"/>
            <w:gridSpan w:val="3"/>
            <w:tcBorders>
              <w:top w:val="nil"/>
              <w:left w:val="nil"/>
              <w:bottom w:val="single" w:color="auto" w:sz="4" w:space="0"/>
              <w:right w:val="nil"/>
            </w:tcBorders>
            <w:shd w:val="clear" w:color="auto" w:fill="FFFFFF"/>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部门：                    </w:t>
            </w:r>
          </w:p>
        </w:tc>
        <w:tc>
          <w:tcPr>
            <w:tcW w:w="2138" w:type="dxa"/>
            <w:gridSpan w:val="2"/>
            <w:tcBorders>
              <w:top w:val="nil"/>
              <w:left w:val="nil"/>
              <w:bottom w:val="single" w:color="auto" w:sz="4" w:space="0"/>
              <w:right w:val="nil"/>
            </w:tcBorders>
            <w:shd w:val="clear" w:color="auto" w:fill="FFFFFF"/>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2023年度</w:t>
            </w:r>
          </w:p>
        </w:tc>
        <w:tc>
          <w:tcPr>
            <w:tcW w:w="4070" w:type="dxa"/>
            <w:gridSpan w:val="3"/>
            <w:tcBorders>
              <w:top w:val="nil"/>
              <w:left w:val="nil"/>
              <w:bottom w:val="single" w:color="auto" w:sz="4" w:space="0"/>
              <w:right w:val="nil"/>
            </w:tcBorders>
            <w:shd w:val="clear" w:color="auto" w:fill="FFFFFF"/>
            <w:vAlign w:val="center"/>
          </w:tcPr>
          <w:p>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544" w:hRule="exact"/>
          <w:jc w:val="center"/>
        </w:trPr>
        <w:tc>
          <w:tcPr>
            <w:tcW w:w="5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488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600"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3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3418.57</w:t>
            </w:r>
          </w:p>
        </w:tc>
        <w:tc>
          <w:tcPr>
            <w:tcW w:w="328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36.00</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16.00</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29.48</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235.03</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20.00</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63"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bl>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br w:type="page"/>
      </w:r>
    </w:p>
    <w:tbl>
      <w:tblPr>
        <w:tblStyle w:val="8"/>
        <w:tblW w:w="10260" w:type="dxa"/>
        <w:jc w:val="center"/>
        <w:tblLayout w:type="fixed"/>
        <w:tblCellMar>
          <w:top w:w="15" w:type="dxa"/>
          <w:left w:w="15" w:type="dxa"/>
          <w:bottom w:w="15" w:type="dxa"/>
          <w:right w:w="15" w:type="dxa"/>
        </w:tblCellMar>
      </w:tblPr>
      <w:tblGrid>
        <w:gridCol w:w="3490"/>
        <w:gridCol w:w="536"/>
        <w:gridCol w:w="1350"/>
        <w:gridCol w:w="3283"/>
        <w:gridCol w:w="581"/>
        <w:gridCol w:w="1020"/>
      </w:tblGrid>
      <w:tr>
        <w:tblPrEx>
          <w:tblCellMar>
            <w:top w:w="15" w:type="dxa"/>
            <w:left w:w="15" w:type="dxa"/>
            <w:bottom w:w="15" w:type="dxa"/>
            <w:right w:w="15" w:type="dxa"/>
          </w:tblCellMar>
        </w:tblPrEx>
        <w:trPr>
          <w:trHeight w:val="474" w:hRule="exact"/>
          <w:jc w:val="center"/>
        </w:trPr>
        <w:tc>
          <w:tcPr>
            <w:tcW w:w="5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收入</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color w:val="000000"/>
                <w:sz w:val="22"/>
                <w:lang w:val="en-US" w:eastAsia="zh-CN"/>
              </w:rPr>
            </w:pPr>
            <w:r>
              <w:rPr>
                <w:rFonts w:hint="eastAsia" w:ascii="宋体" w:hAnsi="宋体" w:eastAsia="宋体" w:cs="宋体"/>
                <w:b w:val="0"/>
                <w:bCs/>
                <w:color w:val="000000"/>
                <w:sz w:val="22"/>
                <w:lang w:val="en-US" w:eastAsia="zh-CN"/>
              </w:rPr>
              <w:t>27.47</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color w:val="000000"/>
                <w:sz w:val="22"/>
                <w:lang w:val="en-US" w:eastAsia="zh-CN"/>
              </w:rPr>
            </w:pPr>
            <w:r>
              <w:rPr>
                <w:rFonts w:hint="eastAsia" w:ascii="宋体" w:hAnsi="宋体" w:eastAsia="宋体" w:cs="宋体"/>
                <w:b w:val="0"/>
                <w:bCs/>
                <w:color w:val="000000"/>
                <w:sz w:val="22"/>
                <w:lang w:val="en-US" w:eastAsia="zh-CN"/>
              </w:rPr>
              <w:t>3101.59</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使用非财政拨款结余（含专用结余）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15.00</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15"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3449.57</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3449.57</w:t>
            </w:r>
          </w:p>
        </w:tc>
      </w:tr>
    </w:tbl>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注：1.本表反映部门本年度的总收支和年末结转结余情况。</w:t>
      </w:r>
    </w:p>
    <w:p>
      <w:pPr>
        <w:sectPr>
          <w:headerReference r:id="rId11" w:type="default"/>
          <w:pgSz w:w="11906" w:h="16838"/>
          <w:pgMar w:top="1474" w:right="1474" w:bottom="1474" w:left="1474" w:header="851" w:footer="992" w:gutter="0"/>
          <w:cols w:space="0" w:num="1"/>
          <w:docGrid w:type="lines" w:linePitch="312" w:charSpace="0"/>
        </w:sectPr>
      </w:pPr>
      <w:r>
        <w:rPr>
          <w:rFonts w:hint="eastAsia" w:ascii="宋体" w:hAnsi="宋体" w:eastAsia="宋体" w:cs="宋体"/>
          <w:color w:val="000000"/>
          <w:kern w:val="0"/>
          <w:sz w:val="24"/>
          <w:szCs w:val="24"/>
          <w:lang w:bidi="ar"/>
        </w:rPr>
        <w:t xml:space="preserve">    2.本套报表金额单位转换时可能存在尾数误差。</w:t>
      </w:r>
    </w:p>
    <w:tbl>
      <w:tblPr>
        <w:tblStyle w:val="8"/>
        <w:tblW w:w="10040" w:type="dxa"/>
        <w:jc w:val="center"/>
        <w:tblLayout w:type="fixed"/>
        <w:tblCellMar>
          <w:top w:w="15" w:type="dxa"/>
          <w:left w:w="15" w:type="dxa"/>
          <w:bottom w:w="15" w:type="dxa"/>
          <w:right w:w="15" w:type="dxa"/>
        </w:tblCellMar>
      </w:tblPr>
      <w:tblGrid>
        <w:gridCol w:w="793"/>
        <w:gridCol w:w="693"/>
        <w:gridCol w:w="1174"/>
        <w:gridCol w:w="1487"/>
        <w:gridCol w:w="982"/>
        <w:gridCol w:w="982"/>
        <w:gridCol w:w="982"/>
        <w:gridCol w:w="982"/>
        <w:gridCol w:w="982"/>
        <w:gridCol w:w="983"/>
      </w:tblGrid>
      <w:tr>
        <w:tblPrEx>
          <w:tblCellMar>
            <w:top w:w="15" w:type="dxa"/>
            <w:left w:w="15" w:type="dxa"/>
            <w:bottom w:w="15" w:type="dxa"/>
            <w:right w:w="15" w:type="dxa"/>
          </w:tblCellMar>
        </w:tblPrEx>
        <w:trPr>
          <w:trHeight w:val="666" w:hRule="atLeast"/>
          <w:jc w:val="center"/>
        </w:trPr>
        <w:tc>
          <w:tcPr>
            <w:tcW w:w="10040" w:type="dxa"/>
            <w:gridSpan w:val="10"/>
            <w:shd w:val="clear" w:color="auto" w:fill="auto"/>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收入决算表</w:t>
            </w:r>
          </w:p>
        </w:tc>
      </w:tr>
      <w:tr>
        <w:tblPrEx>
          <w:tblCellMar>
            <w:top w:w="15" w:type="dxa"/>
            <w:left w:w="15" w:type="dxa"/>
            <w:bottom w:w="15" w:type="dxa"/>
            <w:right w:w="15" w:type="dxa"/>
          </w:tblCellMar>
        </w:tblPrEx>
        <w:trPr>
          <w:trHeight w:val="348" w:hRule="atLeast"/>
          <w:jc w:val="center"/>
        </w:trPr>
        <w:tc>
          <w:tcPr>
            <w:tcW w:w="793" w:type="dxa"/>
            <w:shd w:val="clear" w:color="auto" w:fill="FFFFFF"/>
            <w:vAlign w:val="center"/>
          </w:tcPr>
          <w:p>
            <w:pPr>
              <w:jc w:val="right"/>
              <w:rPr>
                <w:rFonts w:ascii="宋体" w:hAnsi="宋体" w:eastAsia="宋体" w:cs="宋体"/>
                <w:color w:val="000000"/>
                <w:sz w:val="24"/>
              </w:rPr>
            </w:pPr>
          </w:p>
        </w:tc>
        <w:tc>
          <w:tcPr>
            <w:tcW w:w="693" w:type="dxa"/>
            <w:shd w:val="clear" w:color="auto" w:fill="FFFFFF"/>
            <w:vAlign w:val="center"/>
          </w:tcPr>
          <w:p>
            <w:pPr>
              <w:jc w:val="right"/>
              <w:rPr>
                <w:rFonts w:ascii="宋体" w:hAnsi="宋体" w:eastAsia="宋体" w:cs="宋体"/>
                <w:color w:val="000000"/>
                <w:sz w:val="24"/>
              </w:rPr>
            </w:pPr>
          </w:p>
        </w:tc>
        <w:tc>
          <w:tcPr>
            <w:tcW w:w="1174" w:type="dxa"/>
            <w:shd w:val="clear" w:color="auto" w:fill="FFFFFF"/>
            <w:vAlign w:val="center"/>
          </w:tcPr>
          <w:p>
            <w:pPr>
              <w:jc w:val="right"/>
              <w:rPr>
                <w:rFonts w:ascii="宋体" w:hAnsi="宋体" w:eastAsia="宋体" w:cs="宋体"/>
                <w:color w:val="000000"/>
                <w:sz w:val="24"/>
              </w:rPr>
            </w:pPr>
          </w:p>
        </w:tc>
        <w:tc>
          <w:tcPr>
            <w:tcW w:w="1487"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348" w:hRule="atLeast"/>
          <w:jc w:val="center"/>
        </w:trPr>
        <w:tc>
          <w:tcPr>
            <w:tcW w:w="2660" w:type="dxa"/>
            <w:gridSpan w:val="3"/>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lang w:bidi="ar"/>
              </w:rPr>
              <w:t>部门：</w:t>
            </w:r>
          </w:p>
        </w:tc>
        <w:tc>
          <w:tcPr>
            <w:tcW w:w="1487" w:type="dxa"/>
            <w:shd w:val="clear" w:color="auto" w:fill="FFFFFF"/>
            <w:vAlign w:val="center"/>
          </w:tcPr>
          <w:p>
            <w:pPr>
              <w:jc w:val="right"/>
              <w:rPr>
                <w:rFonts w:ascii="宋体" w:hAnsi="宋体" w:eastAsia="宋体" w:cs="宋体"/>
                <w:color w:val="000000"/>
                <w:sz w:val="24"/>
              </w:rPr>
            </w:pPr>
          </w:p>
        </w:tc>
        <w:tc>
          <w:tcPr>
            <w:tcW w:w="1964" w:type="dxa"/>
            <w:gridSpan w:val="2"/>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4"/>
                <w:szCs w:val="24"/>
              </w:rPr>
              <w:t>2023年度</w:t>
            </w: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本年收入合计</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财政拨款收入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上级补助收入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事业收入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附属单位上缴收入</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其他收入</w:t>
            </w:r>
          </w:p>
        </w:tc>
      </w:tr>
      <w:tr>
        <w:tblPrEx>
          <w:tblCellMar>
            <w:top w:w="15" w:type="dxa"/>
            <w:left w:w="15" w:type="dxa"/>
            <w:bottom w:w="15" w:type="dxa"/>
            <w:right w:w="15" w:type="dxa"/>
          </w:tblCellMar>
        </w:tblPrEx>
        <w:trPr>
          <w:trHeight w:val="499" w:hRule="atLeast"/>
          <w:jc w:val="center"/>
        </w:trPr>
        <w:tc>
          <w:tcPr>
            <w:tcW w:w="14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3434.57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3418.57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16.00</w:t>
            </w: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16.00</w:t>
            </w:r>
          </w:p>
        </w:tc>
      </w:tr>
      <w:tr>
        <w:tblPrEx>
          <w:tblCellMar>
            <w:top w:w="15" w:type="dxa"/>
            <w:left w:w="15" w:type="dxa"/>
            <w:bottom w:w="15" w:type="dxa"/>
            <w:right w:w="15" w:type="dxa"/>
          </w:tblCellMar>
        </w:tblPrEx>
        <w:trPr>
          <w:trHeight w:val="677"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商贸事务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16.00</w:t>
            </w: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2011308</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16.00</w:t>
            </w: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4"/>
                <w:lang w:val="en-US"/>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2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197.64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197.64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2100410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197.64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197.64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2150599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color w:val="000000"/>
                <w:sz w:val="22"/>
                <w:lang w:val="en-US" w:eastAsia="zh-CN"/>
              </w:rPr>
              <w:t>3101.59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color w:val="000000"/>
                <w:sz w:val="22"/>
                <w:lang w:val="en-US" w:eastAsia="zh-CN"/>
              </w:rPr>
              <w:t>3101.59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2204.89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2204.89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392.25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392.25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2240104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728.73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728.73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2240106</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296.83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296.83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2240109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779.09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779.09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896.70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896.70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2249999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896.70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896.70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r>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pPr>
              <w:widowControl/>
              <w:jc w:val="left"/>
              <w:textAlignment w:val="center"/>
              <w:rPr>
                <w:rFonts w:hint="eastAsia" w:ascii="宋体" w:hAnsi="宋体" w:eastAsia="宋体" w:cs="宋体"/>
                <w:color w:val="000000"/>
                <w:kern w:val="0"/>
                <w:sz w:val="24"/>
                <w:szCs w:val="24"/>
                <w:lang w:bidi="ar"/>
              </w:rPr>
            </w:pPr>
          </w:p>
        </w:tc>
      </w:tr>
    </w:tbl>
    <w:p>
      <w:pPr>
        <w:sectPr>
          <w:pgSz w:w="11906" w:h="16838"/>
          <w:pgMar w:top="1474" w:right="1474" w:bottom="1474" w:left="1474" w:header="851" w:footer="992" w:gutter="0"/>
          <w:cols w:space="0" w:num="1"/>
          <w:docGrid w:type="lines" w:linePitch="312" w:charSpace="0"/>
        </w:sectPr>
      </w:pPr>
    </w:p>
    <w:tbl>
      <w:tblPr>
        <w:tblStyle w:val="8"/>
        <w:tblW w:w="10286" w:type="dxa"/>
        <w:jc w:val="center"/>
        <w:tblLayout w:type="fixed"/>
        <w:tblCellMar>
          <w:top w:w="15" w:type="dxa"/>
          <w:left w:w="15" w:type="dxa"/>
          <w:bottom w:w="15" w:type="dxa"/>
          <w:right w:w="15" w:type="dxa"/>
        </w:tblCellMar>
      </w:tblPr>
      <w:tblGrid>
        <w:gridCol w:w="671"/>
        <w:gridCol w:w="667"/>
        <w:gridCol w:w="1450"/>
        <w:gridCol w:w="1487"/>
        <w:gridCol w:w="1739"/>
        <w:gridCol w:w="1069"/>
        <w:gridCol w:w="1090"/>
        <w:gridCol w:w="1048"/>
        <w:gridCol w:w="1065"/>
      </w:tblGrid>
      <w:tr>
        <w:tblPrEx>
          <w:tblCellMar>
            <w:top w:w="15" w:type="dxa"/>
            <w:left w:w="15" w:type="dxa"/>
            <w:bottom w:w="15" w:type="dxa"/>
            <w:right w:w="15" w:type="dxa"/>
          </w:tblCellMar>
        </w:tblPrEx>
        <w:trPr>
          <w:trHeight w:val="435" w:hRule="atLeast"/>
          <w:jc w:val="center"/>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b/>
                <w:bCs/>
                <w:color w:val="000000"/>
                <w:kern w:val="0"/>
                <w:sz w:val="32"/>
                <w:szCs w:val="32"/>
                <w:lang w:bidi="ar"/>
              </w:rPr>
              <w:t>支出决算表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450" w:type="dxa"/>
            <w:shd w:val="clear" w:color="auto" w:fill="FFFFFF"/>
            <w:vAlign w:val="center"/>
          </w:tcPr>
          <w:p>
            <w:pPr>
              <w:jc w:val="right"/>
              <w:rPr>
                <w:rFonts w:ascii="宋体" w:hAnsi="宋体" w:eastAsia="宋体" w:cs="宋体"/>
                <w:color w:val="000000"/>
                <w:sz w:val="24"/>
              </w:rPr>
            </w:pPr>
          </w:p>
        </w:tc>
        <w:tc>
          <w:tcPr>
            <w:tcW w:w="1487"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90" w:type="dxa"/>
            <w:shd w:val="clear" w:color="auto" w:fill="FFFFFF"/>
            <w:vAlign w:val="center"/>
          </w:tcPr>
          <w:p>
            <w:pPr>
              <w:jc w:val="right"/>
              <w:rPr>
                <w:rFonts w:ascii="宋体" w:hAnsi="宋体" w:eastAsia="宋体" w:cs="宋体"/>
                <w:color w:val="000000"/>
                <w:sz w:val="24"/>
              </w:rPr>
            </w:pPr>
          </w:p>
        </w:tc>
        <w:tc>
          <w:tcPr>
            <w:tcW w:w="1048"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7" w:type="dxa"/>
            <w:shd w:val="clear" w:color="auto" w:fill="FFFFFF"/>
            <w:vAlign w:val="center"/>
          </w:tcPr>
          <w:p>
            <w:pPr>
              <w:jc w:val="right"/>
              <w:rPr>
                <w:rFonts w:ascii="宋体" w:hAnsi="宋体" w:eastAsia="宋体" w:cs="宋体"/>
                <w:color w:val="000000"/>
                <w:sz w:val="24"/>
              </w:rPr>
            </w:pPr>
          </w:p>
        </w:tc>
        <w:tc>
          <w:tcPr>
            <w:tcW w:w="1450" w:type="dxa"/>
            <w:shd w:val="clear" w:color="auto" w:fill="FFFFFF"/>
            <w:vAlign w:val="center"/>
          </w:tcPr>
          <w:p>
            <w:pPr>
              <w:jc w:val="right"/>
              <w:rPr>
                <w:rFonts w:ascii="宋体" w:hAnsi="宋体" w:eastAsia="宋体" w:cs="宋体"/>
                <w:color w:val="000000"/>
                <w:sz w:val="24"/>
              </w:rPr>
            </w:pPr>
          </w:p>
        </w:tc>
        <w:tc>
          <w:tcPr>
            <w:tcW w:w="1487"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2023年度</w:t>
            </w:r>
          </w:p>
        </w:tc>
        <w:tc>
          <w:tcPr>
            <w:tcW w:w="1069" w:type="dxa"/>
            <w:shd w:val="clear" w:color="auto" w:fill="FFFFFF"/>
            <w:vAlign w:val="center"/>
          </w:tcPr>
          <w:p>
            <w:pPr>
              <w:jc w:val="center"/>
              <w:rPr>
                <w:rFonts w:ascii="宋体" w:hAnsi="宋体" w:eastAsia="宋体" w:cs="宋体"/>
                <w:color w:val="000000"/>
                <w:sz w:val="20"/>
                <w:szCs w:val="20"/>
              </w:rPr>
            </w:pPr>
          </w:p>
        </w:tc>
        <w:tc>
          <w:tcPr>
            <w:tcW w:w="1090" w:type="dxa"/>
            <w:shd w:val="clear" w:color="auto" w:fill="FFFFFF"/>
            <w:vAlign w:val="center"/>
          </w:tcPr>
          <w:p>
            <w:pPr>
              <w:jc w:val="right"/>
              <w:rPr>
                <w:rFonts w:ascii="宋体" w:hAnsi="宋体" w:eastAsia="宋体" w:cs="宋体"/>
                <w:color w:val="000000"/>
                <w:sz w:val="24"/>
              </w:rPr>
            </w:pPr>
          </w:p>
        </w:tc>
        <w:tc>
          <w:tcPr>
            <w:tcW w:w="1048"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jc w:val="center"/>
        </w:trPr>
        <w:tc>
          <w:tcPr>
            <w:tcW w:w="27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上缴上级支出</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jc w:val="center"/>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7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362" w:hRule="atLeast"/>
          <w:jc w:val="center"/>
        </w:trPr>
        <w:tc>
          <w:tcPr>
            <w:tcW w:w="27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3449.57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471.59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2977.98</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商贸事务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20805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2080505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卫生健康支出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235.03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235.03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公共卫生</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212.64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212.64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2100410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212.64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212.64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21011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2101101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21505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2150599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住房保障支出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22102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住房改革支出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2210201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b w:val="0"/>
                <w:bCs/>
                <w:color w:val="000000"/>
                <w:sz w:val="22"/>
                <w:lang w:val="en-US" w:eastAsia="zh-CN"/>
              </w:rPr>
              <w:t>3101.59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val="en-US" w:eastAsia="zh-CN"/>
              </w:rPr>
              <w:t>392.26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2709.34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应急管理事务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2204.89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val="en-US" w:eastAsia="zh-CN"/>
              </w:rPr>
              <w:t>392.26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1812.64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392.25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392.26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728.73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728.73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296.83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296.83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779.09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779.09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2240199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22499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2249999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jc w:val="center"/>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1474" w:right="1474" w:bottom="1474" w:left="1474" w:header="851" w:footer="992" w:gutter="0"/>
          <w:cols w:space="0" w:num="1"/>
          <w:docGrid w:type="lines" w:linePitch="312" w:charSpace="0"/>
        </w:sectPr>
      </w:pPr>
    </w:p>
    <w:tbl>
      <w:tblPr>
        <w:tblStyle w:val="8"/>
        <w:tblW w:w="10873" w:type="dxa"/>
        <w:jc w:val="center"/>
        <w:tblLayout w:type="fixed"/>
        <w:tblCellMar>
          <w:top w:w="15" w:type="dxa"/>
          <w:left w:w="15" w:type="dxa"/>
          <w:bottom w:w="15" w:type="dxa"/>
          <w:right w:w="15" w:type="dxa"/>
        </w:tblCellMar>
      </w:tblPr>
      <w:tblGrid>
        <w:gridCol w:w="2390"/>
        <w:gridCol w:w="586"/>
        <w:gridCol w:w="1079"/>
        <w:gridCol w:w="2681"/>
        <w:gridCol w:w="494"/>
        <w:gridCol w:w="670"/>
        <w:gridCol w:w="161"/>
        <w:gridCol w:w="888"/>
        <w:gridCol w:w="960"/>
        <w:gridCol w:w="511"/>
        <w:gridCol w:w="453"/>
      </w:tblGrid>
      <w:tr>
        <w:tblPrEx>
          <w:tblCellMar>
            <w:top w:w="15" w:type="dxa"/>
            <w:left w:w="15" w:type="dxa"/>
            <w:bottom w:w="15" w:type="dxa"/>
            <w:right w:w="15" w:type="dxa"/>
          </w:tblCellMar>
        </w:tblPrEx>
        <w:trPr>
          <w:gridAfter w:val="1"/>
          <w:wAfter w:w="453" w:type="dxa"/>
          <w:trHeight w:val="1069" w:hRule="atLeast"/>
          <w:jc w:val="center"/>
        </w:trPr>
        <w:tc>
          <w:tcPr>
            <w:tcW w:w="10420" w:type="dxa"/>
            <w:gridSpan w:val="10"/>
            <w:tcBorders>
              <w:top w:val="nil"/>
              <w:left w:val="nil"/>
              <w:bottom w:val="nil"/>
              <w:right w:val="nil"/>
            </w:tcBorders>
            <w:shd w:val="clear" w:color="auto" w:fill="FFFFFF"/>
            <w:vAlign w:val="bottom"/>
          </w:tcPr>
          <w:p>
            <w:pPr>
              <w:widowControl/>
              <w:ind w:firstLine="3534" w:firstLineChars="1100"/>
              <w:textAlignment w:val="center"/>
              <w:rPr>
                <w:rFonts w:ascii="宋体" w:hAnsi="宋体" w:eastAsia="宋体" w:cs="宋体"/>
                <w:color w:val="000000"/>
                <w:kern w:val="0"/>
                <w:sz w:val="24"/>
                <w:szCs w:val="24"/>
                <w:lang w:bidi="ar"/>
              </w:rPr>
            </w:pPr>
            <w:r>
              <w:rPr>
                <w:rFonts w:hint="eastAsia" w:ascii="华文中宋" w:hAnsi="华文中宋" w:eastAsia="华文中宋" w:cs="华文中宋"/>
                <w:b/>
                <w:bCs/>
                <w:color w:val="000000"/>
                <w:kern w:val="0"/>
                <w:sz w:val="32"/>
                <w:szCs w:val="32"/>
                <w:lang w:bidi="ar"/>
              </w:rPr>
              <w:t>财政拨款收入支出决算总表</w:t>
            </w:r>
          </w:p>
        </w:tc>
      </w:tr>
      <w:tr>
        <w:tblPrEx>
          <w:tblCellMar>
            <w:top w:w="15" w:type="dxa"/>
            <w:left w:w="15" w:type="dxa"/>
            <w:bottom w:w="15" w:type="dxa"/>
            <w:right w:w="15" w:type="dxa"/>
          </w:tblCellMar>
        </w:tblPrEx>
        <w:trPr>
          <w:trHeight w:val="347" w:hRule="atLeast"/>
          <w:jc w:val="center"/>
        </w:trPr>
        <w:tc>
          <w:tcPr>
            <w:tcW w:w="4055" w:type="dxa"/>
            <w:gridSpan w:val="3"/>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p>
        </w:tc>
        <w:tc>
          <w:tcPr>
            <w:tcW w:w="6818" w:type="dxa"/>
            <w:gridSpan w:val="8"/>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0"/>
                <w:szCs w:val="20"/>
                <w:lang w:bidi="ar"/>
              </w:rPr>
              <w:t>公开04表</w:t>
            </w:r>
          </w:p>
        </w:tc>
      </w:tr>
      <w:tr>
        <w:tblPrEx>
          <w:tblCellMar>
            <w:top w:w="15" w:type="dxa"/>
            <w:left w:w="15" w:type="dxa"/>
            <w:bottom w:w="15" w:type="dxa"/>
            <w:right w:w="15" w:type="dxa"/>
          </w:tblCellMar>
        </w:tblPrEx>
        <w:trPr>
          <w:trHeight w:val="388" w:hRule="atLeast"/>
          <w:jc w:val="center"/>
        </w:trPr>
        <w:tc>
          <w:tcPr>
            <w:tcW w:w="4055"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 xml:space="preserve">部门：                    </w:t>
            </w:r>
          </w:p>
        </w:tc>
        <w:tc>
          <w:tcPr>
            <w:tcW w:w="3845"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 xml:space="preserve">                         2023年度</w:t>
            </w:r>
          </w:p>
        </w:tc>
        <w:tc>
          <w:tcPr>
            <w:tcW w:w="2973" w:type="dxa"/>
            <w:gridSpan w:val="5"/>
            <w:tcBorders>
              <w:top w:val="nil"/>
              <w:left w:val="nil"/>
              <w:bottom w:val="nil"/>
              <w:right w:val="nil"/>
            </w:tcBorders>
            <w:shd w:val="clear" w:color="auto" w:fill="FFFFFF"/>
            <w:vAlign w:val="center"/>
          </w:tcPr>
          <w:p>
            <w:pPr>
              <w:widowControl/>
              <w:jc w:val="right"/>
              <w:textAlignment w:val="cente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535" w:hRule="atLeast"/>
          <w:jc w:val="center"/>
        </w:trPr>
        <w:tc>
          <w:tcPr>
            <w:tcW w:w="40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681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997"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535"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3418.57</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20.00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b w:val="0"/>
                <w:bCs w:val="0"/>
                <w:color w:val="000000"/>
                <w:sz w:val="22"/>
                <w:lang w:val="en-US" w:eastAsia="zh-CN"/>
              </w:rPr>
              <w:t>29.48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b w:val="0"/>
                <w:bCs w:val="0"/>
                <w:color w:val="000000"/>
                <w:sz w:val="22"/>
                <w:lang w:val="en-US" w:eastAsia="zh-CN"/>
              </w:rPr>
              <w:t>29.48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b w:val="0"/>
                <w:bCs w:val="0"/>
                <w:color w:val="000000"/>
                <w:sz w:val="22"/>
                <w:lang w:val="en-US" w:eastAsia="zh-CN"/>
              </w:rPr>
              <w:t>220.03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b w:val="0"/>
                <w:bCs w:val="0"/>
                <w:color w:val="000000"/>
                <w:sz w:val="22"/>
                <w:lang w:val="en-US" w:eastAsia="zh-CN"/>
              </w:rPr>
              <w:t>220.03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20.00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b w:val="0"/>
                <w:bCs/>
                <w:color w:val="000000"/>
                <w:sz w:val="22"/>
                <w:lang w:val="en-US" w:eastAsia="zh-CN"/>
              </w:rPr>
              <w:t>27.47</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b w:val="0"/>
                <w:bCs/>
                <w:color w:val="000000"/>
                <w:sz w:val="22"/>
                <w:lang w:val="en-US" w:eastAsia="zh-CN"/>
              </w:rPr>
              <w:t>27.47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40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收入</w:t>
            </w:r>
          </w:p>
        </w:tc>
        <w:tc>
          <w:tcPr>
            <w:tcW w:w="681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140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3101.59</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3101.59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3418.57</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3418.57</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3418.57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1"/>
          <w:wAfter w:w="453" w:type="dxa"/>
          <w:trHeight w:val="843" w:hRule="atLeast"/>
          <w:jc w:val="center"/>
        </w:trPr>
        <w:tc>
          <w:tcPr>
            <w:tcW w:w="1042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bl>
    <w:p>
      <w:pPr>
        <w:widowControl/>
        <w:jc w:val="center"/>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br w:type="page"/>
      </w:r>
    </w:p>
    <w:tbl>
      <w:tblPr>
        <w:tblStyle w:val="8"/>
        <w:tblW w:w="10900" w:type="dxa"/>
        <w:jc w:val="center"/>
        <w:tblLayout w:type="fixed"/>
        <w:tblCellMar>
          <w:top w:w="15" w:type="dxa"/>
          <w:left w:w="15" w:type="dxa"/>
          <w:bottom w:w="15" w:type="dxa"/>
          <w:right w:w="15" w:type="dxa"/>
        </w:tblCellMar>
      </w:tblPr>
      <w:tblGrid>
        <w:gridCol w:w="602"/>
        <w:gridCol w:w="1085"/>
        <w:gridCol w:w="2337"/>
        <w:gridCol w:w="2397"/>
        <w:gridCol w:w="2186"/>
        <w:gridCol w:w="2293"/>
      </w:tblGrid>
      <w:tr>
        <w:tblPrEx>
          <w:tblCellMar>
            <w:top w:w="15" w:type="dxa"/>
            <w:left w:w="15" w:type="dxa"/>
            <w:bottom w:w="15" w:type="dxa"/>
            <w:right w:w="15" w:type="dxa"/>
          </w:tblCellMar>
        </w:tblPrEx>
        <w:trPr>
          <w:trHeight w:val="628" w:hRule="atLeast"/>
          <w:jc w:val="center"/>
        </w:trPr>
        <w:tc>
          <w:tcPr>
            <w:tcW w:w="10900" w:type="dxa"/>
            <w:gridSpan w:val="6"/>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一般公共预算财政拨款支出决算表</w:t>
            </w:r>
          </w:p>
        </w:tc>
      </w:tr>
      <w:tr>
        <w:tblPrEx>
          <w:tblCellMar>
            <w:top w:w="15" w:type="dxa"/>
            <w:left w:w="15" w:type="dxa"/>
            <w:bottom w:w="15" w:type="dxa"/>
            <w:right w:w="15" w:type="dxa"/>
          </w:tblCellMar>
        </w:tblPrEx>
        <w:trPr>
          <w:trHeight w:val="286" w:hRule="atLeast"/>
          <w:jc w:val="center"/>
        </w:trPr>
        <w:tc>
          <w:tcPr>
            <w:tcW w:w="602" w:type="dxa"/>
            <w:shd w:val="clear" w:color="auto" w:fill="FFFFFF"/>
            <w:vAlign w:val="center"/>
          </w:tcPr>
          <w:p>
            <w:pPr>
              <w:jc w:val="center"/>
              <w:rPr>
                <w:rFonts w:ascii="宋体" w:hAnsi="宋体" w:eastAsia="宋体" w:cs="宋体"/>
                <w:color w:val="000000"/>
                <w:sz w:val="20"/>
                <w:szCs w:val="20"/>
              </w:rPr>
            </w:pPr>
          </w:p>
        </w:tc>
        <w:tc>
          <w:tcPr>
            <w:tcW w:w="1085" w:type="dxa"/>
            <w:shd w:val="clear" w:color="auto" w:fill="FFFFFF"/>
            <w:vAlign w:val="center"/>
          </w:tcPr>
          <w:p>
            <w:pPr>
              <w:jc w:val="center"/>
              <w:rPr>
                <w:rFonts w:ascii="宋体" w:hAnsi="宋体" w:eastAsia="宋体" w:cs="宋体"/>
                <w:color w:val="000000"/>
                <w:sz w:val="20"/>
                <w:szCs w:val="20"/>
              </w:rPr>
            </w:pPr>
          </w:p>
        </w:tc>
        <w:tc>
          <w:tcPr>
            <w:tcW w:w="2337" w:type="dxa"/>
            <w:shd w:val="clear" w:color="auto" w:fill="FFFFFF"/>
            <w:vAlign w:val="center"/>
          </w:tcPr>
          <w:p>
            <w:pPr>
              <w:jc w:val="center"/>
              <w:rPr>
                <w:rFonts w:ascii="宋体" w:hAnsi="宋体" w:eastAsia="宋体" w:cs="宋体"/>
                <w:color w:val="000000"/>
                <w:sz w:val="20"/>
                <w:szCs w:val="20"/>
              </w:rPr>
            </w:pPr>
          </w:p>
        </w:tc>
        <w:tc>
          <w:tcPr>
            <w:tcW w:w="2397" w:type="dxa"/>
            <w:shd w:val="clear" w:color="auto" w:fill="FFFFFF"/>
            <w:vAlign w:val="center"/>
          </w:tcPr>
          <w:p>
            <w:pPr>
              <w:rPr>
                <w:rFonts w:ascii="宋体" w:hAnsi="宋体" w:eastAsia="宋体" w:cs="宋体"/>
                <w:color w:val="000000"/>
                <w:sz w:val="20"/>
                <w:szCs w:val="20"/>
              </w:rPr>
            </w:pP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4"/>
                <w:rFonts w:hint="default"/>
                <w:lang w:bidi="ar"/>
              </w:rPr>
              <w:t>5表</w:t>
            </w:r>
          </w:p>
        </w:tc>
      </w:tr>
      <w:tr>
        <w:tblPrEx>
          <w:tblCellMar>
            <w:top w:w="15" w:type="dxa"/>
            <w:left w:w="15" w:type="dxa"/>
            <w:bottom w:w="15" w:type="dxa"/>
            <w:right w:w="15" w:type="dxa"/>
          </w:tblCellMar>
        </w:tblPrEx>
        <w:trPr>
          <w:trHeight w:val="327" w:hRule="atLeast"/>
          <w:jc w:val="center"/>
        </w:trPr>
        <w:tc>
          <w:tcPr>
            <w:tcW w:w="602"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5" w:type="dxa"/>
            <w:shd w:val="clear" w:color="auto" w:fill="FFFFFF"/>
            <w:vAlign w:val="center"/>
          </w:tcPr>
          <w:p>
            <w:pPr>
              <w:jc w:val="center"/>
              <w:rPr>
                <w:rFonts w:ascii="宋体" w:hAnsi="宋体" w:eastAsia="宋体" w:cs="宋体"/>
                <w:color w:val="000000"/>
                <w:sz w:val="20"/>
                <w:szCs w:val="20"/>
              </w:rPr>
            </w:pPr>
          </w:p>
        </w:tc>
        <w:tc>
          <w:tcPr>
            <w:tcW w:w="2337"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97"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8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5"/>
                <w:rFonts w:hint="default"/>
                <w:lang w:bidi="ar"/>
              </w:rPr>
              <w:t xml:space="preserve">   </w:t>
            </w:r>
            <w:r>
              <w:rPr>
                <w:rStyle w:val="16"/>
                <w:rFonts w:hint="default"/>
                <w:lang w:bidi="ar"/>
              </w:rPr>
              <w:t>目</w:t>
            </w:r>
          </w:p>
        </w:tc>
        <w:tc>
          <w:tcPr>
            <w:tcW w:w="6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60" w:hRule="atLeast"/>
          <w:jc w:val="center"/>
        </w:trPr>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60"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3418.57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val="en-US" w:eastAsia="zh-CN"/>
              </w:rPr>
              <w:t>471.59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val="en-US" w:eastAsia="zh-CN"/>
              </w:rPr>
              <w:t>2946.98</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商贸事务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2011308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2080505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卫生健康支出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220.03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220.03</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21004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公共卫生</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197.64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197.64</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2100410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197.64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197.64</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21011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2101101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2150599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住房保障支出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22102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住房改革支出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2210201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b w:val="0"/>
                <w:bCs/>
                <w:color w:val="000000"/>
                <w:sz w:val="22"/>
                <w:lang w:val="en-US" w:eastAsia="zh-CN"/>
              </w:rPr>
              <w:t>3101.59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val="en-US" w:eastAsia="zh-CN"/>
              </w:rPr>
              <w:t>392.26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val="en-US" w:eastAsia="zh-CN"/>
              </w:rPr>
              <w:t>2709.34</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应急管理事务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2204.89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val="en-US" w:eastAsia="zh-CN"/>
              </w:rPr>
              <w:t>392.26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val="en-US" w:eastAsia="zh-CN"/>
              </w:rPr>
              <w:t>1812.64</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392.25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lang w:val="en-US" w:eastAsia="zh-CN"/>
              </w:rPr>
              <w:t>392.26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728.73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728.73</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2240106</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296.83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296.83</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779.09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779.09</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2240199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8.00</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22499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2249999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r>
      <w:tr>
        <w:tblPrEx>
          <w:tblCellMar>
            <w:top w:w="15" w:type="dxa"/>
            <w:left w:w="15" w:type="dxa"/>
            <w:bottom w:w="15" w:type="dxa"/>
            <w:right w:w="15" w:type="dxa"/>
          </w:tblCellMar>
        </w:tblPrEx>
        <w:trPr>
          <w:trHeight w:val="803" w:hRule="atLeast"/>
          <w:jc w:val="center"/>
        </w:trPr>
        <w:tc>
          <w:tcPr>
            <w:tcW w:w="10900" w:type="dxa"/>
            <w:gridSpan w:val="6"/>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1474" w:right="1474" w:bottom="1474" w:left="1474" w:header="851" w:footer="992" w:gutter="0"/>
          <w:cols w:space="0" w:num="1"/>
          <w:docGrid w:type="lines" w:linePitch="312" w:charSpace="0"/>
        </w:sectPr>
      </w:pPr>
    </w:p>
    <w:tbl>
      <w:tblPr>
        <w:tblStyle w:val="8"/>
        <w:tblW w:w="10760" w:type="dxa"/>
        <w:jc w:val="center"/>
        <w:tblLayout w:type="fixed"/>
        <w:tblCellMar>
          <w:top w:w="15" w:type="dxa"/>
          <w:left w:w="15" w:type="dxa"/>
          <w:bottom w:w="15" w:type="dxa"/>
          <w:right w:w="15" w:type="dxa"/>
        </w:tblCellMar>
      </w:tblPr>
      <w:tblGrid>
        <w:gridCol w:w="663"/>
        <w:gridCol w:w="2377"/>
        <w:gridCol w:w="750"/>
        <w:gridCol w:w="675"/>
        <w:gridCol w:w="1687"/>
        <w:gridCol w:w="721"/>
        <w:gridCol w:w="615"/>
        <w:gridCol w:w="2543"/>
        <w:gridCol w:w="729"/>
      </w:tblGrid>
      <w:tr>
        <w:tblPrEx>
          <w:tblCellMar>
            <w:top w:w="15" w:type="dxa"/>
            <w:left w:w="15" w:type="dxa"/>
            <w:bottom w:w="15" w:type="dxa"/>
            <w:right w:w="15" w:type="dxa"/>
          </w:tblCellMar>
        </w:tblPrEx>
        <w:trPr>
          <w:trHeight w:val="619" w:hRule="atLeast"/>
          <w:jc w:val="center"/>
        </w:trPr>
        <w:tc>
          <w:tcPr>
            <w:tcW w:w="10760" w:type="dxa"/>
            <w:gridSpan w:val="9"/>
            <w:shd w:val="clear" w:color="auto" w:fill="FFFFFF"/>
            <w:vAlign w:val="center"/>
          </w:tcPr>
          <w:p>
            <w:pPr>
              <w:widowControl/>
              <w:tabs>
                <w:tab w:val="left" w:pos="3809"/>
              </w:tabs>
              <w:jc w:val="center"/>
              <w:textAlignment w:val="center"/>
              <w:rPr>
                <w:rFonts w:ascii="宋体" w:hAnsi="宋体" w:eastAsia="宋体" w:cs="宋体"/>
                <w:color w:val="000000"/>
                <w:kern w:val="0"/>
                <w:sz w:val="20"/>
                <w:szCs w:val="20"/>
                <w:lang w:bidi="ar"/>
              </w:rPr>
            </w:pPr>
            <w:r>
              <w:rPr>
                <w:rFonts w:hint="eastAsia" w:ascii="华文中宋" w:hAnsi="华文中宋" w:eastAsia="华文中宋" w:cs="华文中宋"/>
                <w:b/>
                <w:bCs/>
                <w:color w:val="000000"/>
                <w:kern w:val="0"/>
                <w:sz w:val="32"/>
                <w:szCs w:val="32"/>
                <w:lang w:bidi="ar"/>
              </w:rPr>
              <w:t>一般公共预算财政拨款基本支出决算</w:t>
            </w:r>
            <w:r>
              <w:rPr>
                <w:rStyle w:val="17"/>
                <w:rFonts w:hint="default"/>
                <w:b/>
                <w:bCs/>
                <w:lang w:bidi="ar"/>
              </w:rPr>
              <w:t>明细</w:t>
            </w:r>
            <w:r>
              <w:rPr>
                <w:rStyle w:val="18"/>
                <w:rFonts w:hint="default"/>
                <w:b/>
                <w:bCs/>
                <w:lang w:bidi="ar"/>
              </w:rPr>
              <w:t>表</w:t>
            </w:r>
          </w:p>
        </w:tc>
      </w:tr>
      <w:tr>
        <w:tblPrEx>
          <w:tblCellMar>
            <w:top w:w="15" w:type="dxa"/>
            <w:left w:w="15" w:type="dxa"/>
            <w:bottom w:w="15" w:type="dxa"/>
            <w:right w:w="15" w:type="dxa"/>
          </w:tblCellMar>
        </w:tblPrEx>
        <w:trPr>
          <w:trHeight w:val="211" w:hRule="atLeast"/>
          <w:jc w:val="center"/>
        </w:trPr>
        <w:tc>
          <w:tcPr>
            <w:tcW w:w="663" w:type="dxa"/>
            <w:shd w:val="clear" w:color="auto" w:fill="FFFFFF"/>
            <w:vAlign w:val="center"/>
          </w:tcPr>
          <w:p>
            <w:pPr>
              <w:jc w:val="center"/>
              <w:rPr>
                <w:rFonts w:ascii="宋体" w:hAnsi="宋体" w:eastAsia="宋体" w:cs="宋体"/>
                <w:color w:val="000000"/>
                <w:sz w:val="20"/>
                <w:szCs w:val="20"/>
              </w:rPr>
            </w:pPr>
          </w:p>
        </w:tc>
        <w:tc>
          <w:tcPr>
            <w:tcW w:w="2377" w:type="dxa"/>
            <w:shd w:val="clear" w:color="auto" w:fill="FFFFFF"/>
            <w:vAlign w:val="center"/>
          </w:tcPr>
          <w:p>
            <w:pPr>
              <w:jc w:val="center"/>
              <w:rPr>
                <w:rFonts w:ascii="宋体" w:hAnsi="宋体" w:eastAsia="宋体" w:cs="宋体"/>
                <w:color w:val="000000"/>
                <w:sz w:val="20"/>
                <w:szCs w:val="20"/>
              </w:rPr>
            </w:pPr>
          </w:p>
        </w:tc>
        <w:tc>
          <w:tcPr>
            <w:tcW w:w="750" w:type="dxa"/>
            <w:shd w:val="clear" w:color="auto" w:fill="FFFFFF"/>
            <w:vAlign w:val="center"/>
          </w:tcPr>
          <w:p>
            <w:pPr>
              <w:jc w:val="center"/>
              <w:rPr>
                <w:rFonts w:ascii="宋体" w:hAnsi="宋体" w:eastAsia="宋体" w:cs="宋体"/>
                <w:color w:val="000000"/>
                <w:sz w:val="20"/>
                <w:szCs w:val="20"/>
              </w:rPr>
            </w:pPr>
          </w:p>
        </w:tc>
        <w:tc>
          <w:tcPr>
            <w:tcW w:w="675" w:type="dxa"/>
            <w:shd w:val="clear" w:color="auto" w:fill="FFFFFF"/>
            <w:vAlign w:val="center"/>
          </w:tcPr>
          <w:p>
            <w:pPr>
              <w:rPr>
                <w:rFonts w:ascii="宋体" w:hAnsi="宋体" w:eastAsia="宋体" w:cs="宋体"/>
                <w:color w:val="000000"/>
                <w:sz w:val="20"/>
                <w:szCs w:val="20"/>
              </w:rPr>
            </w:pPr>
          </w:p>
        </w:tc>
        <w:tc>
          <w:tcPr>
            <w:tcW w:w="1687" w:type="dxa"/>
            <w:shd w:val="clear" w:color="auto" w:fill="FFFFFF"/>
            <w:vAlign w:val="center"/>
          </w:tcPr>
          <w:p>
            <w:pPr>
              <w:rPr>
                <w:rFonts w:ascii="宋体" w:hAnsi="宋体" w:eastAsia="宋体" w:cs="宋体"/>
                <w:color w:val="000000"/>
                <w:sz w:val="20"/>
                <w:szCs w:val="20"/>
              </w:rPr>
            </w:pPr>
          </w:p>
        </w:tc>
        <w:tc>
          <w:tcPr>
            <w:tcW w:w="721" w:type="dxa"/>
            <w:shd w:val="clear" w:color="auto" w:fill="FFFFFF"/>
            <w:vAlign w:val="center"/>
          </w:tcPr>
          <w:p>
            <w:pPr>
              <w:rPr>
                <w:rFonts w:ascii="宋体" w:hAnsi="宋体" w:eastAsia="宋体" w:cs="宋体"/>
                <w:color w:val="000000"/>
                <w:sz w:val="20"/>
                <w:szCs w:val="20"/>
              </w:rPr>
            </w:pPr>
          </w:p>
        </w:tc>
        <w:tc>
          <w:tcPr>
            <w:tcW w:w="615" w:type="dxa"/>
            <w:shd w:val="clear" w:color="auto" w:fill="FFFFFF"/>
            <w:vAlign w:val="center"/>
          </w:tcPr>
          <w:p>
            <w:pPr>
              <w:rPr>
                <w:rFonts w:ascii="宋体" w:hAnsi="宋体" w:eastAsia="宋体" w:cs="宋体"/>
                <w:color w:val="000000"/>
                <w:sz w:val="20"/>
                <w:szCs w:val="20"/>
              </w:rPr>
            </w:pPr>
          </w:p>
        </w:tc>
        <w:tc>
          <w:tcPr>
            <w:tcW w:w="3272"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trHeight w:val="266" w:hRule="atLeast"/>
          <w:jc w:val="center"/>
        </w:trPr>
        <w:tc>
          <w:tcPr>
            <w:tcW w:w="663"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377" w:type="dxa"/>
            <w:shd w:val="clear" w:color="auto" w:fill="auto"/>
            <w:vAlign w:val="center"/>
          </w:tcPr>
          <w:p>
            <w:pPr>
              <w:rPr>
                <w:rFonts w:ascii="宋体" w:hAnsi="宋体" w:eastAsia="宋体" w:cs="宋体"/>
                <w:color w:val="000000"/>
                <w:sz w:val="20"/>
                <w:szCs w:val="20"/>
              </w:rPr>
            </w:pPr>
          </w:p>
        </w:tc>
        <w:tc>
          <w:tcPr>
            <w:tcW w:w="750" w:type="dxa"/>
            <w:shd w:val="clear" w:color="auto" w:fill="auto"/>
            <w:vAlign w:val="center"/>
          </w:tcPr>
          <w:p>
            <w:pPr>
              <w:rPr>
                <w:rFonts w:ascii="宋体" w:hAnsi="宋体" w:eastAsia="宋体" w:cs="宋体"/>
                <w:color w:val="000000"/>
                <w:sz w:val="20"/>
                <w:szCs w:val="20"/>
              </w:rPr>
            </w:pPr>
          </w:p>
        </w:tc>
        <w:tc>
          <w:tcPr>
            <w:tcW w:w="675" w:type="dxa"/>
            <w:shd w:val="clear" w:color="auto" w:fill="auto"/>
            <w:vAlign w:val="center"/>
          </w:tcPr>
          <w:p>
            <w:pPr>
              <w:rPr>
                <w:rFonts w:ascii="宋体" w:hAnsi="宋体" w:eastAsia="宋体" w:cs="宋体"/>
                <w:color w:val="000000"/>
                <w:sz w:val="20"/>
                <w:szCs w:val="20"/>
              </w:rPr>
            </w:pPr>
          </w:p>
        </w:tc>
        <w:tc>
          <w:tcPr>
            <w:tcW w:w="1687"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721" w:type="dxa"/>
            <w:shd w:val="clear" w:color="auto" w:fill="auto"/>
            <w:vAlign w:val="center"/>
          </w:tcPr>
          <w:p>
            <w:pPr>
              <w:rPr>
                <w:rFonts w:ascii="宋体" w:hAnsi="宋体" w:eastAsia="宋体" w:cs="宋体"/>
                <w:color w:val="000000"/>
                <w:sz w:val="20"/>
                <w:szCs w:val="20"/>
              </w:rPr>
            </w:pPr>
          </w:p>
        </w:tc>
        <w:tc>
          <w:tcPr>
            <w:tcW w:w="615" w:type="dxa"/>
            <w:shd w:val="clear" w:color="auto" w:fill="auto"/>
            <w:vAlign w:val="center"/>
          </w:tcPr>
          <w:p>
            <w:pPr>
              <w:rPr>
                <w:rFonts w:ascii="宋体" w:hAnsi="宋体" w:eastAsia="宋体" w:cs="宋体"/>
                <w:color w:val="000000"/>
                <w:sz w:val="20"/>
                <w:szCs w:val="20"/>
              </w:rPr>
            </w:pPr>
          </w:p>
        </w:tc>
        <w:tc>
          <w:tcPr>
            <w:tcW w:w="3272" w:type="dxa"/>
            <w:gridSpan w:val="2"/>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62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137.74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115.09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35.73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5"/>
                <w:szCs w:val="15"/>
                <w:lang w:bidi="ar"/>
              </w:rPr>
              <w:t>机关事业单位基本养老保险缴费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3.61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22.39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27.47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83.35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116.27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4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43" w:hRule="atLeast"/>
          <w:jc w:val="center"/>
        </w:trPr>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333.86</w:t>
            </w:r>
          </w:p>
        </w:tc>
        <w:tc>
          <w:tcPr>
            <w:tcW w:w="6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137.74</w:t>
            </w:r>
            <w:bookmarkStart w:id="0" w:name="_GoBack"/>
            <w:bookmarkEnd w:id="0"/>
          </w:p>
        </w:tc>
      </w:tr>
    </w:tbl>
    <w:p>
      <w:pPr>
        <w:sectPr>
          <w:pgSz w:w="11906" w:h="16838"/>
          <w:pgMar w:top="1474" w:right="1474" w:bottom="1474" w:left="1474" w:header="851" w:footer="992" w:gutter="0"/>
          <w:cols w:space="0" w:num="1"/>
          <w:docGrid w:type="lines" w:linePitch="312" w:charSpace="0"/>
        </w:sectPr>
      </w:pPr>
      <w:r>
        <w:rPr>
          <w:rFonts w:hint="eastAsia" w:ascii="宋体" w:hAnsi="宋体" w:cs="宋体"/>
          <w:color w:val="000000"/>
          <w:kern w:val="0"/>
          <w:sz w:val="24"/>
          <w:szCs w:val="24"/>
          <w:lang w:bidi="ar"/>
        </w:rPr>
        <w:t>注：本表反映部门本年度一般公共预算财政拨款基本支出明细情况。</w:t>
      </w:r>
    </w:p>
    <w:tbl>
      <w:tblPr>
        <w:tblStyle w:val="8"/>
        <w:tblW w:w="10350" w:type="dxa"/>
        <w:jc w:val="center"/>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jc w:val="center"/>
        </w:trPr>
        <w:tc>
          <w:tcPr>
            <w:tcW w:w="10350"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jc w:val="center"/>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jc w:val="center"/>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Style w:val="19"/>
                <w:rFonts w:hint="default"/>
                <w:b/>
                <w:bCs/>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jc w:val="center"/>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36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jc w:val="center"/>
        </w:trPr>
        <w:tc>
          <w:tcPr>
            <w:tcW w:w="10350"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pPr>
              <w:widowControl/>
              <w:jc w:val="left"/>
              <w:textAlignment w:val="center"/>
              <w:rPr>
                <w:rFonts w:ascii="宋体" w:hAnsi="宋体" w:eastAsia="宋体" w:cs="宋体"/>
                <w:color w:val="000000"/>
                <w:sz w:val="24"/>
              </w:rPr>
            </w:pPr>
          </w:p>
        </w:tc>
      </w:tr>
    </w:tbl>
    <w:p>
      <w:pPr>
        <w:rPr>
          <w:rFonts w:hint="eastAsia" w:eastAsiaTheme="minorEastAsia"/>
          <w:lang w:val="en-US" w:eastAsia="zh-CN"/>
        </w:rPr>
        <w:sectPr>
          <w:pgSz w:w="11906" w:h="16838"/>
          <w:pgMar w:top="1474" w:right="1474" w:bottom="1474" w:left="1474" w:header="851" w:footer="992" w:gutter="0"/>
          <w:cols w:space="0" w:num="1"/>
          <w:docGrid w:type="lines" w:linePitch="312" w:charSpace="0"/>
        </w:sectPr>
      </w:pPr>
      <w:r>
        <w:rPr>
          <w:rFonts w:hint="eastAsia" w:ascii="宋体" w:hAnsi="宋体"/>
          <w:szCs w:val="21"/>
        </w:rPr>
        <w:t>本部门本年度无政府性基金预算、无收支及结转结余情况，按要求以空表列</w:t>
      </w:r>
      <w:r>
        <w:rPr>
          <w:rFonts w:hint="eastAsia" w:ascii="宋体" w:hAnsi="宋体"/>
          <w:szCs w:val="21"/>
          <w:lang w:val="en-US" w:eastAsia="zh-CN"/>
        </w:rPr>
        <w:t>示。</w:t>
      </w:r>
    </w:p>
    <w:tbl>
      <w:tblPr>
        <w:tblStyle w:val="8"/>
        <w:tblW w:w="10422" w:type="dxa"/>
        <w:jc w:val="center"/>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Fonts w:hint="eastAsia" w:ascii="宋体" w:hAnsi="宋体" w:eastAsia="宋体" w:cs="宋体"/>
                <w:b/>
                <w:bCs/>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r>
      <w:tr>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r>
      <w:tr>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注：本表反映部门本年度国有资本经营预算财政拨款支出情况。</w:t>
            </w:r>
            <w:r>
              <w:rPr>
                <w:b/>
              </w:rPr>
              <w:br w:type="page"/>
            </w:r>
          </w:p>
          <w:p>
            <w:pPr>
              <w:widowControl/>
              <w:jc w:val="left"/>
              <w:textAlignment w:val="center"/>
              <w:rPr>
                <w:rFonts w:ascii="宋体" w:hAnsi="宋体" w:eastAsia="宋体" w:cs="宋体"/>
                <w:color w:val="000000"/>
                <w:sz w:val="24"/>
              </w:rPr>
            </w:pPr>
          </w:p>
        </w:tc>
      </w:tr>
    </w:tbl>
    <w:p>
      <w:pPr>
        <w:rPr>
          <w:rFonts w:hint="eastAsia" w:eastAsiaTheme="minorEastAsia"/>
          <w:lang w:eastAsia="zh-CN"/>
        </w:rPr>
        <w:sectPr>
          <w:pgSz w:w="11906" w:h="16838"/>
          <w:pgMar w:top="1474" w:right="1474" w:bottom="1474" w:left="1474" w:header="851" w:footer="992" w:gutter="0"/>
          <w:cols w:space="0" w:num="1"/>
          <w:docGrid w:type="lines" w:linePitch="312" w:charSpace="0"/>
        </w:sectPr>
      </w:pPr>
      <w:r>
        <w:rPr>
          <w:rFonts w:hint="eastAsia" w:ascii="宋体" w:hAnsi="宋体"/>
          <w:sz w:val="24"/>
          <w:szCs w:val="24"/>
        </w:rPr>
        <w:t>本部门本年度无</w:t>
      </w:r>
      <w:r>
        <w:rPr>
          <w:rFonts w:hint="eastAsia" w:ascii="宋体" w:hAnsi="宋体" w:eastAsia="宋体" w:cs="宋体"/>
          <w:color w:val="000000"/>
          <w:kern w:val="0"/>
          <w:sz w:val="24"/>
          <w:szCs w:val="24"/>
          <w:lang w:bidi="ar"/>
        </w:rPr>
        <w:t>国有资本经营预算财政拨款支出情况</w:t>
      </w:r>
      <w:r>
        <w:rPr>
          <w:rFonts w:hint="eastAsia" w:ascii="宋体" w:hAnsi="宋体"/>
          <w:sz w:val="24"/>
          <w:szCs w:val="24"/>
        </w:rPr>
        <w:t>，按要求以空表列示</w:t>
      </w:r>
      <w:r>
        <w:rPr>
          <w:rFonts w:hint="eastAsia" w:ascii="宋体" w:hAnsi="宋体"/>
          <w:sz w:val="24"/>
          <w:szCs w:val="24"/>
          <w:lang w:eastAsia="zh-CN"/>
        </w:rPr>
        <w:t>。</w:t>
      </w:r>
    </w:p>
    <w:tbl>
      <w:tblPr>
        <w:tblStyle w:val="8"/>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公务用车</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1.80</w:t>
            </w: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438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438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2023年度部门决算情况说明</w:t>
      </w:r>
    </w:p>
    <w:p>
      <w:pPr>
        <w:rPr>
          <w:rFonts w:ascii="黑体" w:hAnsi="Calibri" w:eastAsia="黑体" w:cs="Times New Roman"/>
          <w:sz w:val="32"/>
          <w:szCs w:val="32"/>
        </w:rPr>
      </w:pPr>
    </w:p>
    <w:p>
      <w:pPr>
        <w:ind w:firstLine="640" w:firstLineChars="200"/>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本部门2023年度收、支总计（含结转和结余）</w:t>
      </w:r>
      <w:r>
        <w:rPr>
          <w:rFonts w:hint="eastAsia" w:ascii="仿宋_GB2312" w:eastAsia="仿宋_GB2312" w:cs="仿宋_GB2312"/>
          <w:sz w:val="30"/>
          <w:szCs w:val="30"/>
          <w:lang w:val="en-US" w:eastAsia="zh-CN"/>
        </w:rPr>
        <w:t>3449.57</w:t>
      </w:r>
      <w:r>
        <w:rPr>
          <w:rFonts w:hint="eastAsia" w:ascii="仿宋_GB2312" w:hAnsi="Times New Roman" w:eastAsia="仿宋_GB2312" w:cs="DengXian-Regular"/>
          <w:sz w:val="32"/>
          <w:szCs w:val="32"/>
        </w:rPr>
        <w:t>万元。与2022年度决算相比，收支各增加</w:t>
      </w:r>
      <w:r>
        <w:rPr>
          <w:rFonts w:hint="eastAsia" w:ascii="仿宋_GB2312" w:hAnsi="Times New Roman" w:eastAsia="仿宋_GB2312" w:cs="DengXian-Regular"/>
          <w:sz w:val="32"/>
          <w:szCs w:val="32"/>
          <w:lang w:val="en-US" w:eastAsia="zh-CN"/>
        </w:rPr>
        <w:t>832.26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31.80</w:t>
      </w:r>
      <w:r>
        <w:rPr>
          <w:rFonts w:hint="eastAsia" w:ascii="仿宋_GB2312" w:hAnsi="Times New Roman" w:eastAsia="仿宋_GB2312" w:cs="DengXian-Regular"/>
          <w:sz w:val="32"/>
          <w:szCs w:val="32"/>
        </w:rPr>
        <w:t>%，主要原因是</w:t>
      </w:r>
      <w:r>
        <w:rPr>
          <w:rFonts w:hint="eastAsia" w:ascii="仿宋_GB2312" w:hAnsi="仿宋" w:eastAsia="仿宋_GB2312"/>
          <w:sz w:val="32"/>
          <w:szCs w:val="32"/>
          <w:lang w:val="en-US" w:eastAsia="zh-CN"/>
        </w:rPr>
        <w:t>开发区化工园区安全风险防控项目2023年度支出</w:t>
      </w:r>
      <w:r>
        <w:rPr>
          <w:rFonts w:hint="eastAsia" w:ascii="仿宋_GB2312" w:hAnsi="Times New Roman" w:eastAsia="仿宋_GB2312" w:cs="DengXian-Regular"/>
          <w:sz w:val="32"/>
          <w:szCs w:val="32"/>
        </w:rPr>
        <w:t>。</w:t>
      </w:r>
    </w:p>
    <w:p>
      <w:pPr>
        <w:pStyle w:val="2"/>
      </w:pPr>
      <w:r>
        <w:rPr>
          <w:rFonts w:hint="eastAsia" w:ascii="仿宋_GB2312" w:hAnsi="Times New Roman" w:eastAsia="仿宋_GB2312" w:cs="Wingdings"/>
          <w:sz w:val="32"/>
          <w:szCs w:val="32"/>
        </w:rPr>
        <w:drawing>
          <wp:anchor distT="0" distB="0" distL="114300" distR="114300" simplePos="0" relativeHeight="251670528" behindDoc="1" locked="0" layoutInCell="1" allowOverlap="1">
            <wp:simplePos x="0" y="0"/>
            <wp:positionH relativeFrom="column">
              <wp:posOffset>740410</wp:posOffset>
            </wp:positionH>
            <wp:positionV relativeFrom="paragraph">
              <wp:posOffset>31750</wp:posOffset>
            </wp:positionV>
            <wp:extent cx="4157980" cy="2273300"/>
            <wp:effectExtent l="0" t="0" r="13970" b="1270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本部门2023年度收入合计</w:t>
      </w:r>
      <w:r>
        <w:rPr>
          <w:rFonts w:hint="eastAsia" w:ascii="仿宋_GB2312" w:eastAsia="仿宋_GB2312" w:cs="仿宋_GB2312"/>
          <w:sz w:val="30"/>
          <w:szCs w:val="30"/>
          <w:lang w:val="en-US" w:eastAsia="zh-CN"/>
        </w:rPr>
        <w:t>3434.57</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3418.57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99.53</w:t>
      </w:r>
      <w:r>
        <w:rPr>
          <w:rFonts w:hint="eastAsia" w:ascii="仿宋_GB2312" w:hAnsi="Times New Roman" w:eastAsia="仿宋_GB2312" w:cs="DengXian-Regular"/>
          <w:sz w:val="32"/>
          <w:szCs w:val="32"/>
        </w:rPr>
        <w:t>%；上级补助收入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万元；附属单位上缴收入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万元；其他收入</w:t>
      </w:r>
      <w:r>
        <w:rPr>
          <w:rFonts w:hint="eastAsia" w:ascii="仿宋_GB2312" w:hAnsi="Times New Roman" w:eastAsia="仿宋_GB2312" w:cs="DengXian-Regular"/>
          <w:sz w:val="32"/>
          <w:szCs w:val="32"/>
          <w:lang w:val="en-US" w:eastAsia="zh-CN"/>
        </w:rPr>
        <w:t>16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0.47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p>
    <w:p>
      <w:pPr>
        <w:pStyle w:val="2"/>
        <w:rPr>
          <w:rFonts w:ascii="仿宋_GB2312" w:hAnsi="Times New Roman" w:eastAsia="仿宋_GB2312" w:cs="DengXian-Regular"/>
          <w:sz w:val="32"/>
          <w:szCs w:val="32"/>
        </w:rPr>
      </w:pPr>
    </w:p>
    <w:p>
      <w:pPr>
        <w:pStyle w:val="2"/>
        <w:rPr>
          <w:rFonts w:ascii="仿宋_GB2312" w:hAnsi="Times New Roman" w:eastAsia="仿宋_GB2312" w:cs="DengXian-Regular"/>
          <w:sz w:val="32"/>
          <w:szCs w:val="32"/>
        </w:rPr>
      </w:pPr>
      <w:r>
        <w:rPr>
          <w:rFonts w:hint="eastAsia" w:ascii="仿宋_GB2312" w:eastAsia="仿宋_GB2312" w:cs="仿宋_GB2312"/>
          <w:color w:val="0000FF"/>
          <w:sz w:val="32"/>
          <w:szCs w:val="32"/>
        </w:rPr>
        <w:drawing>
          <wp:anchor distT="0" distB="0" distL="114300" distR="114300" simplePos="0" relativeHeight="251671552" behindDoc="0" locked="0" layoutInCell="1" allowOverlap="1">
            <wp:simplePos x="0" y="0"/>
            <wp:positionH relativeFrom="column">
              <wp:posOffset>759460</wp:posOffset>
            </wp:positionH>
            <wp:positionV relativeFrom="paragraph">
              <wp:posOffset>-412115</wp:posOffset>
            </wp:positionV>
            <wp:extent cx="3763645" cy="2800350"/>
            <wp:effectExtent l="0" t="0" r="0" b="0"/>
            <wp:wrapTopAndBottom/>
            <wp:docPr id="113" name="图表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本部门2023年度支出合计</w:t>
      </w:r>
      <w:r>
        <w:rPr>
          <w:rFonts w:hint="eastAsia" w:ascii="仿宋_GB2312" w:eastAsia="仿宋_GB2312" w:cs="仿宋_GB2312"/>
          <w:sz w:val="30"/>
          <w:szCs w:val="30"/>
          <w:lang w:val="en-US" w:eastAsia="zh-CN"/>
        </w:rPr>
        <w:t>3449.57</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471.59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13.67</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2977.98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86.33</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万元；上缴上级支出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万元；对附属单位补助支出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pStyle w:val="2"/>
        <w:rPr>
          <w:rFonts w:hint="eastAsia" w:ascii="仿宋_GB2312" w:hAnsi="Times New Roman" w:eastAsia="仿宋_GB2312" w:cs="DengXian-Regular"/>
          <w:sz w:val="32"/>
          <w:szCs w:val="32"/>
        </w:rPr>
      </w:pPr>
      <w:r>
        <w:rPr>
          <w:rFonts w:hint="eastAsia" w:ascii="仿宋_GB2312" w:eastAsia="仿宋_GB2312" w:cs="仿宋_GB2312"/>
          <w:color w:val="0000FF"/>
          <w:sz w:val="32"/>
          <w:szCs w:val="32"/>
        </w:rPr>
        <w:drawing>
          <wp:anchor distT="0" distB="0" distL="114300" distR="114300" simplePos="0" relativeHeight="251672576" behindDoc="0" locked="0" layoutInCell="1" allowOverlap="1">
            <wp:simplePos x="0" y="0"/>
            <wp:positionH relativeFrom="column">
              <wp:posOffset>854710</wp:posOffset>
            </wp:positionH>
            <wp:positionV relativeFrom="paragraph">
              <wp:posOffset>408305</wp:posOffset>
            </wp:positionV>
            <wp:extent cx="3924935" cy="2724150"/>
            <wp:effectExtent l="0" t="0" r="0" b="0"/>
            <wp:wrapTopAndBottom/>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pStyle w:val="2"/>
        <w:rPr>
          <w:rFonts w:hint="eastAsia" w:ascii="仿宋_GB2312" w:hAnsi="Times New Roman" w:eastAsia="仿宋_GB2312" w:cs="DengXian-Regular"/>
          <w:sz w:val="32"/>
          <w:szCs w:val="32"/>
        </w:rPr>
      </w:pP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w:t>
      </w:r>
      <w:r>
        <w:rPr>
          <w:rFonts w:hint="eastAsia" w:ascii="仿宋_GB2312" w:hAnsi="Times New Roman" w:eastAsia="仿宋_GB2312" w:cs="DengXian-Regular"/>
          <w:sz w:val="32"/>
          <w:szCs w:val="32"/>
          <w:lang w:val="en-US" w:eastAsia="zh-CN"/>
        </w:rPr>
        <w:t>3418.57</w:t>
      </w:r>
      <w:r>
        <w:rPr>
          <w:rFonts w:hint="eastAsia" w:ascii="仿宋_GB2312" w:hAnsi="Times New Roman" w:eastAsia="仿宋_GB2312" w:cs="DengXian-Regular"/>
          <w:sz w:val="32"/>
          <w:szCs w:val="32"/>
        </w:rPr>
        <w:t>万元,比2022年度增加</w:t>
      </w:r>
      <w:r>
        <w:rPr>
          <w:rFonts w:hint="eastAsia" w:ascii="仿宋_GB2312" w:hAnsi="Times New Roman" w:eastAsia="仿宋_GB2312" w:cs="DengXian-Regular"/>
          <w:sz w:val="32"/>
          <w:szCs w:val="32"/>
          <w:lang w:val="en-US" w:eastAsia="zh-CN"/>
        </w:rPr>
        <w:t>825.98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31.86</w:t>
      </w:r>
      <w:r>
        <w:rPr>
          <w:rFonts w:hint="eastAsia" w:ascii="仿宋_GB2312" w:hAnsi="Times New Roman" w:eastAsia="仿宋_GB2312" w:cs="DengXian-Regular"/>
          <w:sz w:val="32"/>
          <w:szCs w:val="32"/>
        </w:rPr>
        <w:t>%，主要原因是</w:t>
      </w:r>
      <w:r>
        <w:rPr>
          <w:rFonts w:hint="eastAsia" w:ascii="仿宋_GB2312" w:hAnsi="仿宋" w:eastAsia="仿宋_GB2312"/>
          <w:sz w:val="32"/>
          <w:szCs w:val="32"/>
          <w:lang w:val="en-US" w:eastAsia="zh-CN"/>
        </w:rPr>
        <w:t>开发区化工园区安全风险防控项目2023年度支出</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3418.57</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825.98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31.86</w:t>
      </w:r>
      <w:r>
        <w:rPr>
          <w:rFonts w:hint="eastAsia" w:ascii="仿宋_GB2312" w:hAnsi="Times New Roman" w:eastAsia="仿宋_GB2312" w:cs="DengXian-Regular"/>
          <w:sz w:val="32"/>
          <w:szCs w:val="32"/>
        </w:rPr>
        <w:t>%，主要原因是</w:t>
      </w:r>
      <w:r>
        <w:rPr>
          <w:rFonts w:hint="eastAsia" w:ascii="仿宋_GB2312" w:hAnsi="仿宋" w:eastAsia="仿宋_GB2312"/>
          <w:sz w:val="32"/>
          <w:szCs w:val="32"/>
          <w:lang w:val="en-US" w:eastAsia="zh-CN"/>
        </w:rPr>
        <w:t>开发区化工园区安全风险防控项目2023年度支出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eastAsia="仿宋_GB2312"/>
          <w:sz w:val="32"/>
          <w:szCs w:val="32"/>
          <w:lang w:eastAsia="zh-CN"/>
        </w:rPr>
        <w:drawing>
          <wp:anchor distT="0" distB="0" distL="114300" distR="114300" simplePos="0" relativeHeight="251673600" behindDoc="1" locked="0" layoutInCell="1" allowOverlap="1">
            <wp:simplePos x="0" y="0"/>
            <wp:positionH relativeFrom="column">
              <wp:posOffset>554355</wp:posOffset>
            </wp:positionH>
            <wp:positionV relativeFrom="paragraph">
              <wp:posOffset>3599180</wp:posOffset>
            </wp:positionV>
            <wp:extent cx="4672330" cy="2620645"/>
            <wp:effectExtent l="4445" t="4445" r="9525" b="22860"/>
            <wp:wrapTight wrapText="bothSides">
              <wp:wrapPolygon>
                <wp:start x="-21" y="-37"/>
                <wp:lineTo x="-21" y="21474"/>
                <wp:lineTo x="21556" y="21474"/>
                <wp:lineTo x="21556" y="-37"/>
                <wp:lineTo x="-21" y="-37"/>
              </wp:wrapPolygon>
            </wp:wrapTight>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3418.57</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825.98</w:t>
      </w:r>
      <w:r>
        <w:rPr>
          <w:rFonts w:hint="eastAsia" w:ascii="仿宋_GB2312" w:hAnsi="Times New Roman" w:eastAsia="仿宋_GB2312" w:cs="DengXian-Regular"/>
          <w:sz w:val="32"/>
          <w:szCs w:val="32"/>
        </w:rPr>
        <w:t>万元；主要原因是</w:t>
      </w:r>
      <w:r>
        <w:rPr>
          <w:rFonts w:hint="eastAsia" w:ascii="仿宋_GB2312" w:hAnsi="仿宋" w:eastAsia="仿宋_GB2312"/>
          <w:sz w:val="32"/>
          <w:szCs w:val="32"/>
          <w:lang w:val="en-US" w:eastAsia="zh-CN"/>
        </w:rPr>
        <w:t>开发区化工园区安全风险防控项目2023年度支出</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3418.57</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825.98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31.86</w:t>
      </w:r>
      <w:r>
        <w:rPr>
          <w:rFonts w:hint="eastAsia" w:ascii="仿宋_GB2312" w:hAnsi="Times New Roman" w:eastAsia="仿宋_GB2312" w:cs="DengXian-Regular"/>
          <w:sz w:val="32"/>
          <w:szCs w:val="32"/>
        </w:rPr>
        <w:t>%，主要原因是</w:t>
      </w:r>
      <w:r>
        <w:rPr>
          <w:rFonts w:hint="eastAsia" w:ascii="仿宋_GB2312" w:hAnsi="仿宋" w:eastAsia="仿宋_GB2312"/>
          <w:sz w:val="32"/>
          <w:szCs w:val="32"/>
          <w:lang w:val="en-US" w:eastAsia="zh-CN"/>
        </w:rPr>
        <w:t>开发区化工园区安全风险防控项目2023年度支出。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w:t>
      </w:r>
    </w:p>
    <w:p>
      <w:pPr>
        <w:snapToGrid w:val="0"/>
        <w:spacing w:line="580" w:lineRule="exact"/>
        <w:ind w:firstLine="643" w:firstLineChars="200"/>
        <w:rPr>
          <w:rFonts w:hint="eastAsia" w:ascii="楷体_GB2312" w:hAnsi="Times New Roman" w:eastAsia="楷体_GB2312" w:cs="DengXian-Bold"/>
          <w:b/>
          <w:bCs/>
          <w:sz w:val="32"/>
          <w:szCs w:val="32"/>
        </w:rPr>
      </w:pPr>
    </w:p>
    <w:p>
      <w:pPr>
        <w:pStyle w:val="2"/>
        <w:rPr>
          <w:rFonts w:hint="eastAsia" w:ascii="楷体_GB2312" w:hAnsi="Times New Roman" w:eastAsia="楷体_GB2312" w:cs="DengXian-Bold"/>
          <w:b/>
          <w:bCs/>
          <w:sz w:val="32"/>
          <w:szCs w:val="32"/>
        </w:rPr>
      </w:pPr>
    </w:p>
    <w:p>
      <w:pPr>
        <w:pStyle w:val="2"/>
        <w:rPr>
          <w:rFonts w:hint="eastAsia" w:ascii="楷体_GB2312" w:hAnsi="Times New Roman" w:eastAsia="楷体_GB2312" w:cs="DengXian-Bold"/>
          <w:b/>
          <w:bCs/>
          <w:sz w:val="32"/>
          <w:szCs w:val="32"/>
        </w:rPr>
      </w:pPr>
    </w:p>
    <w:p>
      <w:pPr>
        <w:pStyle w:val="2"/>
        <w:rPr>
          <w:rFonts w:hint="eastAsia" w:ascii="楷体_GB2312" w:hAnsi="Times New Roman" w:eastAsia="楷体_GB2312" w:cs="DengXian-Bold"/>
          <w:b/>
          <w:bCs/>
          <w:sz w:val="32"/>
          <w:szCs w:val="32"/>
        </w:rPr>
      </w:pPr>
    </w:p>
    <w:p>
      <w:pPr>
        <w:pStyle w:val="2"/>
        <w:rPr>
          <w:rFonts w:hint="eastAsia" w:ascii="楷体_GB2312" w:hAnsi="Times New Roman" w:eastAsia="楷体_GB2312" w:cs="DengXian-Bold"/>
          <w:b/>
          <w:bCs/>
          <w:sz w:val="32"/>
          <w:szCs w:val="32"/>
        </w:rPr>
      </w:pPr>
    </w:p>
    <w:p>
      <w:pPr>
        <w:pStyle w:val="2"/>
        <w:rPr>
          <w:rFonts w:hint="eastAsia"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snapToGrid w:val="0"/>
        <w:spacing w:line="52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w:t>
      </w:r>
      <w:r>
        <w:rPr>
          <w:rFonts w:hint="eastAsia" w:ascii="仿宋_GB2312" w:hAnsi="仿宋" w:eastAsia="仿宋_GB2312"/>
          <w:sz w:val="32"/>
          <w:szCs w:val="32"/>
          <w:lang w:val="en-US" w:eastAsia="zh-CN"/>
        </w:rPr>
        <w:t>3418.57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55.01</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2796.25</w:t>
      </w:r>
      <w:r>
        <w:rPr>
          <w:rFonts w:hint="eastAsia" w:ascii="仿宋_GB2312" w:hAnsi="Times New Roman" w:eastAsia="仿宋_GB2312" w:cs="DengXian-Regular"/>
          <w:sz w:val="32"/>
          <w:szCs w:val="32"/>
        </w:rPr>
        <w:t>万元，决算数小于预算数主要原因</w:t>
      </w:r>
      <w:r>
        <w:rPr>
          <w:rFonts w:hint="eastAsia" w:ascii="仿宋_GB2312" w:hAnsi="Times New Roman" w:eastAsia="仿宋_GB2312" w:cs="DengXian-Regular"/>
          <w:sz w:val="32"/>
          <w:szCs w:val="32"/>
          <w:lang w:val="en-US" w:eastAsia="zh-CN"/>
        </w:rPr>
        <w:t>一</w:t>
      </w:r>
      <w:r>
        <w:rPr>
          <w:rFonts w:hint="eastAsia" w:ascii="仿宋_GB2312" w:hAnsi="Times New Roman" w:eastAsia="仿宋_GB2312" w:cs="DengXian-Regular"/>
          <w:sz w:val="32"/>
          <w:szCs w:val="32"/>
        </w:rPr>
        <w:t>是</w:t>
      </w:r>
      <w:r>
        <w:rPr>
          <w:rFonts w:hint="eastAsia" w:ascii="仿宋_GB2312" w:eastAsia="仿宋_GB2312" w:cs="仿宋_GB2312"/>
          <w:sz w:val="30"/>
          <w:szCs w:val="30"/>
          <w:lang w:val="en-US" w:eastAsia="zh-CN"/>
        </w:rPr>
        <w:t>我区化工园区安全风险防控项目支出预算总费用3000万，2023年度只支出第一期费用896.7万元</w:t>
      </w:r>
      <w:r>
        <w:rPr>
          <w:rFonts w:hint="eastAsia" w:ascii="仿宋_GB2312" w:hAnsi="仿宋" w:eastAsia="仿宋_GB2312"/>
          <w:sz w:val="32"/>
          <w:szCs w:val="32"/>
          <w:lang w:val="en-US" w:eastAsia="zh-CN"/>
        </w:rPr>
        <w:t>；二是由于我区财政资金紧张，地震预警监测项目未能支出。</w:t>
      </w:r>
      <w:r>
        <w:rPr>
          <w:rFonts w:hint="eastAsia" w:ascii="仿宋_GB2312" w:hAnsi="Times New Roman" w:eastAsia="仿宋_GB2312" w:cs="DengXian-Regular"/>
          <w:sz w:val="32"/>
          <w:szCs w:val="32"/>
        </w:rPr>
        <w:t>本年支出</w:t>
      </w:r>
      <w:r>
        <w:rPr>
          <w:rFonts w:hint="eastAsia" w:ascii="仿宋_GB2312" w:hAnsi="仿宋" w:eastAsia="仿宋_GB2312"/>
          <w:sz w:val="32"/>
          <w:szCs w:val="32"/>
          <w:lang w:val="en-US" w:eastAsia="zh-CN"/>
        </w:rPr>
        <w:t>3418.57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55.01</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2796.25</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val="en-US" w:eastAsia="zh-CN"/>
        </w:rPr>
        <w:t>一</w:t>
      </w:r>
      <w:r>
        <w:rPr>
          <w:rFonts w:hint="eastAsia" w:ascii="仿宋_GB2312" w:hAnsi="Times New Roman" w:eastAsia="仿宋_GB2312" w:cs="DengXian-Regular"/>
          <w:sz w:val="32"/>
          <w:szCs w:val="32"/>
        </w:rPr>
        <w:t>是</w:t>
      </w:r>
      <w:r>
        <w:rPr>
          <w:rFonts w:hint="eastAsia" w:ascii="仿宋_GB2312" w:eastAsia="仿宋_GB2312" w:cs="仿宋_GB2312"/>
          <w:sz w:val="30"/>
          <w:szCs w:val="30"/>
          <w:lang w:val="en-US" w:eastAsia="zh-CN"/>
        </w:rPr>
        <w:t>我区化工园区安全风险防控项目支出预算总费用3000万，2023年度只支出第一期费用896.7万元</w:t>
      </w:r>
      <w:r>
        <w:rPr>
          <w:rFonts w:hint="eastAsia" w:ascii="仿宋_GB2312" w:hAnsi="仿宋" w:eastAsia="仿宋_GB2312"/>
          <w:sz w:val="32"/>
          <w:szCs w:val="32"/>
          <w:lang w:val="en-US" w:eastAsia="zh-CN"/>
        </w:rPr>
        <w:t>；二是由于我区财政资金紧张，地震预警监测项目未能支出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55.01</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2796.25</w:t>
      </w:r>
      <w:r>
        <w:rPr>
          <w:rFonts w:hint="eastAsia" w:ascii="仿宋_GB2312" w:hAnsi="Times New Roman" w:eastAsia="仿宋_GB2312" w:cs="DengXian-Regular"/>
          <w:sz w:val="32"/>
          <w:szCs w:val="32"/>
        </w:rPr>
        <w:t>万元，主要原因是</w:t>
      </w:r>
      <w:r>
        <w:rPr>
          <w:rFonts w:hint="eastAsia" w:ascii="仿宋_GB2312" w:hAnsi="Times New Roman" w:eastAsia="仿宋_GB2312" w:cs="DengXian-Regular"/>
          <w:sz w:val="32"/>
          <w:szCs w:val="32"/>
          <w:lang w:val="en-US" w:eastAsia="zh-CN"/>
        </w:rPr>
        <w:t>一</w:t>
      </w:r>
      <w:r>
        <w:rPr>
          <w:rFonts w:hint="eastAsia" w:ascii="仿宋_GB2312" w:hAnsi="Times New Roman" w:eastAsia="仿宋_GB2312" w:cs="DengXian-Regular"/>
          <w:sz w:val="32"/>
          <w:szCs w:val="32"/>
        </w:rPr>
        <w:t>是</w:t>
      </w:r>
      <w:r>
        <w:rPr>
          <w:rFonts w:hint="eastAsia" w:ascii="仿宋_GB2312" w:eastAsia="仿宋_GB2312" w:cs="仿宋_GB2312"/>
          <w:sz w:val="30"/>
          <w:szCs w:val="30"/>
          <w:lang w:val="en-US" w:eastAsia="zh-CN"/>
        </w:rPr>
        <w:t>我区化工园区安全风险防控项目支出预算总费用3000万，2023年度只支出第一期费用896.7万元</w:t>
      </w:r>
      <w:r>
        <w:rPr>
          <w:rFonts w:hint="eastAsia" w:ascii="仿宋_GB2312" w:hAnsi="仿宋" w:eastAsia="仿宋_GB2312"/>
          <w:sz w:val="32"/>
          <w:szCs w:val="32"/>
          <w:lang w:val="en-US" w:eastAsia="zh-CN"/>
        </w:rPr>
        <w:t>；二是由于我区财政资金紧张，地震预警监测项目未能支出</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55.01</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2796.25</w:t>
      </w:r>
      <w:r>
        <w:rPr>
          <w:rFonts w:hint="eastAsia" w:ascii="仿宋_GB2312" w:hAnsi="Times New Roman" w:eastAsia="仿宋_GB2312" w:cs="DengXian-Regular"/>
          <w:sz w:val="32"/>
          <w:szCs w:val="32"/>
        </w:rPr>
        <w:t>万元，主要原因是</w:t>
      </w:r>
      <w:r>
        <w:rPr>
          <w:rFonts w:hint="eastAsia" w:ascii="仿宋_GB2312" w:hAnsi="Times New Roman" w:eastAsia="仿宋_GB2312" w:cs="DengXian-Regular"/>
          <w:sz w:val="32"/>
          <w:szCs w:val="32"/>
          <w:lang w:val="en-US" w:eastAsia="zh-CN"/>
        </w:rPr>
        <w:t>一</w:t>
      </w:r>
      <w:r>
        <w:rPr>
          <w:rFonts w:hint="eastAsia" w:ascii="仿宋_GB2312" w:hAnsi="Times New Roman" w:eastAsia="仿宋_GB2312" w:cs="DengXian-Regular"/>
          <w:sz w:val="32"/>
          <w:szCs w:val="32"/>
        </w:rPr>
        <w:t>是</w:t>
      </w:r>
      <w:r>
        <w:rPr>
          <w:rFonts w:hint="eastAsia" w:ascii="仿宋_GB2312" w:eastAsia="仿宋_GB2312" w:cs="仿宋_GB2312"/>
          <w:sz w:val="30"/>
          <w:szCs w:val="30"/>
          <w:lang w:val="en-US" w:eastAsia="zh-CN"/>
        </w:rPr>
        <w:t>我区化工园区安全风险防控项目支出预算总费用3000万，2023年度只支出第一期费用896.7万元</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val="en-US" w:eastAsia="zh-CN"/>
        </w:rPr>
        <w:t>我局2022年度无</w:t>
      </w:r>
      <w:r>
        <w:rPr>
          <w:rFonts w:hint="eastAsia" w:ascii="仿宋_GB2312" w:hAnsi="Times New Roman" w:eastAsia="仿宋_GB2312" w:cs="DengXian-Regular"/>
          <w:sz w:val="32"/>
          <w:szCs w:val="32"/>
        </w:rPr>
        <w:t>政府性基金预算财政拨款，</w:t>
      </w:r>
      <w:r>
        <w:rPr>
          <w:rFonts w:hint="eastAsia" w:ascii="仿宋_GB2312" w:hAnsi="Times New Roman" w:eastAsia="仿宋_GB2312" w:cs="DengXian-Regular"/>
          <w:sz w:val="32"/>
          <w:szCs w:val="32"/>
          <w:lang w:val="en-US" w:eastAsia="zh-CN"/>
        </w:rPr>
        <w:t>与去年持平</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我局2022年度无</w:t>
      </w:r>
      <w:r>
        <w:rPr>
          <w:rFonts w:hint="eastAsia" w:ascii="仿宋_GB2312" w:hAnsi="Times New Roman" w:eastAsia="仿宋_GB2312" w:cs="DengXian-Regular"/>
          <w:sz w:val="32"/>
          <w:szCs w:val="32"/>
        </w:rPr>
        <w:t>政府性基金预算财政拨款支出，</w:t>
      </w:r>
      <w:r>
        <w:rPr>
          <w:rFonts w:hint="eastAsia" w:ascii="仿宋_GB2312" w:hAnsi="Times New Roman" w:eastAsia="仿宋_GB2312" w:cs="DengXian-Regular"/>
          <w:sz w:val="32"/>
          <w:szCs w:val="32"/>
          <w:lang w:val="en-US" w:eastAsia="zh-CN"/>
        </w:rPr>
        <w:t>与去年持平</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3.</w:t>
      </w:r>
      <w:r>
        <w:rPr>
          <w:rFonts w:hint="eastAsia" w:ascii="仿宋_GB2312" w:hAnsi="Times New Roman" w:eastAsia="仿宋_GB2312" w:cs="DengXian-Regular"/>
          <w:sz w:val="32"/>
          <w:szCs w:val="32"/>
          <w:lang w:val="en-US" w:eastAsia="zh-CN"/>
        </w:rPr>
        <w:t>我局2022年度无</w:t>
      </w:r>
      <w:r>
        <w:rPr>
          <w:rFonts w:hint="eastAsia" w:ascii="仿宋_GB2312" w:hAnsi="Times New Roman" w:eastAsia="仿宋_GB2312" w:cs="DengXian-Regular"/>
          <w:sz w:val="32"/>
          <w:szCs w:val="32"/>
        </w:rPr>
        <w:t>国有资本经营预算财政拨款本年收入，</w:t>
      </w:r>
      <w:r>
        <w:rPr>
          <w:rFonts w:hint="eastAsia" w:ascii="仿宋_GB2312" w:hAnsi="Times New Roman" w:eastAsia="仿宋_GB2312" w:cs="DengXian-Regular"/>
          <w:sz w:val="32"/>
          <w:szCs w:val="32"/>
          <w:lang w:val="en-US" w:eastAsia="zh-CN"/>
        </w:rPr>
        <w:t>与去年持平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我局2022年度无</w:t>
      </w:r>
      <w:r>
        <w:rPr>
          <w:rFonts w:hint="eastAsia" w:ascii="仿宋_GB2312" w:hAnsi="Times New Roman" w:eastAsia="仿宋_GB2312" w:cs="DengXian-Regular"/>
          <w:sz w:val="32"/>
          <w:szCs w:val="32"/>
        </w:rPr>
        <w:t>国有资本经营预算财政拨款本年支出，</w:t>
      </w:r>
      <w:r>
        <w:rPr>
          <w:rFonts w:hint="eastAsia" w:ascii="仿宋_GB2312" w:hAnsi="Times New Roman" w:eastAsia="仿宋_GB2312" w:cs="DengXian-Regular"/>
          <w:sz w:val="32"/>
          <w:szCs w:val="32"/>
          <w:lang w:val="en-US" w:eastAsia="zh-CN"/>
        </w:rPr>
        <w:t>与去年持平</w:t>
      </w:r>
      <w:r>
        <w:rPr>
          <w:rFonts w:hint="eastAsia" w:ascii="仿宋_GB2312" w:hAnsi="Times New Roman" w:eastAsia="仿宋_GB2312" w:cs="DengXian-Regular"/>
          <w:sz w:val="32"/>
          <w:szCs w:val="32"/>
        </w:rPr>
        <w:t>。</w:t>
      </w:r>
    </w:p>
    <w:p>
      <w:pPr>
        <w:pStyle w:val="2"/>
        <w:rPr>
          <w:rFonts w:hint="eastAsia" w:ascii="仿宋_GB2312" w:hAnsi="Times New Roman" w:eastAsia="仿宋_GB2312" w:cs="DengXian-Regular"/>
          <w:sz w:val="32"/>
          <w:szCs w:val="32"/>
        </w:rPr>
      </w:pPr>
      <w:r>
        <w:rPr>
          <w:rFonts w:hint="eastAsia" w:ascii="仿宋_GB2312" w:eastAsia="仿宋_GB2312"/>
          <w:sz w:val="32"/>
          <w:szCs w:val="32"/>
          <w:lang w:eastAsia="zh-CN"/>
        </w:rPr>
        <w:drawing>
          <wp:anchor distT="0" distB="0" distL="114300" distR="114300" simplePos="0" relativeHeight="251674624" behindDoc="0" locked="0" layoutInCell="1" allowOverlap="1">
            <wp:simplePos x="0" y="0"/>
            <wp:positionH relativeFrom="column">
              <wp:posOffset>144780</wp:posOffset>
            </wp:positionH>
            <wp:positionV relativeFrom="paragraph">
              <wp:posOffset>201930</wp:posOffset>
            </wp:positionV>
            <wp:extent cx="5184775" cy="2962910"/>
            <wp:effectExtent l="4445" t="4445" r="11430" b="23495"/>
            <wp:wrapTopAndBottom/>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2023年度财政拨款支出</w:t>
      </w:r>
      <w:r>
        <w:rPr>
          <w:rFonts w:hint="eastAsia" w:ascii="仿宋_GB2312" w:hAnsi="仿宋" w:eastAsia="仿宋_GB2312"/>
          <w:sz w:val="32"/>
          <w:szCs w:val="32"/>
          <w:lang w:val="en-US" w:eastAsia="zh-CN"/>
        </w:rPr>
        <w:t>3418.57</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仿宋" w:eastAsia="仿宋_GB2312"/>
          <w:sz w:val="32"/>
          <w:szCs w:val="32"/>
          <w:lang w:val="en-US" w:eastAsia="zh-CN"/>
        </w:rPr>
        <w:t>一般公共服务</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20万元，占</w:t>
      </w:r>
      <w:r>
        <w:rPr>
          <w:rFonts w:hint="eastAsia" w:ascii="仿宋_GB2312" w:eastAsia="仿宋_GB2312" w:cs="仿宋_GB2312"/>
          <w:sz w:val="30"/>
          <w:szCs w:val="30"/>
        </w:rPr>
        <w:t>一般公共预算财政拨款</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的0.59%，主要用于招商引资类支出；社会保障和就业</w:t>
      </w:r>
      <w:r>
        <w:rPr>
          <w:rFonts w:hint="eastAsia" w:ascii="仿宋_GB2312" w:eastAsia="仿宋_GB2312" w:cs="仿宋_GB2312"/>
          <w:sz w:val="30"/>
          <w:szCs w:val="30"/>
          <w:lang w:val="en-US" w:eastAsia="zh-CN"/>
        </w:rPr>
        <w:t>支出29.48</w:t>
      </w:r>
      <w:r>
        <w:rPr>
          <w:rFonts w:hint="eastAsia" w:ascii="仿宋_GB2312" w:hAnsi="仿宋" w:eastAsia="仿宋_GB2312"/>
          <w:sz w:val="32"/>
          <w:szCs w:val="32"/>
          <w:lang w:val="en-US" w:eastAsia="zh-CN"/>
        </w:rPr>
        <w:t>万元，占一</w:t>
      </w:r>
      <w:r>
        <w:rPr>
          <w:rFonts w:hint="eastAsia" w:ascii="仿宋_GB2312" w:eastAsia="仿宋_GB2312" w:cs="仿宋_GB2312"/>
          <w:sz w:val="30"/>
          <w:szCs w:val="30"/>
        </w:rPr>
        <w:t>般公共预算财政拨款</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的0.86%，主要用于职工养老保险支出；卫生健康</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220.03万元，占一</w:t>
      </w:r>
      <w:r>
        <w:rPr>
          <w:rFonts w:hint="eastAsia" w:ascii="仿宋_GB2312" w:eastAsia="仿宋_GB2312" w:cs="仿宋_GB2312"/>
          <w:sz w:val="30"/>
          <w:szCs w:val="30"/>
        </w:rPr>
        <w:t>般公共预算财政拨款</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的6.43%，主要用于疫情防控所欠物资费用以及职工医疗保险支出；资源勘探工业信息支出20万元，占一</w:t>
      </w:r>
      <w:r>
        <w:rPr>
          <w:rFonts w:hint="eastAsia" w:ascii="仿宋_GB2312" w:eastAsia="仿宋_GB2312" w:cs="仿宋_GB2312"/>
          <w:sz w:val="30"/>
          <w:szCs w:val="30"/>
        </w:rPr>
        <w:t>般公共预算财政拨款</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的0.59%，主要用于东部工业区管理支出；住房保障</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27.47万元，占一</w:t>
      </w:r>
      <w:r>
        <w:rPr>
          <w:rFonts w:hint="eastAsia" w:ascii="仿宋_GB2312" w:eastAsia="仿宋_GB2312" w:cs="仿宋_GB2312"/>
          <w:sz w:val="30"/>
          <w:szCs w:val="30"/>
        </w:rPr>
        <w:t>般公共预算财政拨款</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的0.80%，主要用于住房公积金类支出；</w:t>
      </w:r>
      <w:r>
        <w:rPr>
          <w:rFonts w:hint="eastAsia" w:ascii="仿宋_GB2312" w:eastAsia="仿宋_GB2312" w:cs="仿宋_GB2312"/>
          <w:sz w:val="30"/>
          <w:szCs w:val="30"/>
          <w:lang w:eastAsia="zh-CN"/>
        </w:rPr>
        <w:t>灾害防治及应急管理</w:t>
      </w:r>
      <w:r>
        <w:rPr>
          <w:rFonts w:hint="eastAsia" w:ascii="仿宋_GB2312" w:eastAsia="仿宋_GB2312" w:cs="仿宋_GB2312"/>
          <w:sz w:val="30"/>
          <w:szCs w:val="30"/>
          <w:lang w:val="en-US" w:eastAsia="zh-CN"/>
        </w:rPr>
        <w:t>支出3101.59万元，占</w:t>
      </w:r>
      <w:r>
        <w:rPr>
          <w:rFonts w:hint="eastAsia" w:ascii="仿宋_GB2312" w:hAnsi="仿宋" w:eastAsia="仿宋_GB2312"/>
          <w:sz w:val="32"/>
          <w:szCs w:val="32"/>
          <w:lang w:val="en-US" w:eastAsia="zh-CN"/>
        </w:rPr>
        <w:t>一</w:t>
      </w:r>
      <w:r>
        <w:rPr>
          <w:rFonts w:hint="eastAsia" w:ascii="仿宋_GB2312" w:eastAsia="仿宋_GB2312" w:cs="仿宋_GB2312"/>
          <w:sz w:val="30"/>
          <w:szCs w:val="30"/>
        </w:rPr>
        <w:t>般公共预算财政拨款</w:t>
      </w:r>
      <w:r>
        <w:rPr>
          <w:rFonts w:hint="eastAsia" w:ascii="仿宋_GB2312" w:eastAsia="仿宋_GB2312" w:cs="仿宋_GB2312"/>
          <w:sz w:val="30"/>
          <w:szCs w:val="30"/>
          <w:lang w:val="en-US" w:eastAsia="zh-CN"/>
        </w:rPr>
        <w:t>支出的90.73%，主要用于提升我区安全生产管理水平，保障我区安全生产形势持续稳定支出。</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2023年度财政拨款基本支出</w:t>
      </w:r>
      <w:r>
        <w:rPr>
          <w:rFonts w:hint="eastAsia" w:ascii="仿宋_GB2312" w:hAnsi="Times New Roman" w:eastAsia="仿宋_GB2312" w:cs="DengXian-Regular"/>
          <w:sz w:val="32"/>
          <w:szCs w:val="32"/>
          <w:lang w:val="en-US" w:eastAsia="zh-CN"/>
        </w:rPr>
        <w:t>471.59</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333.86</w:t>
      </w:r>
      <w:r>
        <w:rPr>
          <w:rFonts w:hint="eastAsia" w:ascii="仿宋_GB2312" w:hAnsi="Times New Roman" w:eastAsia="仿宋_GB2312" w:cs="DengXian-Regular"/>
          <w:sz w:val="32"/>
          <w:szCs w:val="32"/>
        </w:rPr>
        <w:t>万元，主要包括基本工资、津贴补贴、奖金、机关事业单位基本养老保险缴费、职工基本医疗保险缴费、住房公积金、其他社会保障缴费、其他工资福利支出、生活补助、奖励金、其他对个人和家庭的补助支出。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137.74</w:t>
      </w:r>
      <w:r>
        <w:rPr>
          <w:rFonts w:hint="eastAsia" w:ascii="仿宋_GB2312" w:hAnsi="Times New Roman" w:eastAsia="仿宋_GB2312" w:cs="DengXian-Regular"/>
          <w:sz w:val="32"/>
          <w:szCs w:val="32"/>
        </w:rPr>
        <w:t>万元，主要包括办公费、电费、邮电费、差旅费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公务接待费、劳务费、工会经费、福利费、其他交通费用</w:t>
      </w:r>
      <w:r>
        <w:rPr>
          <w:rFonts w:hint="eastAsia" w:ascii="仿宋_GB2312" w:hAnsi="Times New Roman" w:eastAsia="仿宋_GB2312" w:cs="DengXian-Regular"/>
          <w:sz w:val="32"/>
          <w:szCs w:val="32"/>
          <w:lang w:val="en-US" w:eastAsia="zh-CN"/>
        </w:rPr>
        <w:t>等</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本部门2023年度“三公”经费财政拨款支出预算为</w:t>
      </w:r>
      <w:r>
        <w:rPr>
          <w:rFonts w:hint="eastAsia" w:ascii="仿宋_GB2312" w:hAnsi="Times New Roman" w:eastAsia="仿宋_GB2312" w:cs="DengXian-Regular"/>
          <w:sz w:val="32"/>
          <w:szCs w:val="32"/>
          <w:lang w:val="en-US" w:eastAsia="zh-CN"/>
        </w:rPr>
        <w:t>1.8</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1.8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%；较2022年度决算增加减少</w:t>
      </w:r>
      <w:r>
        <w:rPr>
          <w:rFonts w:hint="eastAsia" w:ascii="仿宋_GB2312" w:hAnsi="Times New Roman" w:eastAsia="仿宋_GB2312" w:cs="DengXian-Regular"/>
          <w:sz w:val="32"/>
          <w:szCs w:val="32"/>
          <w:lang w:val="en-US" w:eastAsia="zh-CN"/>
        </w:rPr>
        <w:t>3.8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67.86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本着厉行节约的原则，缩减公务接待支出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万元。本部门2022年度</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因公出国（境）预算,</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公务用车购置，发生“公务用车购置”经费支出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本部门2022年度无</w:t>
      </w:r>
      <w:r>
        <w:rPr>
          <w:rFonts w:hint="eastAsia" w:ascii="仿宋_GB2312" w:hAnsi="Times New Roman" w:eastAsia="仿宋_GB2312" w:cs="DengXian-Regular"/>
          <w:sz w:val="32"/>
          <w:szCs w:val="32"/>
        </w:rPr>
        <w:t>公务用车购置费支出较预算,较上年</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单位公务用车</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公车运行维护费支出预算，</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本部门2023年度公务接待费支出预算为</w:t>
      </w:r>
      <w:r>
        <w:rPr>
          <w:rFonts w:hint="eastAsia" w:ascii="仿宋_GB2312" w:hAnsi="Times New Roman" w:eastAsia="仿宋_GB2312" w:cs="DengXian-Regular"/>
          <w:sz w:val="32"/>
          <w:szCs w:val="32"/>
          <w:lang w:val="en-US" w:eastAsia="zh-CN"/>
        </w:rPr>
        <w:t>1.8</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1.79</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99.59</w:t>
      </w:r>
      <w:r>
        <w:rPr>
          <w:rFonts w:hint="eastAsia" w:ascii="仿宋_GB2312" w:hAnsi="Times New Roman" w:eastAsia="仿宋_GB2312" w:cs="DengXian-Regular"/>
          <w:sz w:val="32"/>
          <w:szCs w:val="32"/>
        </w:rPr>
        <w:t>%。公务接待费支</w:t>
      </w:r>
      <w:r>
        <w:rPr>
          <w:rFonts w:hint="eastAsia" w:ascii="仿宋_GB2312" w:hAnsi="Times New Roman" w:eastAsia="仿宋_GB2312" w:cs="DengXian-Regular"/>
          <w:sz w:val="32"/>
          <w:szCs w:val="32"/>
          <w:lang w:val="en-US" w:eastAsia="zh-CN"/>
        </w:rPr>
        <w:t>出于预算持平</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3.8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67.86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本着厉行节约的原则，缩减公务接待支出</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22</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130</w:t>
      </w:r>
      <w:r>
        <w:rPr>
          <w:rFonts w:hint="eastAsia" w:ascii="仿宋_GB2312" w:hAnsi="Times New Roman" w:eastAsia="仿宋_GB2312" w:cs="DengXian-Regular"/>
          <w:sz w:val="32"/>
          <w:szCs w:val="32"/>
        </w:rPr>
        <w:t>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本部门2023年度机关运行经费支出</w:t>
      </w:r>
      <w:r>
        <w:rPr>
          <w:rFonts w:hint="eastAsia" w:ascii="仿宋_GB2312" w:hAnsi="Times New Roman" w:eastAsia="仿宋_GB2312" w:cs="DengXian-Regular"/>
          <w:sz w:val="32"/>
          <w:szCs w:val="32"/>
          <w:lang w:val="en-US" w:eastAsia="zh-CN"/>
        </w:rPr>
        <w:t>137.74</w:t>
      </w:r>
      <w:r>
        <w:rPr>
          <w:rFonts w:hint="eastAsia" w:ascii="仿宋_GB2312" w:hAnsi="Times New Roman" w:eastAsia="仿宋_GB2312" w:cs="DengXian-Regular"/>
          <w:sz w:val="32"/>
          <w:szCs w:val="32"/>
        </w:rPr>
        <w:t>万元，较2022年度增加</w:t>
      </w:r>
      <w:r>
        <w:rPr>
          <w:rFonts w:hint="eastAsia" w:ascii="仿宋_GB2312" w:hAnsi="Times New Roman" w:eastAsia="仿宋_GB2312" w:cs="DengXian-Regular"/>
          <w:sz w:val="32"/>
          <w:szCs w:val="32"/>
          <w:lang w:val="en-US" w:eastAsia="zh-CN"/>
        </w:rPr>
        <w:t>116.86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205.45</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2023年度我局劳务派遣人员工资计入机关运行经费。</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本部门2023年度政府采购支出总额</w:t>
      </w:r>
      <w:r>
        <w:rPr>
          <w:rFonts w:hint="eastAsia" w:ascii="仿宋_GB2312" w:hAnsi="Times New Roman" w:eastAsia="仿宋_GB2312" w:cs="DengXian-Regular"/>
          <w:sz w:val="32"/>
          <w:szCs w:val="32"/>
          <w:lang w:val="en-US" w:eastAsia="zh-CN"/>
        </w:rPr>
        <w:t>3767.98</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192.3</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3575.68</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778.98</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20.67</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7788.98</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20.67</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截至2023年12月31日，本部门</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车辆，</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单位价值100万元以上设备（不含车辆）。</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spacing w:line="600" w:lineRule="atLeast"/>
        <w:ind w:firstLine="640" w:firstLineChars="200"/>
        <w:rPr>
          <w:rFonts w:eastAsia="方正仿宋简体"/>
          <w:sz w:val="32"/>
          <w:szCs w:val="32"/>
        </w:rPr>
      </w:pPr>
      <w:r>
        <w:rPr>
          <w:rFonts w:hint="eastAsia" w:ascii="仿宋_GB2312" w:hAnsi="仿宋_GB2312" w:eastAsia="仿宋_GB2312" w:cs="仿宋_GB2312"/>
          <w:sz w:val="32"/>
          <w:szCs w:val="32"/>
        </w:rPr>
        <w:t>根据预算绩效管理要求，本部门组织对2023年度一般公共预算项目支出全面开展绩效自评，</w:t>
      </w:r>
      <w:r>
        <w:rPr>
          <w:rFonts w:eastAsia="方正仿宋简体"/>
          <w:sz w:val="32"/>
          <w:szCs w:val="32"/>
        </w:rPr>
        <w:t>本次绩效评价项目</w:t>
      </w:r>
      <w:r>
        <w:rPr>
          <w:rFonts w:hint="eastAsia" w:eastAsia="方正仿宋简体"/>
          <w:sz w:val="32"/>
          <w:szCs w:val="32"/>
          <w:lang w:val="en-US" w:eastAsia="zh-CN"/>
        </w:rPr>
        <w:t>7</w:t>
      </w:r>
      <w:r>
        <w:rPr>
          <w:rFonts w:eastAsia="方正仿宋简体"/>
          <w:sz w:val="32"/>
          <w:szCs w:val="32"/>
        </w:rPr>
        <w:t>个，占部门项目总数的</w:t>
      </w:r>
      <w:r>
        <w:rPr>
          <w:rFonts w:hint="eastAsia" w:eastAsia="方正仿宋简体"/>
          <w:sz w:val="32"/>
          <w:szCs w:val="32"/>
          <w:lang w:val="en-US" w:eastAsia="zh-CN"/>
        </w:rPr>
        <w:t>100</w:t>
      </w:r>
      <w:r>
        <w:rPr>
          <w:rFonts w:eastAsia="方正仿宋简体"/>
          <w:sz w:val="32"/>
          <w:szCs w:val="32"/>
        </w:rPr>
        <w:t>%，涉及金额</w:t>
      </w:r>
      <w:r>
        <w:rPr>
          <w:rFonts w:hint="eastAsia" w:eastAsia="方正仿宋简体"/>
          <w:sz w:val="32"/>
          <w:szCs w:val="32"/>
          <w:lang w:val="en-US" w:eastAsia="zh-CN"/>
        </w:rPr>
        <w:t>3449.57</w:t>
      </w:r>
      <w:r>
        <w:rPr>
          <w:rFonts w:eastAsia="方正仿宋简体"/>
          <w:sz w:val="32"/>
          <w:szCs w:val="32"/>
        </w:rPr>
        <w:t>万元。采取成立本部门绩效自评工作组的形式，本着客观、公正、公开的原则开展自评工作，所有项目的绩效自评均设计了合理、明晰、可考核的、关键性产出指标和效果指标。自评结果真实可靠。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项目共设</w:t>
      </w:r>
      <w:r>
        <w:rPr>
          <w:rFonts w:hint="eastAsia" w:ascii="宋体" w:hAnsi="宋体" w:eastAsia="宋体" w:cs="宋体"/>
          <w:sz w:val="32"/>
          <w:szCs w:val="32"/>
          <w:lang w:val="en-US" w:eastAsia="zh-CN"/>
        </w:rPr>
        <w:t>10</w:t>
      </w:r>
      <w:r>
        <w:rPr>
          <w:rFonts w:hint="eastAsia" w:ascii="方正仿宋简体" w:hAnsi="方正仿宋简体" w:eastAsia="方正仿宋简体" w:cs="方正仿宋简体"/>
          <w:b w:val="0"/>
          <w:bCs/>
          <w:sz w:val="32"/>
          <w:szCs w:val="32"/>
          <w:lang w:val="en-US" w:eastAsia="zh-CN"/>
        </w:rPr>
        <w:t>个二级绩效指标。其中产出指标</w:t>
      </w:r>
      <w:r>
        <w:rPr>
          <w:rFonts w:hint="eastAsia" w:ascii="宋体" w:hAnsi="宋体" w:eastAsia="宋体" w:cs="宋体"/>
          <w:sz w:val="32"/>
          <w:szCs w:val="32"/>
          <w:lang w:val="en-US" w:eastAsia="zh-CN"/>
        </w:rPr>
        <w:t>4</w:t>
      </w:r>
      <w:r>
        <w:rPr>
          <w:rFonts w:hint="eastAsia" w:ascii="方正仿宋简体" w:hAnsi="方正仿宋简体" w:eastAsia="方正仿宋简体" w:cs="方正仿宋简体"/>
          <w:b w:val="0"/>
          <w:bCs/>
          <w:sz w:val="32"/>
          <w:szCs w:val="32"/>
          <w:lang w:val="en-US" w:eastAsia="zh-CN"/>
        </w:rPr>
        <w:t>个，效益指标</w:t>
      </w:r>
      <w:r>
        <w:rPr>
          <w:rFonts w:hint="eastAsia" w:ascii="宋体" w:hAnsi="宋体" w:eastAsia="宋体" w:cs="宋体"/>
          <w:sz w:val="32"/>
          <w:szCs w:val="32"/>
          <w:lang w:val="en-US" w:eastAsia="zh-CN"/>
        </w:rPr>
        <w:t>4</w:t>
      </w:r>
      <w:r>
        <w:rPr>
          <w:rFonts w:hint="eastAsia" w:ascii="方正仿宋简体" w:hAnsi="方正仿宋简体" w:eastAsia="方正仿宋简体" w:cs="方正仿宋简体"/>
          <w:b w:val="0"/>
          <w:bCs/>
          <w:sz w:val="32"/>
          <w:szCs w:val="32"/>
          <w:lang w:val="en-US" w:eastAsia="zh-CN"/>
        </w:rPr>
        <w:t>个，满意度指标</w:t>
      </w:r>
      <w:r>
        <w:rPr>
          <w:rFonts w:hint="eastAsia" w:ascii="宋体" w:hAnsi="宋体" w:eastAsia="宋体" w:cs="宋体"/>
          <w:sz w:val="32"/>
          <w:szCs w:val="32"/>
          <w:lang w:val="en-US" w:eastAsia="zh-CN"/>
        </w:rPr>
        <w:t>1</w:t>
      </w:r>
      <w:r>
        <w:rPr>
          <w:rFonts w:hint="eastAsia" w:ascii="方正仿宋简体" w:hAnsi="方正仿宋简体" w:eastAsia="方正仿宋简体" w:cs="方正仿宋简体"/>
          <w:b w:val="0"/>
          <w:bCs/>
          <w:sz w:val="32"/>
          <w:szCs w:val="32"/>
          <w:lang w:val="en-US" w:eastAsia="zh-CN"/>
        </w:rPr>
        <w:t>个，预算执行率指标</w:t>
      </w:r>
      <w:r>
        <w:rPr>
          <w:rFonts w:hint="eastAsia" w:ascii="宋体" w:hAnsi="宋体" w:eastAsia="宋体" w:cs="宋体"/>
          <w:sz w:val="32"/>
          <w:szCs w:val="32"/>
          <w:lang w:val="en-US" w:eastAsia="zh-CN"/>
        </w:rPr>
        <w:t>1</w:t>
      </w:r>
      <w:r>
        <w:rPr>
          <w:rFonts w:hint="eastAsia" w:ascii="方正仿宋简体" w:hAnsi="方正仿宋简体" w:eastAsia="方正仿宋简体" w:cs="方正仿宋简体"/>
          <w:b w:val="0"/>
          <w:bCs/>
          <w:sz w:val="32"/>
          <w:szCs w:val="32"/>
          <w:lang w:val="en-US" w:eastAsia="zh-CN"/>
        </w:rPr>
        <w:t>个。具体情况如下：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产出指标中包括数量指标、质量指标、时效指标、成本指标。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数量指标中服务企业数量、救灾物资储备数量、监控区内高危企业数量、防疫物资数量绩效完成情况为优。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质量指标中安全生产执法检查、应急演练、对企业实时监控及预警情况、防疫物资质量绩效完成情况为优，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时效指标中项目完成时限、实时监控、隐患提醒、防疫物资及时补充绩效完成情况为优。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成本指标中项目成本均控制在预算范围内，绩效完成情况为优。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效益指标中包括经济效益指标、社会效益指标、生态效益指标、可持续影响指标。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经济效益指标中</w:t>
      </w:r>
      <w:r>
        <w:rPr>
          <w:rFonts w:hint="eastAsia" w:ascii="仿宋" w:hAnsi="仿宋" w:eastAsia="仿宋" w:cs="仿宋"/>
          <w:sz w:val="28"/>
          <w:szCs w:val="28"/>
          <w:lang w:val="en-US" w:eastAsia="zh-CN"/>
        </w:rPr>
        <w:t>通过安全生产监管监察，大量减少了各企业安全生产事故，为全区经济发展起到了保驾护航的作用</w:t>
      </w:r>
      <w:r>
        <w:rPr>
          <w:rFonts w:hint="eastAsia" w:ascii="方正仿宋简体" w:hAnsi="方正仿宋简体" w:eastAsia="方正仿宋简体" w:cs="方正仿宋简体"/>
          <w:b w:val="0"/>
          <w:bCs/>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社会效益指标中安全生产总体形势、应急救援力量评价、化工园区事故防范能力和应急处置水平整体情况为优。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生态效益指标中为对生态环境造成破坏。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可持续影响指标中安全生产形势和应急管理总体形势、疫情防控形势良好。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满意度指标：群众满意度调查中，群众满意度达到95%以上。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仿宋_GB2312" w:eastAsia="仿宋_GB2312" w:cs="仿宋_GB2312"/>
          <w:sz w:val="32"/>
          <w:szCs w:val="32"/>
          <w:highlight w:val="yellow"/>
        </w:rPr>
      </w:pPr>
      <w:r>
        <w:rPr>
          <w:rFonts w:hint="eastAsia" w:ascii="方正仿宋简体" w:hAnsi="方正仿宋简体" w:eastAsia="方正仿宋简体" w:cs="方正仿宋简体"/>
          <w:b w:val="0"/>
          <w:bCs/>
          <w:sz w:val="32"/>
          <w:szCs w:val="32"/>
          <w:lang w:val="en-US" w:eastAsia="zh-CN"/>
        </w:rPr>
        <w:t>预算执行率：我局资金使用情况预算绩效完成情况为优。</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（二）部门决算中项目绩效自评结果（如有）</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val="en-US" w:eastAsia="zh-CN"/>
        </w:rPr>
        <w:t>安全生产</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汽车租赁项目、疫情防控项目等7</w:t>
      </w:r>
      <w:r>
        <w:rPr>
          <w:rFonts w:hint="eastAsia" w:ascii="仿宋_GB2312" w:hAnsi="仿宋_GB2312" w:eastAsia="仿宋_GB2312" w:cs="仿宋_GB2312"/>
          <w:sz w:val="32"/>
          <w:szCs w:val="32"/>
        </w:rPr>
        <w:t>个项目绩效自评结果。</w:t>
      </w:r>
    </w:p>
    <w:p>
      <w:pPr>
        <w:pStyle w:val="11"/>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p>
    <w:tbl>
      <w:tblPr>
        <w:tblStyle w:val="8"/>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198"/>
        <w:gridCol w:w="1078"/>
        <w:gridCol w:w="1242"/>
        <w:gridCol w:w="1078"/>
        <w:gridCol w:w="1376"/>
        <w:gridCol w:w="1350"/>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w:t>
            </w:r>
            <w:r>
              <w:rPr>
                <w:rStyle w:val="21"/>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项目名称</w:t>
            </w:r>
          </w:p>
        </w:tc>
        <w:tc>
          <w:tcPr>
            <w:tcW w:w="88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安全生产项目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二、预算执行情况</w:t>
            </w: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预算安排情况（调整后）</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2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资金执行情况</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到位数：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三、目标完成情况</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年度预期目标</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具体完成情况</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9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18"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保障开发区安全生产形势稳定</w:t>
            </w:r>
          </w:p>
        </w:tc>
        <w:tc>
          <w:tcPr>
            <w:tcW w:w="38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均达到绩效目标</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96"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1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r>
              <w:rPr>
                <w:rStyle w:val="21"/>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年度绩效指标完成情况</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Style w:val="21"/>
                <w:rFonts w:eastAsia="宋体"/>
                <w:lang w:val="en-US" w:eastAsia="zh-CN" w:bidi="ar"/>
              </w:rPr>
              <w:t xml:space="preserve">        (50)</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服务企业数量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安全生产执法检查质量</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安全生产执法质量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高质量完成</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控制在预算资金范围内</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Style w:val="21"/>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安全生产形势对经济的影响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经济平稳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经济总量平稳</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安全形势稳定</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开发区安全生产形势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开发区安全生产形势稳定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Style w:val="21"/>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r>
              <w:rPr>
                <w:rStyle w:val="21"/>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预算执行是否达到</w:t>
            </w:r>
            <w:r>
              <w:rPr>
                <w:rStyle w:val="22"/>
                <w:rFonts w:eastAsia="宋体"/>
                <w:lang w:val="en-US" w:eastAsia="zh-CN" w:bidi="ar"/>
              </w:rPr>
              <w:t>90%</w:t>
            </w:r>
            <w:r>
              <w:rPr>
                <w:rFonts w:hint="eastAsia" w:ascii="宋体" w:hAnsi="宋体" w:eastAsia="宋体" w:cs="宋体"/>
                <w:i w:val="0"/>
                <w:iCs w:val="0"/>
                <w:color w:val="000000"/>
                <w:kern w:val="0"/>
                <w:sz w:val="22"/>
                <w:szCs w:val="22"/>
                <w:u w:val="none"/>
                <w:lang w:val="en-US" w:eastAsia="zh-CN" w:bidi="ar"/>
              </w:rPr>
              <w:t>以上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五、存在问题、原因及下一步整改措施。</w:t>
            </w:r>
          </w:p>
        </w:tc>
        <w:tc>
          <w:tcPr>
            <w:tcW w:w="8894"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2023</w:t>
            </w:r>
            <w:r>
              <w:rPr>
                <w:rFonts w:hint="eastAsia" w:ascii="宋体" w:hAnsi="宋体" w:eastAsia="宋体" w:cs="宋体"/>
                <w:i w:val="0"/>
                <w:iCs w:val="0"/>
                <w:color w:val="000000"/>
                <w:kern w:val="0"/>
                <w:sz w:val="22"/>
                <w:szCs w:val="22"/>
                <w:u w:val="none"/>
                <w:lang w:val="en-US" w:eastAsia="zh-CN" w:bidi="ar"/>
              </w:rPr>
              <w:t>年，整体绩效自评为优。在今后的工作中，我局在制定预算资金方案前，认真做好每个项目的预测和绩效目标分析，及时向领导通报资金使用情况，以便及时作出调整，实现项目资金利用效率最大化。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张晶</w:t>
            </w:r>
          </w:p>
        </w:tc>
        <w:tc>
          <w:tcPr>
            <w:tcW w:w="1078"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242"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2913359</w:t>
            </w:r>
          </w:p>
        </w:tc>
      </w:tr>
    </w:tbl>
    <w:p>
      <w:pPr>
        <w:pStyle w:val="11"/>
        <w:rPr>
          <w:rFonts w:hint="eastAsia" w:ascii="仿宋_GB2312" w:hAnsi="仿宋_GB2312" w:eastAsia="仿宋_GB2312" w:cs="仿宋_GB2312"/>
          <w:b/>
          <w:bCs/>
          <w:sz w:val="32"/>
          <w:szCs w:val="32"/>
        </w:rPr>
      </w:pPr>
    </w:p>
    <w:tbl>
      <w:tblPr>
        <w:tblStyle w:val="8"/>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306"/>
        <w:gridCol w:w="1078"/>
        <w:gridCol w:w="1246"/>
        <w:gridCol w:w="1078"/>
        <w:gridCol w:w="1378"/>
        <w:gridCol w:w="1344"/>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一、 </w:t>
            </w:r>
            <w:r>
              <w:rPr>
                <w:rStyle w:val="23"/>
                <w:rFonts w:hint="eastAsia" w:ascii="宋体" w:hAnsi="宋体" w:eastAsia="宋体" w:cs="宋体"/>
                <w:sz w:val="21"/>
                <w:szCs w:val="21"/>
                <w:lang w:val="en-US" w:eastAsia="zh-CN" w:bidi="ar"/>
              </w:rPr>
              <w:t>项目名称</w:t>
            </w:r>
          </w:p>
        </w:tc>
        <w:tc>
          <w:tcPr>
            <w:tcW w:w="90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东部工业区管理费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二、预算执行情况</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预算安排情况（调整后）</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资金到位情况</w:t>
            </w:r>
          </w:p>
        </w:tc>
        <w:tc>
          <w:tcPr>
            <w:tcW w:w="2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资金执行情况</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r>
              <w:rPr>
                <w:rStyle w:val="23"/>
                <w:rFonts w:hint="eastAsia" w:ascii="宋体" w:hAnsi="宋体" w:eastAsia="宋体" w:cs="宋体"/>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到位数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三、目标完成情况</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年度预期目标</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具体完成情况</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总体完成率（%</w:t>
            </w:r>
            <w:r>
              <w:rPr>
                <w:rStyle w:val="23"/>
                <w:rFonts w:hint="eastAsia" w:ascii="宋体" w:hAnsi="宋体" w:eastAsia="宋体" w:cs="宋体"/>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东部工业区的网络服务、各项设施的维护、日常办公活动以及其他商品和服务支出费用良好</w:t>
            </w:r>
          </w:p>
        </w:tc>
        <w:tc>
          <w:tcPr>
            <w:tcW w:w="38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均达到绩效目标</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8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8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四、年度绩效指标完成情况</w:t>
            </w:r>
          </w:p>
        </w:tc>
        <w:tc>
          <w:tcPr>
            <w:tcW w:w="13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预期指标值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实际完成值</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(50分)</w:t>
            </w:r>
          </w:p>
        </w:tc>
        <w:tc>
          <w:tcPr>
            <w:tcW w:w="1078"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服务企业数量</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检查、验收、评定企业数量</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按规定数量完成</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安全生产执法检查</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安全生产执法检查完成率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高质量完成</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项目完成时限</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控制在预算资金范围内</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未超出预算资金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未超出预算资金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企业安全生产经济稳定</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经济平稳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经济总量平稳</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安全生产形势稳定</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安全生产形势稳定情况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安全形势稳定</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生态效益指标</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生态环境保护良好</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生态环境保护情况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生态环境保护良好</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开发区安全生产发展趋势</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开发区安全生产形势稳定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安全生产形势稳定</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r>
              <w:rPr>
                <w:rFonts w:hint="eastAsia" w:ascii="宋体" w:hAnsi="宋体" w:eastAsia="宋体" w:cs="宋体"/>
                <w:i w:val="0"/>
                <w:iCs w:val="0"/>
                <w:color w:val="000000"/>
                <w:kern w:val="0"/>
                <w:sz w:val="21"/>
                <w:szCs w:val="21"/>
                <w:u w:val="none"/>
                <w:lang w:val="en-US" w:eastAsia="zh-CN" w:bidi="ar"/>
              </w:rPr>
              <w:br w:type="textWrapping"/>
            </w:r>
            <w:r>
              <w:rPr>
                <w:rStyle w:val="23"/>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10</w:t>
            </w:r>
            <w:r>
              <w:rPr>
                <w:rStyle w:val="23"/>
                <w:rFonts w:hint="eastAsia" w:ascii="宋体" w:hAnsi="宋体" w:eastAsia="宋体" w:cs="宋体"/>
                <w:sz w:val="21"/>
                <w:szCs w:val="21"/>
                <w:lang w:val="en-US" w:eastAsia="zh-CN" w:bidi="ar"/>
              </w:rPr>
              <w:t>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群众满意</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预算执行情况</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预算执行是否达到90%以上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达标</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总分</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五、存在问题、原因及下一步整改措施。</w:t>
            </w:r>
          </w:p>
        </w:tc>
        <w:tc>
          <w:tcPr>
            <w:tcW w:w="9000"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2023年，整体绩效自评为优。在今后的工作中，我单位在制定预算资金方案前，认真做好每个项目的预测和绩效目标分析，及时向领导通报资金使用情况，以便及时作出调整，实现项目资金利用效率最大化。</w:t>
            </w:r>
          </w:p>
        </w:tc>
      </w:tr>
    </w:tbl>
    <w:tbl>
      <w:tblPr>
        <w:tblStyle w:val="8"/>
        <w:tblpPr w:leftFromText="180" w:rightFromText="180" w:vertAnchor="text" w:horzAnchor="page" w:tblpX="1627" w:tblpY="209"/>
        <w:tblOverlap w:val="never"/>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00"/>
        <w:gridCol w:w="1080"/>
        <w:gridCol w:w="1245"/>
        <w:gridCol w:w="1080"/>
        <w:gridCol w:w="1380"/>
        <w:gridCol w:w="135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项目名称</w:t>
            </w:r>
          </w:p>
        </w:tc>
        <w:tc>
          <w:tcPr>
            <w:tcW w:w="8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汽车租赁项目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二、预算执行情况</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预算安排情况</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资金执行情况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三、目标完成情况</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年度预期目标</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具体完成情况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2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执法检查、事故调查用车充足</w:t>
            </w:r>
          </w:p>
        </w:tc>
        <w:tc>
          <w:tcPr>
            <w:tcW w:w="38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均达到绩效目标</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年度绩效指标完成情况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Fonts w:hint="default" w:ascii="Times New Roman" w:hAnsi="Times New Roman" w:eastAsia="宋体" w:cs="Times New Roman"/>
                <w:i w:val="0"/>
                <w:iCs w:val="0"/>
                <w:color w:val="000000"/>
                <w:kern w:val="0"/>
                <w:sz w:val="22"/>
                <w:szCs w:val="22"/>
                <w:u w:val="none"/>
                <w:lang w:val="en-US" w:eastAsia="zh-CN" w:bidi="ar"/>
              </w:rPr>
              <w:t xml:space="preserve">        (50)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执法检查用车数量</w:t>
            </w:r>
          </w:p>
        </w:tc>
        <w:tc>
          <w:tcPr>
            <w:tcW w:w="138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执法检查用车质量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安全生产执法检查完成率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高质量完成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执法用车及时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控制在预算资金范围内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执法用车工作成效</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经济平稳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经济总量平稳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开发区安全生产形势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开发区安全生产形势稳定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预算执行是否达到</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以上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五、存在问题、原因及下一步整改措施。</w:t>
            </w:r>
          </w:p>
        </w:tc>
        <w:tc>
          <w:tcPr>
            <w:tcW w:w="8910"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2023</w:t>
            </w:r>
            <w:r>
              <w:rPr>
                <w:rFonts w:hint="eastAsia" w:ascii="宋体" w:hAnsi="宋体" w:eastAsia="宋体" w:cs="宋体"/>
                <w:i w:val="0"/>
                <w:iCs w:val="0"/>
                <w:color w:val="000000"/>
                <w:kern w:val="0"/>
                <w:sz w:val="22"/>
                <w:szCs w:val="22"/>
                <w:u w:val="none"/>
                <w:lang w:val="en-US" w:eastAsia="zh-CN" w:bidi="ar"/>
              </w:rPr>
              <w:t>年，整体绩效自评为优。在今后的工作中，我局在制定预算资金方案前，认真做好每个项目的预测和绩效目标分析，及时向领导通报资金使用情况，以便及时作出调整，实现项目资金利用效率最大化。</w:t>
            </w:r>
          </w:p>
        </w:tc>
      </w:tr>
    </w:tbl>
    <w:p>
      <w:pPr>
        <w:pStyle w:val="11"/>
        <w:rPr>
          <w:rFonts w:hint="eastAsia" w:ascii="仿宋_GB2312" w:hAnsi="仿宋_GB2312" w:eastAsia="仿宋_GB2312" w:cs="仿宋_GB2312"/>
          <w:b/>
          <w:bCs/>
          <w:sz w:val="32"/>
          <w:szCs w:val="32"/>
        </w:rPr>
      </w:pPr>
    </w:p>
    <w:tbl>
      <w:tblPr>
        <w:tblStyle w:val="8"/>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8"/>
        <w:gridCol w:w="1307"/>
        <w:gridCol w:w="1079"/>
        <w:gridCol w:w="1247"/>
        <w:gridCol w:w="1079"/>
        <w:gridCol w:w="1378"/>
        <w:gridCol w:w="1342"/>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 项目名称</w:t>
            </w:r>
          </w:p>
        </w:tc>
        <w:tc>
          <w:tcPr>
            <w:tcW w:w="90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项目招商费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二、预算执行情况</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预算安排情况（调整后）</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资金到位情况</w:t>
            </w:r>
          </w:p>
        </w:tc>
        <w:tc>
          <w:tcPr>
            <w:tcW w:w="2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资金执行情况</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三、目标完成情况</w:t>
            </w:r>
          </w:p>
        </w:tc>
        <w:tc>
          <w:tcPr>
            <w:tcW w:w="3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年度预期目标</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具体完成情况</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为促进企业快速发展，开展招商引资工作，招商引资工作完成良好。</w:t>
            </w:r>
          </w:p>
        </w:tc>
        <w:tc>
          <w:tcPr>
            <w:tcW w:w="38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均达到绩效目标</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四、年度绩效指标完成情况</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预期指标值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实际完成值</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(50分)</w:t>
            </w: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开展招商引资工作数量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招商引资企业数量</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按规定数量完成</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招商引资资源对接情况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资源对接情况完成率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高质量完成</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项目完成时限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控制在预算资金范围内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未超出预算资金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未超出预算资金</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开展招商引资工作拉动经济</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经济增长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经济总量增长</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有效提高本区域的竞争力</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区域竞争力提高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稳定增长竞争力提高</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安全生产生态效益平衡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生态环境保护情况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生态环境保护良好</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开发区安全生产发展趋势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开发区安全生产形势稳定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安全生产形势稳定</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群众满意</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预算执行是否达到90%以上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总分</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五、存在问题、原因及下一步整改措施。</w:t>
            </w:r>
          </w:p>
        </w:tc>
        <w:tc>
          <w:tcPr>
            <w:tcW w:w="9012"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2023年，整体绩效自评为优。在今后的工作中，我单位在制定预算资金方案前，认真做好每个项目的预测和绩效目标分析，及时向领导通报资金使用情况，以便及时作出调整，实现项目资金利用效率最大化。</w:t>
            </w:r>
          </w:p>
        </w:tc>
      </w:tr>
    </w:tbl>
    <w:tbl>
      <w:tblPr>
        <w:tblStyle w:val="8"/>
        <w:tblpPr w:leftFromText="180" w:rightFromText="180" w:vertAnchor="text" w:horzAnchor="page" w:tblpX="1552" w:tblpY="345"/>
        <w:tblOverlap w:val="never"/>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00"/>
        <w:gridCol w:w="1080"/>
        <w:gridCol w:w="1245"/>
        <w:gridCol w:w="1080"/>
        <w:gridCol w:w="1380"/>
        <w:gridCol w:w="135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项目名称</w:t>
            </w:r>
          </w:p>
        </w:tc>
        <w:tc>
          <w:tcPr>
            <w:tcW w:w="8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疫情防控项目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二、预算执行情况</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预算安排情况（调整后）</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资金执行情况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三、目标完成情况</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年度预期目标</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具体完成情况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防疫物资储备充足，疫情防控水平提升疫情防控资金充足</w:t>
            </w:r>
          </w:p>
        </w:tc>
        <w:tc>
          <w:tcPr>
            <w:tcW w:w="38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均达到绩效目标</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年度绩效指标完成情况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Fonts w:hint="default" w:ascii="Times New Roman" w:hAnsi="Times New Roman" w:eastAsia="宋体" w:cs="Times New Roman"/>
                <w:i w:val="0"/>
                <w:iCs w:val="0"/>
                <w:color w:val="000000"/>
                <w:kern w:val="0"/>
                <w:sz w:val="22"/>
                <w:szCs w:val="22"/>
                <w:u w:val="none"/>
                <w:lang w:val="en-US" w:eastAsia="zh-CN" w:bidi="ar"/>
              </w:rPr>
              <w:t xml:space="preserve">        (50)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防疫物资储备数量</w:t>
            </w:r>
          </w:p>
        </w:tc>
        <w:tc>
          <w:tcPr>
            <w:tcW w:w="138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防疫物资储备质量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防疫物资使用效果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控制在预算资金范围内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疫情防控形势对经济的影响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经济平稳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经济总量平稳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疫情防控形势稳定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开发区疫情防控形势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开发区安全生产形势稳定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预算执行是否达到</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以上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五、存在问题、原因及下一步整改措施。</w:t>
            </w:r>
          </w:p>
        </w:tc>
        <w:tc>
          <w:tcPr>
            <w:tcW w:w="8910"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2023</w:t>
            </w:r>
            <w:r>
              <w:rPr>
                <w:rFonts w:hint="eastAsia" w:ascii="宋体" w:hAnsi="宋体" w:eastAsia="宋体" w:cs="宋体"/>
                <w:i w:val="0"/>
                <w:iCs w:val="0"/>
                <w:color w:val="000000"/>
                <w:kern w:val="0"/>
                <w:sz w:val="22"/>
                <w:szCs w:val="22"/>
                <w:u w:val="none"/>
                <w:lang w:val="en-US" w:eastAsia="zh-CN" w:bidi="ar"/>
              </w:rPr>
              <w:t>年，整体绩效自评为优。在今后的工作中，我局在制定预算资金方案前，认真做好每个项目的预测和绩效目标分析，及时向领导通报资金使用情况，以便及时作出调整，实现项目资金利用效率最大化。</w:t>
            </w:r>
          </w:p>
        </w:tc>
      </w:tr>
    </w:tbl>
    <w:tbl>
      <w:tblPr>
        <w:tblStyle w:val="8"/>
        <w:tblpPr w:leftFromText="180" w:rightFromText="180" w:vertAnchor="text" w:horzAnchor="page" w:tblpX="1597" w:tblpY="225"/>
        <w:tblOverlap w:val="never"/>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00"/>
        <w:gridCol w:w="1080"/>
        <w:gridCol w:w="1245"/>
        <w:gridCol w:w="1080"/>
        <w:gridCol w:w="1380"/>
        <w:gridCol w:w="135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项目名称</w:t>
            </w:r>
          </w:p>
        </w:tc>
        <w:tc>
          <w:tcPr>
            <w:tcW w:w="8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风险灾害防治项目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二、预算执行情况</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预算安排情况（调整后）</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资金执行情况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三、目标完成情况</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年度预期目标</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具体完成情况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2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保障开发区消防安全形势稳定</w:t>
            </w:r>
          </w:p>
        </w:tc>
        <w:tc>
          <w:tcPr>
            <w:tcW w:w="38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均达到绩效目标</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年度绩效指标完成情况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Fonts w:hint="default" w:ascii="Times New Roman" w:hAnsi="Times New Roman" w:eastAsia="宋体" w:cs="Times New Roman"/>
                <w:i w:val="0"/>
                <w:iCs w:val="0"/>
                <w:color w:val="000000"/>
                <w:kern w:val="0"/>
                <w:sz w:val="22"/>
                <w:szCs w:val="22"/>
                <w:u w:val="none"/>
                <w:lang w:val="en-US" w:eastAsia="zh-CN" w:bidi="ar"/>
              </w:rPr>
              <w:t xml:space="preserve">        (50)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国有自持物业建筑物的消防功能恢复、运营中心建设和物联网建设数量</w:t>
            </w:r>
          </w:p>
        </w:tc>
        <w:tc>
          <w:tcPr>
            <w:tcW w:w="138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对企业实时监控情况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对企业实时预警情况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隐患提醒情况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控制在预算资金范围内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消防安全形势对经济的影响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经济平稳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经济总量平稳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灾害预警情况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开发区消防安全形势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开发区消防安全形势稳定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消防安全形势稳定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预算执行是否达到</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以上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五、存在问题、原因及下一步整改措施。</w:t>
            </w:r>
          </w:p>
        </w:tc>
        <w:tc>
          <w:tcPr>
            <w:tcW w:w="8910"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2023</w:t>
            </w:r>
            <w:r>
              <w:rPr>
                <w:rFonts w:hint="eastAsia" w:ascii="宋体" w:hAnsi="宋体" w:eastAsia="宋体" w:cs="宋体"/>
                <w:i w:val="0"/>
                <w:iCs w:val="0"/>
                <w:color w:val="000000"/>
                <w:kern w:val="0"/>
                <w:sz w:val="22"/>
                <w:szCs w:val="22"/>
                <w:u w:val="none"/>
                <w:lang w:val="en-US" w:eastAsia="zh-CN" w:bidi="ar"/>
              </w:rPr>
              <w:t>年，整体绩效自评为优。在今后的工作中，我局在制定预算资金方案前，认真做好每个项目的预测和绩效目标分析，及时向领导通报资金使用情况，以便及时作出调整，实现项目资金利用效率最大化。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项目名称</w:t>
            </w:r>
          </w:p>
        </w:tc>
        <w:tc>
          <w:tcPr>
            <w:tcW w:w="8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化工园区智能管控项目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二、预算执行情况</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预算安排情况（调整后）</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资金执行情况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三、目标完成情况</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年度预期目标</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具体完成情况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保障开发区化工园区、工贸企业安全生产监管形势稳定</w:t>
            </w:r>
          </w:p>
        </w:tc>
        <w:tc>
          <w:tcPr>
            <w:tcW w:w="38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均达到绩效目标</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年度绩效指标完成情况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Fonts w:hint="default" w:ascii="Times New Roman" w:hAnsi="Times New Roman" w:eastAsia="宋体" w:cs="Times New Roman"/>
                <w:i w:val="0"/>
                <w:iCs w:val="0"/>
                <w:color w:val="000000"/>
                <w:kern w:val="0"/>
                <w:sz w:val="22"/>
                <w:szCs w:val="22"/>
                <w:u w:val="none"/>
                <w:lang w:val="en-US" w:eastAsia="zh-CN" w:bidi="ar"/>
              </w:rPr>
              <w:t xml:space="preserve">        (50)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管控重点企业数量</w:t>
            </w:r>
          </w:p>
        </w:tc>
        <w:tc>
          <w:tcPr>
            <w:tcW w:w="138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管控信号质量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管控效果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控制在预算资金范围内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智能化管控对经济的影响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经济平稳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经济总量平稳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应急管理形势稳定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应急管理形势稳定情况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开发区应急管理形势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开发区应急管理形势稳定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预算执行是否达到</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以上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五、存在问题、原因及下一步整改措施。</w:t>
            </w:r>
          </w:p>
        </w:tc>
        <w:tc>
          <w:tcPr>
            <w:tcW w:w="8910"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2023</w:t>
            </w:r>
            <w:r>
              <w:rPr>
                <w:rFonts w:hint="eastAsia" w:ascii="宋体" w:hAnsi="宋体" w:eastAsia="宋体" w:cs="宋体"/>
                <w:i w:val="0"/>
                <w:iCs w:val="0"/>
                <w:color w:val="000000"/>
                <w:kern w:val="0"/>
                <w:sz w:val="22"/>
                <w:szCs w:val="22"/>
                <w:u w:val="none"/>
                <w:lang w:val="en-US" w:eastAsia="zh-CN" w:bidi="ar"/>
              </w:rPr>
              <w:t>年，整体绩效自评为优。在今后的工作中，我局在制定预算资金方案前，认真做好每个项目的预测和绩效目标分析，及时向领导通报资金使用情况，以便及时作出调整，实现项目资金利用效率最大化。</w:t>
            </w:r>
          </w:p>
        </w:tc>
      </w:tr>
    </w:tbl>
    <w:p>
      <w:pPr>
        <w:adjustRightInd w:val="0"/>
        <w:snapToGrid w:val="0"/>
        <w:spacing w:line="580" w:lineRule="exact"/>
        <w:rPr>
          <w:rFonts w:hint="eastAsia" w:ascii="仿宋_GB2312" w:hAnsi="仿宋_GB2312" w:eastAsia="仿宋_GB2312" w:cs="仿宋_GB2312"/>
          <w:b/>
          <w:bCs/>
          <w:sz w:val="32"/>
          <w:szCs w:val="32"/>
        </w:rPr>
      </w:pPr>
    </w:p>
    <w:p>
      <w:pPr>
        <w:numPr>
          <w:ilvl w:val="0"/>
          <w:numId w:val="2"/>
        </w:numPr>
        <w:adjustRightInd w:val="0"/>
        <w:snapToGrid w:val="0"/>
        <w:spacing w:line="580" w:lineRule="exact"/>
        <w:ind w:left="420" w:leftChars="20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部门评价项目绩效评价结果</w:t>
      </w:r>
    </w:p>
    <w:p>
      <w:pPr>
        <w:widowControl/>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kern w:val="0"/>
          <w:sz w:val="32"/>
          <w:szCs w:val="32"/>
          <w:lang w:val="en-US" w:eastAsia="zh-CN"/>
        </w:rPr>
        <w:t>车辆租赁</w:t>
      </w:r>
      <w:r>
        <w:rPr>
          <w:rFonts w:hint="eastAsia" w:ascii="方正小标宋简体" w:hAnsi="方正小标宋简体" w:eastAsia="方正小标宋简体" w:cs="方正小标宋简体"/>
          <w:bCs/>
          <w:kern w:val="0"/>
          <w:sz w:val="32"/>
          <w:szCs w:val="32"/>
        </w:rPr>
        <w:t>支出绩效评价报告</w:t>
      </w: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exact"/>
        <w:ind w:firstLine="640" w:firstLineChars="200"/>
        <w:outlineLvl w:val="0"/>
        <w:rPr>
          <w:rFonts w:hint="default" w:ascii="仿宋_GB2312" w:eastAsia="仿宋_GB2312"/>
          <w:sz w:val="32"/>
          <w:szCs w:val="32"/>
          <w:lang w:val="en-US"/>
        </w:rPr>
      </w:pPr>
      <w:r>
        <w:rPr>
          <w:rFonts w:hint="eastAsia" w:ascii="仿宋_GB2312" w:eastAsia="仿宋_GB2312"/>
          <w:sz w:val="32"/>
          <w:szCs w:val="32"/>
        </w:rPr>
        <w:t>（一）项目概况。</w:t>
      </w:r>
      <w:r>
        <w:rPr>
          <w:rFonts w:hint="eastAsia" w:ascii="仿宋" w:hAnsi="仿宋" w:eastAsia="仿宋"/>
          <w:sz w:val="32"/>
          <w:szCs w:val="32"/>
          <w:lang w:val="en-US" w:eastAsia="zh-CN"/>
        </w:rPr>
        <w:t>我局租用唐山港隆汽车租赁有限公司</w:t>
      </w:r>
      <w:r>
        <w:rPr>
          <w:rFonts w:hint="eastAsia" w:ascii="宋体" w:hAnsi="宋体" w:eastAsia="宋体" w:cs="宋体"/>
          <w:sz w:val="32"/>
          <w:szCs w:val="32"/>
          <w:lang w:val="en-US" w:eastAsia="zh-CN"/>
        </w:rPr>
        <w:t>2</w:t>
      </w:r>
      <w:r>
        <w:rPr>
          <w:rFonts w:hint="eastAsia" w:ascii="仿宋" w:hAnsi="仿宋" w:eastAsia="仿宋"/>
          <w:sz w:val="32"/>
          <w:szCs w:val="32"/>
          <w:lang w:val="en-US" w:eastAsia="zh-CN"/>
        </w:rPr>
        <w:t>辆，作为执法用车用于日常检查和事故调查。共计</w:t>
      </w:r>
      <w:r>
        <w:rPr>
          <w:rFonts w:hint="eastAsia" w:ascii="宋体" w:hAnsi="宋体" w:eastAsia="宋体" w:cs="宋体"/>
          <w:sz w:val="32"/>
          <w:szCs w:val="32"/>
          <w:lang w:val="en-US" w:eastAsia="zh-CN"/>
        </w:rPr>
        <w:t>8</w:t>
      </w:r>
      <w:r>
        <w:rPr>
          <w:rFonts w:hint="eastAsia" w:ascii="仿宋" w:hAnsi="仿宋" w:eastAsia="仿宋"/>
          <w:sz w:val="32"/>
          <w:szCs w:val="32"/>
          <w:lang w:val="en-US" w:eastAsia="zh-CN"/>
        </w:rPr>
        <w:t>万元。</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（二）项目绩效目标。</w:t>
      </w:r>
      <w:r>
        <w:rPr>
          <w:rFonts w:hint="eastAsia" w:ascii="仿宋_GB2312" w:eastAsia="仿宋_GB2312"/>
          <w:sz w:val="32"/>
          <w:szCs w:val="32"/>
          <w:lang w:eastAsia="zh-CN"/>
        </w:rPr>
        <w:t>确保开发区安监工作执法用车及时到位。事故调查用车及时到位。</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为确保开发区安监工作顺利进行，我局</w:t>
      </w:r>
      <w:r>
        <w:rPr>
          <w:rFonts w:hint="eastAsia" w:ascii="仿宋" w:hAnsi="仿宋" w:eastAsia="仿宋"/>
          <w:sz w:val="32"/>
          <w:szCs w:val="32"/>
          <w:lang w:val="en-US" w:eastAsia="zh-CN"/>
        </w:rPr>
        <w:t>租用唐山港隆汽车租赁有限公司2辆，作为执法用车用于日常检查和事故调查。共计8万元。</w:t>
      </w:r>
      <w:r>
        <w:rPr>
          <w:rFonts w:hint="eastAsia" w:ascii="仿宋_GB2312" w:eastAsia="仿宋_GB2312"/>
          <w:sz w:val="32"/>
          <w:szCs w:val="32"/>
          <w:lang w:eastAsia="zh-CN"/>
        </w:rPr>
        <w:t>我局选用的评价方法是比较统计法，通过检查核实相关资料等方式，对工作成效进行检查核实，年度绩效目标总体完成情况良好，项目自评</w:t>
      </w:r>
      <w:r>
        <w:rPr>
          <w:rFonts w:hint="eastAsia" w:ascii="宋体" w:hAnsi="宋体" w:eastAsia="宋体" w:cs="宋体"/>
          <w:sz w:val="32"/>
          <w:szCs w:val="32"/>
          <w:lang w:val="en-US" w:eastAsia="zh-CN"/>
        </w:rPr>
        <w:t>100</w:t>
      </w:r>
      <w:r>
        <w:rPr>
          <w:rFonts w:hint="eastAsia" w:ascii="仿宋_GB2312" w:eastAsia="仿宋_GB2312"/>
          <w:sz w:val="32"/>
          <w:szCs w:val="32"/>
          <w:lang w:val="en-US" w:eastAsia="zh-CN"/>
        </w:rPr>
        <w:t>分，</w:t>
      </w:r>
      <w:r>
        <w:rPr>
          <w:rFonts w:hint="eastAsia" w:ascii="仿宋_GB2312" w:eastAsia="仿宋_GB2312"/>
          <w:sz w:val="32"/>
          <w:szCs w:val="32"/>
          <w:lang w:eastAsia="zh-CN"/>
        </w:rPr>
        <w:t>等级优秀。</w:t>
      </w:r>
    </w:p>
    <w:p>
      <w:pPr>
        <w:spacing w:line="600" w:lineRule="exact"/>
        <w:ind w:firstLine="640" w:firstLineChars="200"/>
        <w:rPr>
          <w:rFonts w:eastAsia="黑体"/>
          <w:sz w:val="32"/>
          <w:szCs w:val="32"/>
        </w:rPr>
      </w:pPr>
      <w:r>
        <w:rPr>
          <w:rFonts w:hint="eastAsia" w:eastAsia="黑体"/>
          <w:sz w:val="32"/>
          <w:szCs w:val="32"/>
        </w:rPr>
        <w:t>三、综合评价情况及绩效评价指标分析</w:t>
      </w:r>
    </w:p>
    <w:p>
      <w:pPr>
        <w:spacing w:line="600" w:lineRule="exact"/>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根据已签订的汽车租赁合同，在合同期限内，获得执法用车的使用，为执法人员提供执法用车，助力开发区安监工作的顺利开展。</w:t>
      </w:r>
      <w:r>
        <w:rPr>
          <w:rFonts w:hint="eastAsia" w:ascii="仿宋_GB2312" w:eastAsia="仿宋_GB2312"/>
          <w:sz w:val="32"/>
          <w:szCs w:val="32"/>
          <w:lang w:eastAsia="zh-CN"/>
        </w:rPr>
        <w:t>为进一步提高执法质量，提高财政资金使用效率，车辆租赁项目预算资金</w:t>
      </w:r>
      <w:r>
        <w:rPr>
          <w:rFonts w:hint="eastAsia" w:ascii="仿宋_GB2312" w:eastAsia="仿宋_GB2312"/>
          <w:sz w:val="32"/>
          <w:szCs w:val="32"/>
          <w:lang w:val="en-US" w:eastAsia="zh-CN"/>
        </w:rPr>
        <w:t>8万元，实际安排资金8万元，实际到位资金8万元，实际使用资金8万元。我局执法用车数量到位，执法质量良好，车辆租赁费用均在预算范围内。在安监执法过程中，未对生态环境产生不良影响，开发区安监形势持续稳定发展。服务对象满意度均为满意。</w:t>
      </w:r>
    </w:p>
    <w:p>
      <w:pPr>
        <w:numPr>
          <w:ilvl w:val="0"/>
          <w:numId w:val="3"/>
        </w:numPr>
        <w:adjustRightInd w:val="0"/>
        <w:snapToGrid w:val="0"/>
        <w:spacing w:line="570" w:lineRule="exact"/>
        <w:ind w:left="0" w:leftChars="0" w:firstLine="640" w:firstLineChars="200"/>
        <w:rPr>
          <w:rFonts w:hint="eastAsia" w:eastAsia="黑体"/>
          <w:sz w:val="32"/>
          <w:szCs w:val="32"/>
        </w:rPr>
      </w:pPr>
      <w:r>
        <w:rPr>
          <w:rFonts w:hint="eastAsia" w:eastAsia="黑体"/>
          <w:sz w:val="32"/>
          <w:szCs w:val="32"/>
        </w:rPr>
        <w:t>主要经验及做法、存在的问题及原因分析</w:t>
      </w:r>
    </w:p>
    <w:p>
      <w:pPr>
        <w:numPr>
          <w:ilvl w:val="0"/>
          <w:numId w:val="0"/>
        </w:numPr>
        <w:adjustRightInd w:val="0"/>
        <w:snapToGrid w:val="0"/>
        <w:spacing w:line="570" w:lineRule="exact"/>
        <w:ind w:leftChars="200"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由于我局</w:t>
      </w:r>
      <w:r>
        <w:rPr>
          <w:rFonts w:hint="eastAsia" w:ascii="宋体" w:hAnsi="宋体" w:eastAsia="宋体" w:cs="宋体"/>
          <w:sz w:val="32"/>
          <w:szCs w:val="32"/>
          <w:lang w:val="en-US" w:eastAsia="zh-CN"/>
        </w:rPr>
        <w:t>2023</w:t>
      </w:r>
      <w:r>
        <w:rPr>
          <w:rFonts w:hint="eastAsia" w:ascii="方正仿宋简体" w:hAnsi="方正仿宋简体" w:eastAsia="方正仿宋简体" w:cs="方正仿宋简体"/>
          <w:sz w:val="32"/>
          <w:szCs w:val="32"/>
          <w:lang w:val="en-US" w:eastAsia="zh-CN"/>
        </w:rPr>
        <w:t>年业务量骤增，并入疫情防控等业务，安全执法用车增加，导致我局在安监执法过程中，用车紧张，车辆老化严重，维修费用增加，已经影响安全生产执法的顺利进行。我局需要增加执法用车数量，现在沟通协调中。</w:t>
      </w:r>
    </w:p>
    <w:p>
      <w:pPr>
        <w:widowControl/>
        <w:spacing w:line="600" w:lineRule="exact"/>
        <w:ind w:firstLine="2240" w:firstLineChars="700"/>
        <w:jc w:val="both"/>
        <w:rPr>
          <w:rFonts w:ascii="仿宋_GB2312" w:eastAsia="仿宋_GB2312"/>
          <w:sz w:val="32"/>
          <w:szCs w:val="32"/>
        </w:rPr>
      </w:pPr>
      <w:r>
        <w:rPr>
          <w:rFonts w:hint="eastAsia" w:ascii="方正小标宋简体" w:hAnsi="方正小标宋简体" w:eastAsia="方正小标宋简体" w:cs="方正小标宋简体"/>
          <w:bCs/>
          <w:kern w:val="0"/>
          <w:sz w:val="32"/>
          <w:szCs w:val="32"/>
          <w:lang w:eastAsia="zh-CN"/>
        </w:rPr>
        <w:t>安全生产项目</w:t>
      </w:r>
      <w:r>
        <w:rPr>
          <w:rFonts w:hint="eastAsia" w:ascii="方正小标宋简体" w:hAnsi="方正小标宋简体" w:eastAsia="方正小标宋简体" w:cs="方正小标宋简体"/>
          <w:bCs/>
          <w:kern w:val="0"/>
          <w:sz w:val="32"/>
          <w:szCs w:val="32"/>
        </w:rPr>
        <w:t>支出绩效评价报告</w:t>
      </w:r>
    </w:p>
    <w:p>
      <w:pPr>
        <w:spacing w:line="600" w:lineRule="exact"/>
        <w:ind w:firstLine="640" w:firstLineChars="200"/>
        <w:rPr>
          <w:rFonts w:eastAsia="黑体"/>
          <w:sz w:val="32"/>
          <w:szCs w:val="32"/>
        </w:rPr>
      </w:pPr>
      <w:r>
        <w:rPr>
          <w:rFonts w:hint="eastAsia" w:eastAsia="黑体"/>
          <w:sz w:val="32"/>
          <w:szCs w:val="32"/>
        </w:rPr>
        <w:t>一、基本情况</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仿宋_GB2312" w:eastAsia="仿宋_GB2312"/>
          <w:sz w:val="32"/>
          <w:szCs w:val="32"/>
        </w:rPr>
        <w:t>（一）项目概况。</w:t>
      </w:r>
      <w:r>
        <w:rPr>
          <w:rFonts w:hint="eastAsia" w:eastAsia="仿宋_GB2312" w:cs="Times New Roman"/>
          <w:sz w:val="32"/>
          <w:szCs w:val="32"/>
          <w:lang w:val="en-US" w:eastAsia="zh-CN"/>
        </w:rPr>
        <w:t>为进一步落实安全生产行政执法责任，严厉打击安全生产领域违法违规行为，及时排查和整改各类事故隐患，有效防范各类事故的发生，推动安全生产形势持续稳定好转。为经济社会健康发展营造良好的安全生产环境。我局按照要求，强化绩效理念，提高财政资金使用效益。</w:t>
      </w:r>
      <w:r>
        <w:rPr>
          <w:rFonts w:hint="eastAsia" w:ascii="宋体" w:hAnsi="宋体" w:eastAsia="宋体" w:cs="宋体"/>
          <w:sz w:val="32"/>
          <w:szCs w:val="32"/>
          <w:lang w:val="en-US" w:eastAsia="zh-CN"/>
        </w:rPr>
        <w:t>2022</w:t>
      </w:r>
      <w:r>
        <w:rPr>
          <w:rFonts w:hint="eastAsia" w:eastAsia="仿宋_GB2312" w:cs="Times New Roman"/>
          <w:sz w:val="32"/>
          <w:szCs w:val="32"/>
          <w:lang w:val="en-US" w:eastAsia="zh-CN"/>
        </w:rPr>
        <w:t>年度安全生产项目资金预算共计</w:t>
      </w:r>
      <w:r>
        <w:rPr>
          <w:rFonts w:hint="eastAsia" w:ascii="宋体" w:hAnsi="宋体" w:eastAsia="宋体" w:cs="宋体"/>
          <w:sz w:val="32"/>
          <w:szCs w:val="32"/>
          <w:lang w:val="en-US" w:eastAsia="zh-CN"/>
        </w:rPr>
        <w:t>296.83</w:t>
      </w:r>
      <w:r>
        <w:rPr>
          <w:rFonts w:hint="eastAsia" w:ascii="Times New Roman" w:hAnsi="Times New Roman" w:eastAsia="仿宋_GB2312" w:cs="Times New Roman"/>
          <w:sz w:val="32"/>
          <w:szCs w:val="32"/>
          <w:lang w:val="en-US" w:eastAsia="zh-CN"/>
        </w:rPr>
        <w:t>万元</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（二）项目绩效目标。</w:t>
      </w:r>
      <w:r>
        <w:rPr>
          <w:rFonts w:hint="eastAsia" w:ascii="宋体" w:hAnsi="宋体" w:eastAsia="宋体" w:cs="宋体"/>
          <w:sz w:val="32"/>
          <w:szCs w:val="32"/>
          <w:lang w:val="en-US" w:eastAsia="zh-CN"/>
        </w:rPr>
        <w:t>2023</w:t>
      </w:r>
      <w:r>
        <w:rPr>
          <w:rFonts w:hint="eastAsia" w:ascii="仿宋_GB2312" w:eastAsia="仿宋_GB2312"/>
          <w:sz w:val="32"/>
          <w:szCs w:val="32"/>
          <w:lang w:val="en-US" w:eastAsia="zh-CN"/>
        </w:rPr>
        <w:t>年度安委会日常工作的运行，组织协调全区专项检查，事故调查，严厉打击安全生产领域的违法违规行为，接待上级部门督导检查，在开发区内组织安全生产宣传教育活动，为经济社会健康、快速、高质量发展营造良好的安全生产环境。</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我局安全生产项目总预算</w:t>
      </w:r>
      <w:r>
        <w:rPr>
          <w:rFonts w:hint="eastAsia" w:eastAsia="仿宋_GB2312" w:cs="Times New Roman"/>
          <w:sz w:val="32"/>
          <w:szCs w:val="32"/>
          <w:lang w:val="en-US" w:eastAsia="zh-CN"/>
        </w:rPr>
        <w:t>296.83</w:t>
      </w:r>
      <w:r>
        <w:rPr>
          <w:rFonts w:hint="eastAsia" w:ascii="仿宋_GB2312" w:eastAsia="仿宋_GB2312"/>
          <w:sz w:val="32"/>
          <w:szCs w:val="32"/>
          <w:lang w:val="en-US" w:eastAsia="zh-CN"/>
        </w:rPr>
        <w:t>万元，实际支出</w:t>
      </w:r>
      <w:r>
        <w:rPr>
          <w:rFonts w:hint="eastAsia" w:eastAsia="仿宋_GB2312" w:cs="Times New Roman"/>
          <w:sz w:val="32"/>
          <w:szCs w:val="32"/>
          <w:lang w:val="en-US" w:eastAsia="zh-CN"/>
        </w:rPr>
        <w:t>296.83</w:t>
      </w:r>
      <w:r>
        <w:rPr>
          <w:rFonts w:hint="eastAsia" w:ascii="仿宋_GB2312" w:eastAsia="仿宋_GB2312"/>
          <w:sz w:val="32"/>
          <w:szCs w:val="32"/>
          <w:lang w:val="en-US" w:eastAsia="zh-CN"/>
        </w:rPr>
        <w:t>万元，资金使用符合规定，项目产出情况良好，各项指标均达优秀。</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安全生产项目服务企业数量达标，完成质量良好，安全生产大检查完成率、专项督导完成率、安全生产目标管理优秀单位和个人奖金发放率、第三方安全服务完成率均达到</w:t>
      </w:r>
      <w:r>
        <w:rPr>
          <w:rFonts w:hint="eastAsia" w:ascii="宋体" w:hAnsi="宋体" w:eastAsia="宋体" w:cs="宋体"/>
          <w:sz w:val="32"/>
          <w:szCs w:val="32"/>
          <w:lang w:val="en-US" w:eastAsia="zh-CN"/>
        </w:rPr>
        <w:t>100%，</w:t>
      </w:r>
      <w:r>
        <w:rPr>
          <w:rFonts w:hint="eastAsia" w:ascii="方正仿宋简体" w:hAnsi="方正仿宋简体" w:eastAsia="方正仿宋简体" w:cs="方正仿宋简体"/>
          <w:sz w:val="32"/>
          <w:szCs w:val="32"/>
          <w:lang w:val="en-US" w:eastAsia="zh-CN"/>
        </w:rPr>
        <w:t>完成成本与预算资金一致，均在预算范围内。提高了生产企业安全生产管理防范安全生产事故的能力，营造了良好的安全生产氛围，社会效益明显。职工满意度调查满意率</w:t>
      </w:r>
      <w:r>
        <w:rPr>
          <w:rFonts w:hint="eastAsia" w:ascii="宋体" w:hAnsi="宋体" w:eastAsia="宋体" w:cs="宋体"/>
          <w:sz w:val="32"/>
          <w:szCs w:val="32"/>
          <w:lang w:val="en-US" w:eastAsia="zh-CN"/>
        </w:rPr>
        <w:t>100%。</w:t>
      </w:r>
    </w:p>
    <w:p>
      <w:pPr>
        <w:spacing w:line="600"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五、存在问题与改进措施</w:t>
      </w:r>
    </w:p>
    <w:p>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一是工作机制及绩效日常评估机制进一步完善。而是主观色彩比较强。从根本上说，更多地采用主观评价方法，评价结论容易带主观色彩。</w:t>
      </w:r>
    </w:p>
    <w:p>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进措施：一是加强领导，落实责任。明确职责，精心组织项目实施，采取有力措施，确保项目成效。二是做好前期准备工作。根据设定的绩效目标，严格依据项目文件、相关财务佐证材料对绩效目标目标完成情况进行综合评价。</w:t>
      </w:r>
    </w:p>
    <w:p>
      <w:pPr>
        <w:widowControl/>
        <w:spacing w:line="600" w:lineRule="exact"/>
        <w:ind w:firstLine="1600" w:firstLineChars="5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kern w:val="0"/>
          <w:sz w:val="32"/>
          <w:szCs w:val="32"/>
          <w:lang w:val="en-US" w:eastAsia="zh-CN"/>
        </w:rPr>
        <w:t>安全生产智能管控</w:t>
      </w:r>
      <w:r>
        <w:rPr>
          <w:rFonts w:hint="eastAsia" w:ascii="方正小标宋简体" w:hAnsi="方正小标宋简体" w:eastAsia="方正小标宋简体" w:cs="方正小标宋简体"/>
          <w:bCs/>
          <w:kern w:val="0"/>
          <w:sz w:val="32"/>
          <w:szCs w:val="32"/>
          <w:lang w:eastAsia="zh-CN"/>
        </w:rPr>
        <w:t>项目</w:t>
      </w:r>
      <w:r>
        <w:rPr>
          <w:rFonts w:hint="eastAsia" w:ascii="方正小标宋简体" w:hAnsi="方正小标宋简体" w:eastAsia="方正小标宋简体" w:cs="方正小标宋简体"/>
          <w:bCs/>
          <w:kern w:val="0"/>
          <w:sz w:val="32"/>
          <w:szCs w:val="32"/>
        </w:rPr>
        <w:t>支出绩效评价报告</w:t>
      </w:r>
    </w:p>
    <w:p>
      <w:pPr>
        <w:spacing w:line="600" w:lineRule="exact"/>
        <w:ind w:firstLine="640" w:firstLineChars="200"/>
        <w:rPr>
          <w:rFonts w:eastAsia="黑体"/>
          <w:sz w:val="32"/>
          <w:szCs w:val="32"/>
        </w:rPr>
      </w:pPr>
      <w:r>
        <w:rPr>
          <w:rFonts w:hint="eastAsia" w:eastAsia="黑体"/>
          <w:sz w:val="32"/>
          <w:szCs w:val="32"/>
        </w:rPr>
        <w:t>一、基本情况</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仿宋_GB2312" w:eastAsia="仿宋_GB2312"/>
          <w:sz w:val="32"/>
          <w:szCs w:val="32"/>
        </w:rPr>
        <w:t>（一）项目概况。</w:t>
      </w:r>
      <w:r>
        <w:rPr>
          <w:rFonts w:hint="default" w:ascii="Times New Roman" w:hAnsi="Times New Roman" w:eastAsia="方正仿宋简体" w:cs="Times New Roman"/>
          <w:sz w:val="32"/>
          <w:szCs w:val="32"/>
          <w:lang w:val="en-US" w:eastAsia="zh-CN"/>
        </w:rPr>
        <w:t>为提高区内应急救援水平，</w:t>
      </w:r>
      <w:r>
        <w:rPr>
          <w:rFonts w:hint="eastAsia" w:ascii="Times New Roman" w:hAnsi="Times New Roman" w:eastAsia="方正仿宋简体" w:cs="Times New Roman"/>
          <w:sz w:val="32"/>
          <w:szCs w:val="32"/>
          <w:lang w:val="en-US" w:eastAsia="zh-CN"/>
        </w:rPr>
        <w:t>为企业提供快捷高效服务</w:t>
      </w:r>
      <w:r>
        <w:rPr>
          <w:rFonts w:hint="eastAsia" w:ascii="仿宋_GB2312" w:hAnsi="仿宋" w:eastAsia="仿宋_GB2312" w:cs="仿宋"/>
          <w:color w:val="000000"/>
          <w:sz w:val="32"/>
          <w:szCs w:val="32"/>
          <w:lang w:val="en-US" w:eastAsia="zh-CN"/>
        </w:rPr>
        <w:t>，助企纾困，指导工业区内企业做好应对安全生产、疫情防控、自然灾害等突发事件和综合防灾减灾工作，协调工业区内社会治安综合治理工作，维护辖区社会稳定，共计预算1675.79万元。</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（二）项目绩效目标。</w:t>
      </w:r>
      <w:r>
        <w:rPr>
          <w:rFonts w:hint="eastAsia" w:ascii="仿宋_GB2312" w:eastAsia="仿宋_GB2312"/>
          <w:sz w:val="32"/>
          <w:szCs w:val="32"/>
          <w:lang w:eastAsia="zh-CN"/>
        </w:rPr>
        <w:t>完善应急救援基础装备建设，不断提</w:t>
      </w:r>
      <w:r>
        <w:rPr>
          <w:rFonts w:hint="eastAsia" w:ascii="仿宋_GB2312" w:eastAsia="仿宋_GB2312"/>
          <w:sz w:val="32"/>
          <w:szCs w:val="32"/>
          <w:lang w:val="en-US" w:eastAsia="zh-CN"/>
        </w:rPr>
        <w:t>升</w:t>
      </w:r>
      <w:r>
        <w:rPr>
          <w:rFonts w:hint="eastAsia" w:ascii="仿宋_GB2312" w:eastAsia="仿宋_GB2312"/>
          <w:sz w:val="32"/>
          <w:szCs w:val="32"/>
          <w:lang w:eastAsia="zh-CN"/>
        </w:rPr>
        <w:t>我区</w:t>
      </w:r>
      <w:r>
        <w:rPr>
          <w:rFonts w:hint="eastAsia" w:ascii="仿宋_GB2312" w:eastAsia="仿宋_GB2312"/>
          <w:sz w:val="32"/>
          <w:szCs w:val="32"/>
          <w:lang w:val="en-US" w:eastAsia="zh-CN"/>
        </w:rPr>
        <w:t>综合</w:t>
      </w:r>
      <w:r>
        <w:rPr>
          <w:rFonts w:hint="eastAsia" w:ascii="仿宋_GB2312" w:eastAsia="仿宋_GB2312"/>
          <w:sz w:val="32"/>
          <w:szCs w:val="32"/>
          <w:lang w:eastAsia="zh-CN"/>
        </w:rPr>
        <w:t>应急救援能力，</w:t>
      </w:r>
      <w:r>
        <w:rPr>
          <w:rFonts w:hint="eastAsia" w:ascii="仿宋_GB2312" w:eastAsia="仿宋_GB2312"/>
          <w:sz w:val="32"/>
          <w:szCs w:val="32"/>
          <w:lang w:val="en-US" w:eastAsia="zh-CN"/>
        </w:rPr>
        <w:t>有效做好公布工业区规划、招商开发、建设等工作，加快提升基础设施建设、进一步推动精细化管理，</w:t>
      </w:r>
      <w:r>
        <w:rPr>
          <w:rFonts w:hint="eastAsia" w:ascii="仿宋_GB2312" w:eastAsia="仿宋_GB2312"/>
          <w:sz w:val="32"/>
          <w:szCs w:val="32"/>
          <w:lang w:eastAsia="zh-CN"/>
        </w:rPr>
        <w:t>保障人民群众的生命财产安全。</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我局应急管理项目支出总预算</w:t>
      </w:r>
      <w:r>
        <w:rPr>
          <w:rFonts w:hint="eastAsia" w:ascii="仿宋_GB2312" w:hAnsi="仿宋" w:eastAsia="仿宋_GB2312" w:cs="仿宋"/>
          <w:color w:val="000000"/>
          <w:sz w:val="32"/>
          <w:szCs w:val="32"/>
          <w:lang w:val="en-US" w:eastAsia="zh-CN"/>
        </w:rPr>
        <w:t>1675.79</w:t>
      </w:r>
      <w:r>
        <w:rPr>
          <w:rFonts w:hint="eastAsia" w:ascii="仿宋_GB2312" w:eastAsia="仿宋_GB2312"/>
          <w:sz w:val="32"/>
          <w:szCs w:val="32"/>
          <w:lang w:val="en-US" w:eastAsia="zh-CN"/>
        </w:rPr>
        <w:t>万元，实际支出1675.79万元，资金使用符合规定，项目产出</w:t>
      </w:r>
      <w:r>
        <w:rPr>
          <w:rFonts w:hint="eastAsia" w:ascii="仿宋_GB2312" w:hAnsi="Times New Roman" w:eastAsia="仿宋_GB2312" w:cs="Times New Roman"/>
          <w:sz w:val="32"/>
          <w:szCs w:val="32"/>
          <w:lang w:val="en-US" w:eastAsia="zh-CN"/>
        </w:rPr>
        <w:t>情况</w:t>
      </w:r>
      <w:r>
        <w:rPr>
          <w:rFonts w:hint="eastAsia" w:ascii="仿宋_GB2312" w:eastAsia="仿宋_GB2312"/>
          <w:sz w:val="32"/>
          <w:szCs w:val="32"/>
          <w:lang w:val="en-US" w:eastAsia="zh-CN"/>
        </w:rPr>
        <w:t>良好，各项指标均达优秀。</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局应急管理服务企业数量达标，服务质量良好，所有的应急事项均已在规定时限内完成，效果良好，取得了良好的社会效益，工业区内社会治安稳定，针对企业各项发展决策指定及时，相关事项完成效果良好，成本与预算资金一致。进一步提高了我区综合应急管理能力。职工满意度调查满意率</w:t>
      </w:r>
      <w:r>
        <w:rPr>
          <w:rFonts w:hint="eastAsia" w:ascii="宋体" w:hAnsi="宋体" w:eastAsia="宋体" w:cs="宋体"/>
          <w:sz w:val="32"/>
          <w:szCs w:val="32"/>
          <w:lang w:val="en-US" w:eastAsia="zh-CN"/>
        </w:rPr>
        <w:t>100%。</w:t>
      </w:r>
    </w:p>
    <w:p>
      <w:pPr>
        <w:widowControl/>
        <w:spacing w:line="600" w:lineRule="exact"/>
        <w:ind w:firstLine="2240" w:firstLineChars="7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kern w:val="0"/>
          <w:sz w:val="32"/>
          <w:szCs w:val="32"/>
          <w:lang w:val="en-US" w:eastAsia="zh-CN"/>
        </w:rPr>
        <w:t>灾害风险防治</w:t>
      </w:r>
      <w:r>
        <w:rPr>
          <w:rFonts w:hint="eastAsia" w:ascii="方正小标宋简体" w:hAnsi="方正小标宋简体" w:eastAsia="方正小标宋简体" w:cs="方正小标宋简体"/>
          <w:bCs/>
          <w:kern w:val="0"/>
          <w:sz w:val="32"/>
          <w:szCs w:val="32"/>
          <w:lang w:eastAsia="zh-CN"/>
        </w:rPr>
        <w:t>项目</w:t>
      </w:r>
      <w:r>
        <w:rPr>
          <w:rFonts w:hint="eastAsia" w:ascii="方正小标宋简体" w:hAnsi="方正小标宋简体" w:eastAsia="方正小标宋简体" w:cs="方正小标宋简体"/>
          <w:bCs/>
          <w:kern w:val="0"/>
          <w:sz w:val="32"/>
          <w:szCs w:val="32"/>
        </w:rPr>
        <w:t>支出绩效评价报告</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eastAsia="黑体"/>
          <w:sz w:val="32"/>
          <w:szCs w:val="32"/>
        </w:rPr>
      </w:pPr>
      <w:r>
        <w:rPr>
          <w:rFonts w:hint="eastAsia"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方正仿宋简体" w:hAnsi="方正仿宋简体" w:eastAsia="方正仿宋简体" w:cs="方正仿宋简体"/>
          <w:sz w:val="32"/>
          <w:szCs w:val="32"/>
        </w:rPr>
      </w:pPr>
      <w:r>
        <w:rPr>
          <w:rFonts w:hint="eastAsia" w:ascii="仿宋_GB2312" w:eastAsia="仿宋_GB2312"/>
          <w:sz w:val="32"/>
          <w:szCs w:val="32"/>
        </w:rPr>
        <w:t>（一）项目概况</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消防社会化</w:t>
      </w:r>
      <w:r>
        <w:rPr>
          <w:rFonts w:hint="eastAsia" w:ascii="方正仿宋简体" w:hAnsi="方正仿宋简体" w:eastAsia="方正仿宋简体" w:cs="方正仿宋简体"/>
          <w:sz w:val="32"/>
          <w:szCs w:val="32"/>
        </w:rPr>
        <w:t>一站式服务项目</w:t>
      </w:r>
      <w:r>
        <w:rPr>
          <w:rFonts w:hint="eastAsia" w:ascii="方正仿宋简体" w:hAnsi="方正仿宋简体" w:eastAsia="方正仿宋简体" w:cs="方正仿宋简体"/>
          <w:sz w:val="32"/>
          <w:szCs w:val="32"/>
          <w:lang w:eastAsia="zh-CN"/>
        </w:rPr>
        <w:t>，是</w:t>
      </w:r>
      <w:r>
        <w:rPr>
          <w:rFonts w:hint="eastAsia" w:ascii="方正仿宋简体" w:hAnsi="方正仿宋简体" w:eastAsia="方正仿宋简体" w:cs="方正仿宋简体"/>
          <w:sz w:val="32"/>
          <w:szCs w:val="32"/>
        </w:rPr>
        <w:t>结合</w:t>
      </w:r>
      <w:r>
        <w:rPr>
          <w:rFonts w:hint="eastAsia" w:ascii="方正仿宋简体" w:hAnsi="方正仿宋简体" w:eastAsia="方正仿宋简体" w:cs="方正仿宋简体"/>
          <w:sz w:val="32"/>
          <w:szCs w:val="32"/>
          <w:lang w:eastAsia="zh-CN"/>
        </w:rPr>
        <w:t>海港经济开发区</w:t>
      </w:r>
      <w:r>
        <w:rPr>
          <w:rFonts w:hint="eastAsia" w:ascii="方正仿宋简体" w:hAnsi="方正仿宋简体" w:eastAsia="方正仿宋简体" w:cs="方正仿宋简体"/>
          <w:sz w:val="32"/>
          <w:szCs w:val="32"/>
        </w:rPr>
        <w:t>化工企业集聚，钢企搬迁，及高层建筑迅猛增长的实际，在全区范围开展“智慧消防”、“智慧安全”建设</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利用物联网、信息化等技术手段对重点企业和社会单位开展消防、安全评估、风险预测、灾情预警工作，实现实时监测、在线预警，从而提升全区安全管理水平。</w:t>
      </w:r>
    </w:p>
    <w:p>
      <w:pPr>
        <w:adjustRightInd w:val="0"/>
        <w:snapToGrid w:val="0"/>
        <w:spacing w:line="600" w:lineRule="exact"/>
        <w:ind w:firstLine="482"/>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为贯彻落实党中央、国务院关于加强防灾减灾工作的决策部署，进一步提高防灾减灾能力，最大程度保障人民群众生命财产安全，</w:t>
      </w:r>
      <w:r>
        <w:rPr>
          <w:rFonts w:hint="eastAsia" w:ascii="宋体" w:hAnsi="宋体" w:eastAsia="宋体" w:cs="宋体"/>
          <w:b w:val="0"/>
          <w:bCs w:val="0"/>
          <w:color w:val="auto"/>
          <w:sz w:val="32"/>
          <w:szCs w:val="32"/>
        </w:rPr>
        <w:t>2016</w:t>
      </w:r>
      <w:r>
        <w:rPr>
          <w:rFonts w:hint="eastAsia" w:ascii="方正仿宋简体" w:hAnsi="方正仿宋简体" w:eastAsia="方正仿宋简体" w:cs="方正仿宋简体"/>
          <w:b w:val="0"/>
          <w:bCs w:val="0"/>
          <w:color w:val="auto"/>
          <w:sz w:val="32"/>
          <w:szCs w:val="32"/>
        </w:rPr>
        <w:t>年</w:t>
      </w:r>
      <w:r>
        <w:rPr>
          <w:rFonts w:hint="eastAsia" w:ascii="宋体" w:hAnsi="宋体" w:eastAsia="宋体" w:cs="宋体"/>
          <w:b w:val="0"/>
          <w:bCs w:val="0"/>
          <w:color w:val="auto"/>
          <w:sz w:val="32"/>
          <w:szCs w:val="32"/>
        </w:rPr>
        <w:t>12</w:t>
      </w:r>
      <w:r>
        <w:rPr>
          <w:rFonts w:hint="eastAsia" w:ascii="方正仿宋简体" w:hAnsi="方正仿宋简体" w:eastAsia="方正仿宋简体" w:cs="方正仿宋简体"/>
          <w:b w:val="0"/>
          <w:bCs w:val="0"/>
          <w:color w:val="auto"/>
          <w:sz w:val="32"/>
          <w:szCs w:val="32"/>
        </w:rPr>
        <w:t>月</w:t>
      </w:r>
      <w:r>
        <w:rPr>
          <w:rFonts w:hint="eastAsia" w:ascii="宋体" w:hAnsi="宋体" w:eastAsia="宋体" w:cs="宋体"/>
          <w:b w:val="0"/>
          <w:bCs w:val="0"/>
          <w:color w:val="auto"/>
          <w:sz w:val="32"/>
          <w:szCs w:val="32"/>
        </w:rPr>
        <w:t>29</w:t>
      </w:r>
      <w:r>
        <w:rPr>
          <w:rFonts w:hint="eastAsia" w:ascii="方正仿宋简体" w:hAnsi="方正仿宋简体" w:eastAsia="方正仿宋简体" w:cs="方正仿宋简体"/>
          <w:b w:val="0"/>
          <w:bCs w:val="0"/>
          <w:color w:val="auto"/>
          <w:sz w:val="32"/>
          <w:szCs w:val="32"/>
        </w:rPr>
        <w:t>日，国务院办公厅印发了《国家综合防灾减灾规划（</w:t>
      </w:r>
      <w:r>
        <w:rPr>
          <w:rFonts w:hint="eastAsia" w:ascii="宋体" w:hAnsi="宋体" w:eastAsia="宋体" w:cs="宋体"/>
          <w:b w:val="0"/>
          <w:bCs w:val="0"/>
          <w:color w:val="auto"/>
          <w:sz w:val="32"/>
          <w:szCs w:val="32"/>
        </w:rPr>
        <w:t>2016-2020</w:t>
      </w:r>
      <w:r>
        <w:rPr>
          <w:rFonts w:hint="eastAsia" w:ascii="方正仿宋简体" w:hAnsi="方正仿宋简体" w:eastAsia="方正仿宋简体" w:cs="方正仿宋简体"/>
          <w:b w:val="0"/>
          <w:bCs w:val="0"/>
          <w:color w:val="auto"/>
          <w:sz w:val="32"/>
          <w:szCs w:val="32"/>
        </w:rPr>
        <w:t>年）》（国办发[</w:t>
      </w:r>
      <w:r>
        <w:rPr>
          <w:rFonts w:hint="eastAsia" w:ascii="宋体" w:hAnsi="宋体" w:eastAsia="宋体" w:cs="宋体"/>
          <w:b w:val="0"/>
          <w:bCs w:val="0"/>
          <w:color w:val="auto"/>
          <w:sz w:val="32"/>
          <w:szCs w:val="32"/>
        </w:rPr>
        <w:t>2016</w:t>
      </w:r>
      <w:r>
        <w:rPr>
          <w:rFonts w:hint="eastAsia" w:ascii="方正仿宋简体" w:hAnsi="方正仿宋简体" w:eastAsia="方正仿宋简体" w:cs="方正仿宋简体"/>
          <w:b w:val="0"/>
          <w:bCs w:val="0"/>
          <w:color w:val="auto"/>
          <w:sz w:val="32"/>
          <w:szCs w:val="32"/>
        </w:rPr>
        <w:t>]</w:t>
      </w:r>
      <w:r>
        <w:rPr>
          <w:rFonts w:hint="eastAsia" w:ascii="宋体" w:hAnsi="宋体" w:eastAsia="宋体" w:cs="宋体"/>
          <w:b w:val="0"/>
          <w:bCs w:val="0"/>
          <w:color w:val="auto"/>
          <w:sz w:val="32"/>
          <w:szCs w:val="32"/>
        </w:rPr>
        <w:t>104</w:t>
      </w:r>
      <w:r>
        <w:rPr>
          <w:rFonts w:hint="eastAsia" w:ascii="方正仿宋简体" w:hAnsi="方正仿宋简体" w:eastAsia="方正仿宋简体" w:cs="方正仿宋简体"/>
          <w:b w:val="0"/>
          <w:bCs w:val="0"/>
          <w:color w:val="auto"/>
          <w:sz w:val="32"/>
          <w:szCs w:val="32"/>
        </w:rPr>
        <w:t>号），明确了规划目标是进一步健全防灾减灾救灾体制机制，将防灾减灾救灾工作纳入各级国民经济和社会发展总体规划，提出开展以县为单位的全国自然灾害风险与减灾能力调查，建设国家自然灾害风险数据库，形成支撑自然灾害风险管理的全要素数据资源体系。完善国家、区域、社区自然灾害综合风险评估指标体系和技术方法，推进自然灾害综合风险评估、隐患排查治理。</w:t>
      </w:r>
    </w:p>
    <w:p>
      <w:pPr>
        <w:pStyle w:val="11"/>
        <w:rPr>
          <w:rFonts w:hint="eastAsia"/>
        </w:rPr>
      </w:pP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为提高区内应急救援水平，每年我局组织区内企业进行应急救援比武大赛，组织各部门完善应急救援方案并开展应急救援演练。</w:t>
      </w:r>
      <w:r>
        <w:rPr>
          <w:rFonts w:hint="eastAsia" w:ascii="仿宋_GB2312" w:hAnsi="仿宋" w:eastAsia="仿宋_GB2312" w:cs="仿宋"/>
          <w:color w:val="000000"/>
          <w:sz w:val="32"/>
          <w:szCs w:val="32"/>
          <w:lang w:val="en-US" w:eastAsia="zh-CN"/>
        </w:rPr>
        <w:t>组织防汛应急救援演练，补充救灾物资储备。</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jc w:val="left"/>
        <w:textAlignment w:val="auto"/>
        <w:rPr>
          <w:rFonts w:hint="default" w:ascii="仿宋_GB2312" w:eastAsia="仿宋_GB2312"/>
          <w:sz w:val="32"/>
          <w:szCs w:val="32"/>
          <w:lang w:val="en-US" w:eastAsia="zh-CN"/>
        </w:rPr>
      </w:pPr>
      <w:r>
        <w:rPr>
          <w:rFonts w:hint="eastAsia" w:ascii="方正仿宋简体" w:hAnsi="方正仿宋简体" w:eastAsia="方正仿宋简体" w:cs="方正仿宋简体"/>
          <w:sz w:val="32"/>
          <w:szCs w:val="32"/>
        </w:rPr>
        <w:t>（二）项目绩效目标。利用物联网、信息化等技术手段对重点企业和社会单位开展消防、安全评估、风险预测、灾情预警工作，实现实时监测、在线预警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有效</w:t>
      </w:r>
      <w:r>
        <w:rPr>
          <w:rFonts w:hint="eastAsia" w:ascii="方正仿宋简体" w:hAnsi="方正仿宋简体" w:eastAsia="方正仿宋简体" w:cs="方正仿宋简体"/>
          <w:sz w:val="32"/>
          <w:szCs w:val="32"/>
        </w:rPr>
        <w:t>提升全区</w:t>
      </w:r>
      <w:r>
        <w:rPr>
          <w:rFonts w:hint="eastAsia" w:ascii="方正仿宋简体" w:hAnsi="方正仿宋简体" w:eastAsia="方正仿宋简体" w:cs="方正仿宋简体"/>
          <w:sz w:val="32"/>
          <w:szCs w:val="32"/>
          <w:lang w:val="en-US" w:eastAsia="zh-CN"/>
        </w:rPr>
        <w:t>消防</w:t>
      </w:r>
      <w:r>
        <w:rPr>
          <w:rFonts w:hint="eastAsia" w:ascii="方正仿宋简体" w:hAnsi="方正仿宋简体" w:eastAsia="方正仿宋简体" w:cs="方正仿宋简体"/>
          <w:sz w:val="32"/>
          <w:szCs w:val="32"/>
        </w:rPr>
        <w:t>安全管理水平</w:t>
      </w:r>
      <w:r>
        <w:rPr>
          <w:rFonts w:hint="eastAsia" w:ascii="方正仿宋简体" w:hAnsi="方正仿宋简体" w:eastAsia="方正仿宋简体" w:cs="方正仿宋简体"/>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eastAsia="黑体"/>
          <w:sz w:val="32"/>
          <w:szCs w:val="32"/>
        </w:rPr>
      </w:pPr>
      <w:r>
        <w:rPr>
          <w:rFonts w:hint="eastAsia" w:eastAsia="黑体"/>
          <w:sz w:val="32"/>
          <w:szCs w:val="32"/>
        </w:rPr>
        <w:t>二、绩效评价工作开展情况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我局</w:t>
      </w:r>
      <w:r>
        <w:rPr>
          <w:rFonts w:hint="eastAsia" w:ascii="仿宋_GB2312" w:eastAsia="仿宋_GB2312"/>
          <w:sz w:val="32"/>
          <w:szCs w:val="32"/>
          <w:lang w:val="en-US" w:eastAsia="zh-CN"/>
        </w:rPr>
        <w:t>灾害风险防治</w:t>
      </w:r>
      <w:r>
        <w:rPr>
          <w:rFonts w:hint="eastAsia" w:ascii="仿宋_GB2312" w:eastAsia="仿宋_GB2312"/>
          <w:sz w:val="32"/>
          <w:szCs w:val="32"/>
          <w:lang w:eastAsia="zh-CN"/>
        </w:rPr>
        <w:t>项目支出总预算</w:t>
      </w:r>
      <w:r>
        <w:rPr>
          <w:rFonts w:hint="eastAsia" w:ascii="仿宋_GB2312" w:eastAsia="仿宋_GB2312"/>
          <w:sz w:val="32"/>
          <w:szCs w:val="32"/>
          <w:lang w:val="en-US" w:eastAsia="zh-CN"/>
        </w:rPr>
        <w:t>728.73万元，实际支出728.73万元，资金使用符合规定，项目产出</w:t>
      </w:r>
      <w:r>
        <w:rPr>
          <w:rFonts w:hint="eastAsia" w:ascii="仿宋_GB2312" w:hAnsi="Times New Roman" w:eastAsia="仿宋_GB2312" w:cs="Times New Roman"/>
          <w:sz w:val="32"/>
          <w:szCs w:val="32"/>
          <w:lang w:val="en-US" w:eastAsia="zh-CN"/>
        </w:rPr>
        <w:t>情况</w:t>
      </w:r>
      <w:r>
        <w:rPr>
          <w:rFonts w:hint="eastAsia" w:ascii="仿宋_GB2312" w:eastAsia="仿宋_GB2312"/>
          <w:sz w:val="32"/>
          <w:szCs w:val="32"/>
          <w:lang w:val="en-US" w:eastAsia="zh-CN"/>
        </w:rPr>
        <w:t>良好，各项指标均达优秀。</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局应急管理应急物资储备数量数量达标，物资质量良好，多有的应急救援演练均已在规定时限内完成，效果良好，取得了良好的社会效益，完成成本与预算资金一致。进一步提高了我区应急救援能力。职工满意度调查满意率</w:t>
      </w:r>
      <w:r>
        <w:rPr>
          <w:rFonts w:hint="eastAsia" w:ascii="宋体" w:hAnsi="宋体" w:eastAsia="宋体" w:cs="宋体"/>
          <w:sz w:val="32"/>
          <w:szCs w:val="32"/>
          <w:lang w:val="en-US" w:eastAsia="zh-CN"/>
        </w:rPr>
        <w:t>100%</w:t>
      </w:r>
      <w:r>
        <w:rPr>
          <w:rFonts w:hint="eastAsia" w:ascii="方正仿宋简体" w:hAnsi="方正仿宋简体" w:eastAsia="方正仿宋简体" w:cs="方正仿宋简体"/>
          <w:sz w:val="32"/>
          <w:szCs w:val="32"/>
          <w:lang w:val="en-US" w:eastAsia="zh-CN"/>
        </w:rPr>
        <w:t>。</w:t>
      </w:r>
    </w:p>
    <w:p>
      <w:pPr>
        <w:adjustRightInd w:val="0"/>
        <w:snapToGrid w:val="0"/>
        <w:spacing w:line="600" w:lineRule="exact"/>
        <w:ind w:firstLine="482"/>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风险灾害防治项目</w:t>
      </w:r>
      <w:r>
        <w:rPr>
          <w:rFonts w:hint="eastAsia" w:ascii="方正仿宋简体" w:hAnsi="方正仿宋简体" w:eastAsia="方正仿宋简体" w:cs="方正仿宋简体"/>
          <w:b w:val="0"/>
          <w:bCs w:val="0"/>
          <w:color w:val="auto"/>
          <w:sz w:val="32"/>
          <w:szCs w:val="32"/>
        </w:rPr>
        <w:t>有助于摸清我区自然灾害风险隐患底数，查明我区重点区域防灾减灾救灾能力，</w:t>
      </w:r>
      <w:r>
        <w:rPr>
          <w:rFonts w:hint="eastAsia" w:eastAsia="仿宋"/>
          <w:kern w:val="0"/>
          <w:sz w:val="32"/>
          <w:szCs w:val="32"/>
          <w:lang w:bidi="ar"/>
        </w:rPr>
        <w:t>提升开发区多灾预警、监测公共服务能力</w:t>
      </w:r>
      <w:r>
        <w:rPr>
          <w:rFonts w:hint="eastAsia" w:eastAsia="仿宋"/>
          <w:kern w:val="0"/>
          <w:sz w:val="32"/>
          <w:szCs w:val="32"/>
          <w:lang w:eastAsia="zh-CN" w:bidi="ar"/>
        </w:rPr>
        <w:t>、</w:t>
      </w:r>
      <w:r>
        <w:rPr>
          <w:rFonts w:hint="eastAsia" w:ascii="方正仿宋简体" w:hAnsi="方正仿宋简体" w:eastAsia="方正仿宋简体" w:cs="方正仿宋简体"/>
          <w:b w:val="0"/>
          <w:bCs w:val="0"/>
          <w:color w:val="auto"/>
          <w:sz w:val="32"/>
          <w:szCs w:val="32"/>
        </w:rPr>
        <w:t>客观认识我区自然灾害综合风险水平。为我区有效开展自然灾害防治工作、保障经济社会可持续发展提供权威的灾害风险信息和科学决策依据。</w:t>
      </w:r>
    </w:p>
    <w:p>
      <w:pPr>
        <w:widowControl/>
        <w:spacing w:line="600" w:lineRule="exact"/>
        <w:ind w:firstLine="2240" w:firstLineChars="700"/>
        <w:jc w:val="both"/>
        <w:rPr>
          <w:rFonts w:ascii="仿宋_GB2312" w:eastAsia="仿宋_GB2312"/>
          <w:sz w:val="32"/>
          <w:szCs w:val="32"/>
        </w:rPr>
      </w:pPr>
      <w:r>
        <w:rPr>
          <w:rFonts w:hint="eastAsia" w:ascii="方正小标宋简体" w:hAnsi="方正小标宋简体" w:eastAsia="方正小标宋简体" w:cs="方正小标宋简体"/>
          <w:bCs/>
          <w:kern w:val="0"/>
          <w:sz w:val="32"/>
          <w:szCs w:val="32"/>
          <w:lang w:val="en-US" w:eastAsia="zh-CN"/>
        </w:rPr>
        <w:t>疫情防控</w:t>
      </w:r>
      <w:r>
        <w:rPr>
          <w:rFonts w:hint="eastAsia" w:ascii="方正小标宋简体" w:hAnsi="方正小标宋简体" w:eastAsia="方正小标宋简体" w:cs="方正小标宋简体"/>
          <w:bCs/>
          <w:kern w:val="0"/>
          <w:sz w:val="32"/>
          <w:szCs w:val="32"/>
          <w:lang w:eastAsia="zh-CN"/>
        </w:rPr>
        <w:t>项目</w:t>
      </w:r>
      <w:r>
        <w:rPr>
          <w:rFonts w:hint="eastAsia" w:ascii="方正小标宋简体" w:hAnsi="方正小标宋简体" w:eastAsia="方正小标宋简体" w:cs="方正小标宋简体"/>
          <w:bCs/>
          <w:kern w:val="0"/>
          <w:sz w:val="32"/>
          <w:szCs w:val="32"/>
        </w:rPr>
        <w:t>支出绩效评价报告</w:t>
      </w:r>
    </w:p>
    <w:p>
      <w:pPr>
        <w:spacing w:line="600" w:lineRule="exact"/>
        <w:ind w:firstLine="640" w:firstLineChars="200"/>
        <w:rPr>
          <w:rFonts w:eastAsia="黑体"/>
          <w:sz w:val="32"/>
          <w:szCs w:val="32"/>
        </w:rPr>
      </w:pPr>
      <w:r>
        <w:rPr>
          <w:rFonts w:hint="eastAsia" w:eastAsia="黑体"/>
          <w:sz w:val="32"/>
          <w:szCs w:val="32"/>
        </w:rPr>
        <w:t>一、基本情况</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eastAsia="zh-CN"/>
        </w:rPr>
        <w:t>我局为物资保障组成员单位，负责部分防疫物资的采购，</w:t>
      </w:r>
      <w:r>
        <w:rPr>
          <w:rFonts w:hint="eastAsia" w:ascii="仿宋_GB2312" w:eastAsia="仿宋_GB2312"/>
          <w:sz w:val="32"/>
          <w:szCs w:val="32"/>
          <w:lang w:val="en-US" w:eastAsia="zh-CN"/>
        </w:rPr>
        <w:t>2022年疫情基本结束，2023年</w:t>
      </w:r>
      <w:r>
        <w:rPr>
          <w:rFonts w:hint="eastAsia" w:ascii="仿宋_GB2312" w:hAnsi="仿宋" w:eastAsia="仿宋_GB2312" w:cs="仿宋"/>
          <w:color w:val="000000"/>
          <w:sz w:val="32"/>
          <w:szCs w:val="32"/>
          <w:lang w:val="en-US" w:eastAsia="zh-CN"/>
        </w:rPr>
        <w:t>预算212.64万元，用于归还之前防疫物资欠款。</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（二）项目绩效目标。</w:t>
      </w:r>
      <w:r>
        <w:rPr>
          <w:rFonts w:hint="eastAsia" w:ascii="仿宋_GB2312" w:eastAsia="仿宋_GB2312"/>
          <w:sz w:val="32"/>
          <w:szCs w:val="32"/>
          <w:lang w:eastAsia="zh-CN"/>
        </w:rPr>
        <w:t>完善疫情防控基础物资建设，不断提高我区疫情防控能力，保障人民群众的生命财产安全。</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我局防疫物资采购项目支出总预算</w:t>
      </w:r>
      <w:r>
        <w:rPr>
          <w:rFonts w:hint="eastAsia" w:ascii="仿宋_GB2312" w:hAnsi="仿宋" w:eastAsia="仿宋_GB2312" w:cs="仿宋"/>
          <w:color w:val="000000"/>
          <w:sz w:val="32"/>
          <w:szCs w:val="32"/>
          <w:lang w:val="en-US" w:eastAsia="zh-CN"/>
        </w:rPr>
        <w:t>212.64</w:t>
      </w:r>
      <w:r>
        <w:rPr>
          <w:rFonts w:hint="eastAsia" w:ascii="仿宋_GB2312" w:eastAsia="仿宋_GB2312"/>
          <w:sz w:val="32"/>
          <w:szCs w:val="32"/>
          <w:lang w:val="en-US" w:eastAsia="zh-CN"/>
        </w:rPr>
        <w:t>万元，实际支出</w:t>
      </w:r>
      <w:r>
        <w:rPr>
          <w:rFonts w:hint="eastAsia" w:ascii="仿宋_GB2312" w:hAnsi="仿宋" w:eastAsia="仿宋_GB2312" w:cs="仿宋"/>
          <w:color w:val="000000"/>
          <w:sz w:val="32"/>
          <w:szCs w:val="32"/>
          <w:lang w:val="en-US" w:eastAsia="zh-CN"/>
        </w:rPr>
        <w:t>212.64</w:t>
      </w:r>
      <w:r>
        <w:rPr>
          <w:rFonts w:hint="eastAsia" w:ascii="仿宋_GB2312" w:eastAsia="仿宋_GB2312"/>
          <w:sz w:val="32"/>
          <w:szCs w:val="32"/>
          <w:lang w:val="en-US" w:eastAsia="zh-CN"/>
        </w:rPr>
        <w:t>万元，资金使用符合规定，项目产出</w:t>
      </w:r>
      <w:r>
        <w:rPr>
          <w:rFonts w:hint="eastAsia" w:ascii="仿宋_GB2312" w:hAnsi="Times New Roman" w:eastAsia="仿宋_GB2312" w:cs="Times New Roman"/>
          <w:sz w:val="32"/>
          <w:szCs w:val="32"/>
          <w:lang w:val="en-US" w:eastAsia="zh-CN"/>
        </w:rPr>
        <w:t>情况</w:t>
      </w:r>
      <w:r>
        <w:rPr>
          <w:rFonts w:hint="eastAsia" w:ascii="仿宋_GB2312" w:eastAsia="仿宋_GB2312"/>
          <w:sz w:val="32"/>
          <w:szCs w:val="32"/>
          <w:lang w:val="en-US" w:eastAsia="zh-CN"/>
        </w:rPr>
        <w:t>良好，各项指标均达优秀。</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default"/>
          <w:lang w:val="en-US" w:eastAsia="zh-CN"/>
        </w:rPr>
      </w:pPr>
      <w:r>
        <w:rPr>
          <w:rFonts w:hint="eastAsia" w:ascii="方正仿宋简体" w:hAnsi="方正仿宋简体" w:eastAsia="方正仿宋简体" w:cs="方正仿宋简体"/>
          <w:sz w:val="32"/>
          <w:szCs w:val="32"/>
          <w:lang w:val="en-US" w:eastAsia="zh-CN"/>
        </w:rPr>
        <w:t>我局防疫物资采购数量达标，物资质量良好，疫情防控各项工作及实准确，较好的完成了疫情防控各项工作任务。应急救援演练均已在规定时限内完成，效果良好，取得了良好的社会效益，完成成本与预算资金一致。进一步提高了我区应急救援能力。职工满意度调查满意率</w:t>
      </w:r>
      <w:r>
        <w:rPr>
          <w:rFonts w:hint="eastAsia" w:ascii="宋体" w:hAnsi="宋体" w:eastAsia="宋体" w:cs="宋体"/>
          <w:sz w:val="32"/>
          <w:szCs w:val="32"/>
          <w:lang w:val="en-US" w:eastAsia="zh-CN"/>
        </w:rPr>
        <w:t>100%。</w:t>
      </w:r>
    </w:p>
    <w:p>
      <w:pPr>
        <w:widowControl/>
        <w:spacing w:line="600" w:lineRule="exact"/>
        <w:jc w:val="center"/>
        <w:rPr>
          <w:rFonts w:ascii="仿宋_GB2312" w:eastAsia="仿宋_GB2312"/>
          <w:sz w:val="32"/>
          <w:szCs w:val="32"/>
        </w:rPr>
      </w:pPr>
      <w:r>
        <w:rPr>
          <w:rFonts w:hint="eastAsia" w:ascii="方正小标宋简体" w:hAnsi="方正小标宋简体" w:eastAsia="方正小标宋简体" w:cs="方正小标宋简体"/>
          <w:bCs/>
          <w:kern w:val="0"/>
          <w:sz w:val="32"/>
          <w:szCs w:val="32"/>
          <w:lang w:val="en-US" w:eastAsia="zh-CN"/>
        </w:rPr>
        <w:t>东部工业区管理费</w:t>
      </w:r>
      <w:r>
        <w:rPr>
          <w:rFonts w:hint="eastAsia" w:ascii="方正小标宋简体" w:hAnsi="方正小标宋简体" w:eastAsia="方正小标宋简体" w:cs="方正小标宋简体"/>
          <w:bCs/>
          <w:kern w:val="0"/>
          <w:sz w:val="32"/>
          <w:szCs w:val="32"/>
          <w:lang w:eastAsia="zh-CN"/>
        </w:rPr>
        <w:t>项目</w:t>
      </w:r>
      <w:r>
        <w:rPr>
          <w:rFonts w:hint="eastAsia" w:ascii="方正小标宋简体" w:hAnsi="方正小标宋简体" w:eastAsia="方正小标宋简体" w:cs="方正小标宋简体"/>
          <w:bCs/>
          <w:kern w:val="0"/>
          <w:sz w:val="32"/>
          <w:szCs w:val="32"/>
        </w:rPr>
        <w:t>支出绩效评价报告</w:t>
      </w:r>
    </w:p>
    <w:p>
      <w:pPr>
        <w:spacing w:line="600" w:lineRule="exact"/>
        <w:ind w:firstLine="640" w:firstLineChars="200"/>
        <w:rPr>
          <w:rFonts w:eastAsia="黑体"/>
          <w:sz w:val="32"/>
          <w:szCs w:val="32"/>
        </w:rPr>
      </w:pPr>
      <w:r>
        <w:rPr>
          <w:rFonts w:hint="eastAsia" w:eastAsia="黑体"/>
          <w:sz w:val="32"/>
          <w:szCs w:val="32"/>
        </w:rPr>
        <w:t>一、基本情况</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eastAsia="zh-CN"/>
        </w:rPr>
        <w:t>我</w:t>
      </w:r>
      <w:r>
        <w:rPr>
          <w:rFonts w:hint="eastAsia" w:ascii="仿宋_GB2312" w:eastAsia="仿宋_GB2312"/>
          <w:sz w:val="32"/>
          <w:szCs w:val="32"/>
          <w:lang w:val="en-US" w:eastAsia="zh-CN"/>
        </w:rPr>
        <w:t>单位</w:t>
      </w:r>
      <w:r>
        <w:rPr>
          <w:rFonts w:hint="eastAsia" w:ascii="方正仿宋简体" w:hAnsi="方正仿宋简体" w:eastAsia="方正仿宋简体" w:cs="方正仿宋简体"/>
          <w:sz w:val="32"/>
          <w:szCs w:val="32"/>
          <w:lang w:val="en-US" w:eastAsia="zh-CN"/>
        </w:rPr>
        <w:t>进行日常办公、管理活动，已产生东部工业区管理办公费、邮电费、维修费、其他商品和服务支出，合计</w:t>
      </w:r>
      <w:r>
        <w:rPr>
          <w:rFonts w:hint="eastAsia" w:ascii="仿宋" w:hAnsi="仿宋" w:eastAsia="仿宋" w:cs="Times New Roman"/>
          <w:sz w:val="32"/>
          <w:szCs w:val="32"/>
          <w:lang w:val="en-US" w:eastAsia="zh-CN"/>
        </w:rPr>
        <w:t>20</w:t>
      </w:r>
      <w:r>
        <w:rPr>
          <w:rFonts w:hint="eastAsia" w:ascii="方正仿宋简体" w:hAnsi="方正仿宋简体" w:eastAsia="方正仿宋简体" w:cs="方正仿宋简体"/>
          <w:sz w:val="32"/>
          <w:szCs w:val="32"/>
          <w:lang w:val="en-US" w:eastAsia="zh-CN"/>
        </w:rPr>
        <w:t>万元。</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（二）项目绩效目标。</w:t>
      </w:r>
      <w:r>
        <w:rPr>
          <w:rFonts w:hint="eastAsia" w:ascii="仿宋_GB2312" w:eastAsia="仿宋_GB2312"/>
          <w:sz w:val="32"/>
          <w:szCs w:val="32"/>
          <w:lang w:eastAsia="zh-CN"/>
        </w:rPr>
        <w:t>东部工业区的网络服务、各项设施的维护、日常办公活动以及其他商品和服务支出费用良好，</w:t>
      </w:r>
      <w:r>
        <w:rPr>
          <w:rFonts w:hint="eastAsia" w:ascii="仿宋_GB2312" w:eastAsia="仿宋_GB2312"/>
          <w:sz w:val="32"/>
          <w:szCs w:val="32"/>
          <w:lang w:val="en-US" w:eastAsia="zh-CN"/>
        </w:rPr>
        <w:t>平稳进行。</w:t>
      </w:r>
      <w:r>
        <w:rPr>
          <w:rFonts w:hint="eastAsia" w:ascii="仿宋_GB2312" w:eastAsia="仿宋_GB2312"/>
          <w:sz w:val="32"/>
          <w:szCs w:val="32"/>
          <w:lang w:eastAsia="zh-CN"/>
        </w:rPr>
        <w:t>我</w:t>
      </w:r>
      <w:r>
        <w:rPr>
          <w:rFonts w:hint="eastAsia" w:ascii="仿宋_GB2312" w:eastAsia="仿宋_GB2312"/>
          <w:sz w:val="32"/>
          <w:szCs w:val="32"/>
          <w:lang w:val="en-US" w:eastAsia="zh-CN"/>
        </w:rPr>
        <w:t>单位日常办公活动正常运转。</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w:t>
      </w:r>
      <w:r>
        <w:rPr>
          <w:rFonts w:hint="eastAsia" w:ascii="仿宋_GB2312" w:eastAsia="仿宋_GB2312"/>
          <w:sz w:val="32"/>
          <w:szCs w:val="32"/>
          <w:lang w:val="en-US" w:eastAsia="zh-CN"/>
        </w:rPr>
        <w:t>单位管理费</w:t>
      </w:r>
      <w:r>
        <w:rPr>
          <w:rFonts w:hint="eastAsia" w:ascii="仿宋_GB2312" w:eastAsia="仿宋_GB2312"/>
          <w:sz w:val="32"/>
          <w:szCs w:val="32"/>
          <w:lang w:eastAsia="zh-CN"/>
        </w:rPr>
        <w:t>项目支出总预算</w:t>
      </w:r>
      <w:r>
        <w:rPr>
          <w:rFonts w:hint="eastAsia" w:ascii="仿宋_GB2312" w:hAnsi="仿宋" w:eastAsia="仿宋_GB2312" w:cs="仿宋"/>
          <w:color w:val="000000"/>
          <w:sz w:val="32"/>
          <w:szCs w:val="32"/>
          <w:lang w:val="en-US" w:eastAsia="zh-CN"/>
        </w:rPr>
        <w:t>20</w:t>
      </w:r>
      <w:r>
        <w:rPr>
          <w:rFonts w:hint="eastAsia" w:ascii="仿宋_GB2312" w:eastAsia="仿宋_GB2312"/>
          <w:sz w:val="32"/>
          <w:szCs w:val="32"/>
          <w:lang w:val="en-US" w:eastAsia="zh-CN"/>
        </w:rPr>
        <w:t>万元，实际支出20万元，资金使用符合规定，项目产出</w:t>
      </w:r>
      <w:r>
        <w:rPr>
          <w:rFonts w:hint="eastAsia" w:ascii="仿宋_GB2312" w:hAnsi="Times New Roman" w:eastAsia="仿宋_GB2312" w:cs="Times New Roman"/>
          <w:sz w:val="32"/>
          <w:szCs w:val="32"/>
          <w:lang w:val="en-US" w:eastAsia="zh-CN"/>
        </w:rPr>
        <w:t>情况</w:t>
      </w:r>
      <w:r>
        <w:rPr>
          <w:rFonts w:hint="eastAsia" w:ascii="仿宋_GB2312" w:eastAsia="仿宋_GB2312"/>
          <w:sz w:val="32"/>
          <w:szCs w:val="32"/>
          <w:lang w:val="en-US" w:eastAsia="zh-CN"/>
        </w:rPr>
        <w:t>良好，各项指标均达优秀。</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我单位进行日常办公、管理活动，按照时限完成工作，管理费项目各项工作及时准确。东部工业区职能是服务企业，聚力</w:t>
      </w:r>
      <w:r>
        <w:rPr>
          <w:rFonts w:hint="default" w:ascii="方正仿宋简体" w:hAnsi="方正仿宋简体" w:eastAsia="方正仿宋简体" w:cs="方正仿宋简体"/>
          <w:sz w:val="32"/>
          <w:szCs w:val="32"/>
          <w:lang w:val="en-US" w:eastAsia="zh-CN"/>
        </w:rPr>
        <w:t>企业发展,进一步健全服务企业工作机制,完善企业服务体系,落实企业扶持政策,推</w:t>
      </w:r>
      <w:r>
        <w:rPr>
          <w:rFonts w:hint="eastAsia" w:ascii="方正仿宋简体" w:hAnsi="方正仿宋简体" w:eastAsia="方正仿宋简体" w:cs="方正仿宋简体"/>
          <w:sz w:val="32"/>
          <w:szCs w:val="32"/>
          <w:lang w:val="en-US" w:eastAsia="zh-CN"/>
        </w:rPr>
        <w:t>动企业发展，有效促进经济增长。取得了良好的社会效益，完成成本与预算资金一致。进一步拉动了本区经济增长，提高了我区区域综合实力。职工满意度调查满意率</w:t>
      </w:r>
      <w:r>
        <w:rPr>
          <w:rFonts w:hint="eastAsia" w:ascii="宋体" w:hAnsi="宋体" w:eastAsia="宋体" w:cs="宋体"/>
          <w:sz w:val="32"/>
          <w:szCs w:val="32"/>
          <w:lang w:val="en-US" w:eastAsia="zh-CN"/>
        </w:rPr>
        <w:t>100%。</w:t>
      </w:r>
    </w:p>
    <w:p>
      <w:pPr>
        <w:widowControl/>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kern w:val="0"/>
          <w:sz w:val="32"/>
          <w:szCs w:val="32"/>
          <w:lang w:val="en-US" w:eastAsia="zh-CN"/>
        </w:rPr>
        <w:t>项目招商费</w:t>
      </w:r>
      <w:r>
        <w:rPr>
          <w:rFonts w:hint="eastAsia" w:ascii="方正小标宋简体" w:hAnsi="方正小标宋简体" w:eastAsia="方正小标宋简体" w:cs="方正小标宋简体"/>
          <w:bCs/>
          <w:kern w:val="0"/>
          <w:sz w:val="32"/>
          <w:szCs w:val="32"/>
          <w:lang w:eastAsia="zh-CN"/>
        </w:rPr>
        <w:t>项目</w:t>
      </w:r>
      <w:r>
        <w:rPr>
          <w:rFonts w:hint="eastAsia" w:ascii="方正小标宋简体" w:hAnsi="方正小标宋简体" w:eastAsia="方正小标宋简体" w:cs="方正小标宋简体"/>
          <w:bCs/>
          <w:kern w:val="0"/>
          <w:sz w:val="32"/>
          <w:szCs w:val="32"/>
        </w:rPr>
        <w:t>支出绩效评价报告</w:t>
      </w:r>
    </w:p>
    <w:p>
      <w:pPr>
        <w:spacing w:line="600" w:lineRule="exact"/>
        <w:ind w:firstLine="640" w:firstLineChars="200"/>
        <w:rPr>
          <w:rFonts w:eastAsia="黑体"/>
          <w:sz w:val="32"/>
          <w:szCs w:val="32"/>
        </w:rPr>
      </w:pPr>
      <w:r>
        <w:rPr>
          <w:rFonts w:hint="eastAsia" w:eastAsia="黑体"/>
          <w:sz w:val="32"/>
          <w:szCs w:val="32"/>
        </w:rPr>
        <w:t>一、基本情况</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sz w:val="32"/>
          <w:szCs w:val="32"/>
          <w:lang w:val="en-US" w:eastAsia="zh-CN"/>
        </w:rPr>
      </w:pPr>
      <w:r>
        <w:rPr>
          <w:rFonts w:hint="eastAsia" w:ascii="仿宋_GB2312" w:eastAsia="仿宋_GB2312"/>
          <w:sz w:val="32"/>
          <w:szCs w:val="32"/>
        </w:rPr>
        <w:t>（一）项目概况。</w:t>
      </w:r>
      <w:r>
        <w:rPr>
          <w:rFonts w:hint="eastAsia" w:ascii="方正仿宋简体" w:hAnsi="方正仿宋简体" w:eastAsia="方正仿宋简体" w:cs="方正仿宋简体"/>
          <w:sz w:val="32"/>
          <w:szCs w:val="32"/>
          <w:lang w:val="en-US" w:eastAsia="zh-CN"/>
        </w:rPr>
        <w:t>按照海港区党工委、管委会工作部署，东部工业区联合其他相关部门对接区内多家企业开展招商引资工作，已产生项目招商办公费、租赁费、邮电费。合计</w:t>
      </w:r>
      <w:r>
        <w:rPr>
          <w:rFonts w:hint="eastAsia" w:ascii="仿宋_GB2312" w:eastAsia="仿宋_GB2312"/>
          <w:sz w:val="32"/>
          <w:szCs w:val="32"/>
          <w:lang w:val="en-US" w:eastAsia="zh-CN"/>
        </w:rPr>
        <w:t>20</w:t>
      </w:r>
      <w:r>
        <w:rPr>
          <w:rFonts w:hint="eastAsia" w:ascii="方正仿宋简体" w:hAnsi="方正仿宋简体" w:eastAsia="方正仿宋简体" w:cs="方正仿宋简体"/>
          <w:sz w:val="32"/>
          <w:szCs w:val="32"/>
          <w:lang w:val="en-US" w:eastAsia="zh-CN"/>
        </w:rPr>
        <w:t>万元。</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（二）项目绩效目标。借助部门的资源优势，与其他相关部门开展招商资源对接工作。通过招商引资，让企业加速发展，提高本区域的竞争力</w:t>
      </w:r>
      <w:r>
        <w:rPr>
          <w:rFonts w:hint="eastAsia" w:ascii="仿宋_GB2312" w:eastAsia="仿宋_GB2312"/>
          <w:sz w:val="32"/>
          <w:szCs w:val="32"/>
          <w:lang w:eastAsia="zh-CN"/>
        </w:rPr>
        <w:t>。</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w:t>
      </w:r>
      <w:r>
        <w:rPr>
          <w:rFonts w:hint="eastAsia" w:ascii="仿宋_GB2312" w:eastAsia="仿宋_GB2312"/>
          <w:sz w:val="32"/>
          <w:szCs w:val="32"/>
          <w:lang w:val="en-US" w:eastAsia="zh-CN"/>
        </w:rPr>
        <w:t>单位招商费</w:t>
      </w:r>
      <w:r>
        <w:rPr>
          <w:rFonts w:hint="eastAsia" w:ascii="仿宋_GB2312" w:eastAsia="仿宋_GB2312"/>
          <w:sz w:val="32"/>
          <w:szCs w:val="32"/>
          <w:lang w:eastAsia="zh-CN"/>
        </w:rPr>
        <w:t>项目支出总预算</w:t>
      </w:r>
      <w:r>
        <w:rPr>
          <w:rFonts w:hint="eastAsia" w:ascii="仿宋_GB2312" w:hAnsi="仿宋" w:eastAsia="仿宋_GB2312" w:cs="仿宋"/>
          <w:color w:val="000000"/>
          <w:sz w:val="32"/>
          <w:szCs w:val="32"/>
          <w:lang w:val="en-US" w:eastAsia="zh-CN"/>
        </w:rPr>
        <w:t>20</w:t>
      </w:r>
      <w:r>
        <w:rPr>
          <w:rFonts w:hint="eastAsia" w:ascii="仿宋_GB2312" w:eastAsia="仿宋_GB2312"/>
          <w:sz w:val="32"/>
          <w:szCs w:val="32"/>
          <w:lang w:val="en-US" w:eastAsia="zh-CN"/>
        </w:rPr>
        <w:t>万元，实际支出20万元，资金使用符合规定，项目产出</w:t>
      </w:r>
      <w:r>
        <w:rPr>
          <w:rFonts w:hint="eastAsia" w:ascii="仿宋_GB2312" w:hAnsi="Times New Roman" w:eastAsia="仿宋_GB2312" w:cs="Times New Roman"/>
          <w:sz w:val="32"/>
          <w:szCs w:val="32"/>
          <w:lang w:val="en-US" w:eastAsia="zh-CN"/>
        </w:rPr>
        <w:t>情况</w:t>
      </w:r>
      <w:r>
        <w:rPr>
          <w:rFonts w:hint="eastAsia" w:ascii="仿宋_GB2312" w:eastAsia="仿宋_GB2312"/>
          <w:sz w:val="32"/>
          <w:szCs w:val="32"/>
          <w:lang w:val="en-US" w:eastAsia="zh-CN"/>
        </w:rPr>
        <w:t>良好，各项指标均达优秀。</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单位开展招商引资工作，与其他部门资源对接情况良好，按照时限完成，招商引资各项工作及时准确。通过招商引资让企业加速发展，有效促进企业经济增长。取得了良好的社会效益，完成成本与预算资金一致。进一步提高了我区区域竞争力。职工满意度调查满意率</w:t>
      </w:r>
      <w:r>
        <w:rPr>
          <w:rFonts w:hint="eastAsia" w:ascii="宋体" w:hAnsi="宋体" w:eastAsia="宋体" w:cs="宋体"/>
          <w:sz w:val="32"/>
          <w:szCs w:val="32"/>
          <w:lang w:val="en-US" w:eastAsia="zh-CN"/>
        </w:rPr>
        <w:t>100%。</w:t>
      </w:r>
    </w:p>
    <w:p>
      <w:pPr>
        <w:pStyle w:val="11"/>
        <w:numPr>
          <w:ilvl w:val="0"/>
          <w:numId w:val="0"/>
        </w:numPr>
      </w:pP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本部门2023年度无收支及结转结余情况，故表以空表列示。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仿宋_GB2312" w:hAnsi="宋体" w:eastAsia="仿宋_GB2312" w:cs="ArialUnicodeMS"/>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思源黑体 CN Heavy">
    <w:altName w:val="黑体"/>
    <w:panose1 w:val="00000000000000000000"/>
    <w:charset w:val="86"/>
    <w:family w:val="swiss"/>
    <w:pitch w:val="default"/>
    <w:sig w:usb0="00000000" w:usb1="00000000" w:usb2="00000016" w:usb3="00000000" w:csb0="00060107"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84AB9"/>
    <w:multiLevelType w:val="singleLevel"/>
    <w:tmpl w:val="B4384AB9"/>
    <w:lvl w:ilvl="0" w:tentative="0">
      <w:start w:val="2"/>
      <w:numFmt w:val="chineseCounting"/>
      <w:suff w:val="space"/>
      <w:lvlText w:val="第%1部分"/>
      <w:lvlJc w:val="left"/>
      <w:pPr>
        <w:ind w:left="1760" w:firstLine="0"/>
      </w:pPr>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4">
    <w:nsid w:val="7BBF000C"/>
    <w:multiLevelType w:val="singleLevel"/>
    <w:tmpl w:val="7BBF000C"/>
    <w:lvl w:ilvl="0" w:tentative="0">
      <w:start w:val="4"/>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EwLCJoZGlkIjoiMzNiZDAyNGFmN2Y5ZmIxOWE3NzhhYTExZTg1YmY0YTEiLCJ1c2VyQ291bnQiOjUwfQ=="/>
    <w:docVar w:name="KSO_WPS_MARK_KEY" w:val="71c2c6a0-067b-4e3a-b3ef-0dc62715dcd3"/>
  </w:docVars>
  <w:rsids>
    <w:rsidRoot w:val="00172A27"/>
    <w:rsid w:val="000031F7"/>
    <w:rsid w:val="00014862"/>
    <w:rsid w:val="000349BA"/>
    <w:rsid w:val="000C393A"/>
    <w:rsid w:val="00125965"/>
    <w:rsid w:val="00144CC5"/>
    <w:rsid w:val="00172A27"/>
    <w:rsid w:val="00203288"/>
    <w:rsid w:val="00206EB2"/>
    <w:rsid w:val="00262CE0"/>
    <w:rsid w:val="002C2C3F"/>
    <w:rsid w:val="00310221"/>
    <w:rsid w:val="0034600F"/>
    <w:rsid w:val="00366EA1"/>
    <w:rsid w:val="004550B9"/>
    <w:rsid w:val="00473A26"/>
    <w:rsid w:val="00483998"/>
    <w:rsid w:val="004D1145"/>
    <w:rsid w:val="004E274E"/>
    <w:rsid w:val="004F23D0"/>
    <w:rsid w:val="004F5E71"/>
    <w:rsid w:val="00511909"/>
    <w:rsid w:val="0051575E"/>
    <w:rsid w:val="00522C51"/>
    <w:rsid w:val="00550130"/>
    <w:rsid w:val="005B2633"/>
    <w:rsid w:val="00657113"/>
    <w:rsid w:val="00663586"/>
    <w:rsid w:val="006C5D6E"/>
    <w:rsid w:val="007042CC"/>
    <w:rsid w:val="00704A9C"/>
    <w:rsid w:val="00757732"/>
    <w:rsid w:val="00786182"/>
    <w:rsid w:val="007B4464"/>
    <w:rsid w:val="00816BB2"/>
    <w:rsid w:val="008349E7"/>
    <w:rsid w:val="008414F6"/>
    <w:rsid w:val="00853F9E"/>
    <w:rsid w:val="00855E47"/>
    <w:rsid w:val="00896712"/>
    <w:rsid w:val="008E5668"/>
    <w:rsid w:val="009718A8"/>
    <w:rsid w:val="009D7927"/>
    <w:rsid w:val="009E6461"/>
    <w:rsid w:val="00A12180"/>
    <w:rsid w:val="00A66109"/>
    <w:rsid w:val="00B15320"/>
    <w:rsid w:val="00B170B0"/>
    <w:rsid w:val="00B20DC3"/>
    <w:rsid w:val="00B86E38"/>
    <w:rsid w:val="00BE1054"/>
    <w:rsid w:val="00BE7649"/>
    <w:rsid w:val="00C21492"/>
    <w:rsid w:val="00C418F5"/>
    <w:rsid w:val="00CE4C2D"/>
    <w:rsid w:val="00CE755E"/>
    <w:rsid w:val="00D20B4D"/>
    <w:rsid w:val="00D25268"/>
    <w:rsid w:val="00D264B9"/>
    <w:rsid w:val="00D71400"/>
    <w:rsid w:val="00DA0B17"/>
    <w:rsid w:val="00DE4245"/>
    <w:rsid w:val="00DF42C4"/>
    <w:rsid w:val="00DF688D"/>
    <w:rsid w:val="00E039B0"/>
    <w:rsid w:val="00E35F22"/>
    <w:rsid w:val="00E40650"/>
    <w:rsid w:val="00E44B04"/>
    <w:rsid w:val="00E519C7"/>
    <w:rsid w:val="00E54036"/>
    <w:rsid w:val="00E669B9"/>
    <w:rsid w:val="00E818B1"/>
    <w:rsid w:val="00E86E79"/>
    <w:rsid w:val="00EB1655"/>
    <w:rsid w:val="00F242CA"/>
    <w:rsid w:val="00FC3F68"/>
    <w:rsid w:val="00FF453A"/>
    <w:rsid w:val="018E53BB"/>
    <w:rsid w:val="01AC36A8"/>
    <w:rsid w:val="01B752BF"/>
    <w:rsid w:val="01CA4078"/>
    <w:rsid w:val="02F2691F"/>
    <w:rsid w:val="03ED45A6"/>
    <w:rsid w:val="049D1B41"/>
    <w:rsid w:val="05273E55"/>
    <w:rsid w:val="06EB1AB6"/>
    <w:rsid w:val="099D6B31"/>
    <w:rsid w:val="09FD66D9"/>
    <w:rsid w:val="0A977E07"/>
    <w:rsid w:val="0B3806D3"/>
    <w:rsid w:val="0BBF776D"/>
    <w:rsid w:val="10B242CF"/>
    <w:rsid w:val="11F4604E"/>
    <w:rsid w:val="12F4756B"/>
    <w:rsid w:val="136D16FB"/>
    <w:rsid w:val="13AA21BF"/>
    <w:rsid w:val="171D30FD"/>
    <w:rsid w:val="19FB6F8B"/>
    <w:rsid w:val="1A3D2C72"/>
    <w:rsid w:val="1E6E5C48"/>
    <w:rsid w:val="1E7524CA"/>
    <w:rsid w:val="1ECC28E2"/>
    <w:rsid w:val="20727854"/>
    <w:rsid w:val="216937C4"/>
    <w:rsid w:val="217705CD"/>
    <w:rsid w:val="21B04BA5"/>
    <w:rsid w:val="257C1CB8"/>
    <w:rsid w:val="298605CB"/>
    <w:rsid w:val="2B1A10CF"/>
    <w:rsid w:val="2B27648C"/>
    <w:rsid w:val="2CEF036C"/>
    <w:rsid w:val="2E1F292B"/>
    <w:rsid w:val="2F5D6AF5"/>
    <w:rsid w:val="2FE8003F"/>
    <w:rsid w:val="3002386D"/>
    <w:rsid w:val="31D92B3C"/>
    <w:rsid w:val="32025390"/>
    <w:rsid w:val="32A31C4C"/>
    <w:rsid w:val="32B53CA7"/>
    <w:rsid w:val="33CD2241"/>
    <w:rsid w:val="342432D2"/>
    <w:rsid w:val="34967CFD"/>
    <w:rsid w:val="352F676A"/>
    <w:rsid w:val="35FF348B"/>
    <w:rsid w:val="36B17A19"/>
    <w:rsid w:val="39C2416B"/>
    <w:rsid w:val="3B744E3E"/>
    <w:rsid w:val="3BE84505"/>
    <w:rsid w:val="3DC91A1B"/>
    <w:rsid w:val="3EFC641C"/>
    <w:rsid w:val="3F235BB1"/>
    <w:rsid w:val="3F663581"/>
    <w:rsid w:val="40704361"/>
    <w:rsid w:val="425B7C9B"/>
    <w:rsid w:val="42A44BF6"/>
    <w:rsid w:val="448E1240"/>
    <w:rsid w:val="4571549B"/>
    <w:rsid w:val="471274FD"/>
    <w:rsid w:val="477A24FA"/>
    <w:rsid w:val="49717ADD"/>
    <w:rsid w:val="4A51609B"/>
    <w:rsid w:val="4A8107AC"/>
    <w:rsid w:val="4BCA6233"/>
    <w:rsid w:val="4C194D3B"/>
    <w:rsid w:val="4D304C6C"/>
    <w:rsid w:val="4F2A6A41"/>
    <w:rsid w:val="500373A2"/>
    <w:rsid w:val="507C6383"/>
    <w:rsid w:val="524D359A"/>
    <w:rsid w:val="534704F3"/>
    <w:rsid w:val="53AD746D"/>
    <w:rsid w:val="561769D4"/>
    <w:rsid w:val="573C246E"/>
    <w:rsid w:val="58D844B0"/>
    <w:rsid w:val="5F4A1A8C"/>
    <w:rsid w:val="60075621"/>
    <w:rsid w:val="602001C2"/>
    <w:rsid w:val="60CE32E1"/>
    <w:rsid w:val="649A7590"/>
    <w:rsid w:val="64C00985"/>
    <w:rsid w:val="64DD359D"/>
    <w:rsid w:val="65225D26"/>
    <w:rsid w:val="65DB5CBA"/>
    <w:rsid w:val="674E6C15"/>
    <w:rsid w:val="67636EEB"/>
    <w:rsid w:val="697609B2"/>
    <w:rsid w:val="69F4671F"/>
    <w:rsid w:val="6A1211D1"/>
    <w:rsid w:val="6BA53F12"/>
    <w:rsid w:val="6CBF282C"/>
    <w:rsid w:val="6DE457F5"/>
    <w:rsid w:val="709D1FF6"/>
    <w:rsid w:val="70E37662"/>
    <w:rsid w:val="70E81256"/>
    <w:rsid w:val="72844D20"/>
    <w:rsid w:val="73335BEE"/>
    <w:rsid w:val="734B3BFA"/>
    <w:rsid w:val="73753308"/>
    <w:rsid w:val="738A7BD2"/>
    <w:rsid w:val="743444A4"/>
    <w:rsid w:val="74B61AFD"/>
    <w:rsid w:val="74DB6AD2"/>
    <w:rsid w:val="79442C5B"/>
    <w:rsid w:val="79C15D41"/>
    <w:rsid w:val="79E00784"/>
    <w:rsid w:val="7BB011B5"/>
    <w:rsid w:val="7C2A2F43"/>
    <w:rsid w:val="7D8C2E23"/>
    <w:rsid w:val="7E386F6A"/>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4">
    <w:name w:val="Balloon Text"/>
    <w:basedOn w:val="1"/>
    <w:link w:val="20"/>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脚 Char"/>
    <w:basedOn w:val="10"/>
    <w:link w:val="5"/>
    <w:qFormat/>
    <w:uiPriority w:val="99"/>
    <w:rPr>
      <w:kern w:val="2"/>
      <w:sz w:val="18"/>
      <w:szCs w:val="18"/>
    </w:rPr>
  </w:style>
  <w:style w:type="character" w:customStyle="1" w:styleId="13">
    <w:name w:val="页眉 Char"/>
    <w:basedOn w:val="10"/>
    <w:link w:val="6"/>
    <w:qFormat/>
    <w:uiPriority w:val="0"/>
    <w:rPr>
      <w:kern w:val="2"/>
      <w:sz w:val="18"/>
      <w:szCs w:val="18"/>
    </w:rPr>
  </w:style>
  <w:style w:type="character" w:customStyle="1" w:styleId="14">
    <w:name w:val="font11"/>
    <w:basedOn w:val="10"/>
    <w:qFormat/>
    <w:uiPriority w:val="0"/>
    <w:rPr>
      <w:rFonts w:hint="eastAsia" w:ascii="宋体" w:hAnsi="宋体" w:eastAsia="宋体" w:cs="宋体"/>
      <w:color w:val="000000"/>
      <w:sz w:val="20"/>
      <w:szCs w:val="20"/>
      <w:u w:val="none"/>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hint="eastAsia" w:ascii="华文中宋" w:hAnsi="华文中宋" w:eastAsia="华文中宋" w:cs="华文中宋"/>
      <w:color w:val="000000"/>
      <w:sz w:val="32"/>
      <w:szCs w:val="32"/>
      <w:u w:val="none"/>
    </w:rPr>
  </w:style>
  <w:style w:type="character" w:customStyle="1" w:styleId="18">
    <w:name w:val="font91"/>
    <w:basedOn w:val="10"/>
    <w:qFormat/>
    <w:uiPriority w:val="0"/>
    <w:rPr>
      <w:rFonts w:hint="eastAsia" w:ascii="华文中宋" w:hAnsi="华文中宋" w:eastAsia="华文中宋" w:cs="华文中宋"/>
      <w:color w:val="000000"/>
      <w:sz w:val="32"/>
      <w:szCs w:val="32"/>
      <w:u w:val="none"/>
    </w:rPr>
  </w:style>
  <w:style w:type="character" w:customStyle="1" w:styleId="19">
    <w:name w:val="font51"/>
    <w:basedOn w:val="10"/>
    <w:qFormat/>
    <w:uiPriority w:val="0"/>
    <w:rPr>
      <w:rFonts w:hint="eastAsia" w:ascii="宋体" w:hAnsi="宋体" w:eastAsia="宋体" w:cs="宋体"/>
      <w:color w:val="000000"/>
      <w:sz w:val="24"/>
      <w:szCs w:val="24"/>
      <w:u w:val="none"/>
    </w:rPr>
  </w:style>
  <w:style w:type="character" w:customStyle="1" w:styleId="20">
    <w:name w:val="批注框文本 Char"/>
    <w:basedOn w:val="10"/>
    <w:link w:val="4"/>
    <w:semiHidden/>
    <w:qFormat/>
    <w:uiPriority w:val="99"/>
    <w:rPr>
      <w:kern w:val="2"/>
      <w:sz w:val="18"/>
      <w:szCs w:val="18"/>
    </w:rPr>
  </w:style>
  <w:style w:type="character" w:customStyle="1" w:styleId="21">
    <w:name w:val="font21"/>
    <w:basedOn w:val="10"/>
    <w:qFormat/>
    <w:uiPriority w:val="0"/>
    <w:rPr>
      <w:rFonts w:hint="default" w:ascii="Times New Roman" w:hAnsi="Times New Roman" w:cs="Times New Roman"/>
      <w:color w:val="000000"/>
      <w:sz w:val="22"/>
      <w:szCs w:val="22"/>
      <w:u w:val="none"/>
    </w:rPr>
  </w:style>
  <w:style w:type="character" w:customStyle="1" w:styleId="22">
    <w:name w:val="font71"/>
    <w:basedOn w:val="10"/>
    <w:qFormat/>
    <w:uiPriority w:val="0"/>
    <w:rPr>
      <w:rFonts w:hint="default" w:ascii="Times New Roman" w:hAnsi="Times New Roman" w:cs="Times New Roman"/>
      <w:color w:val="000000"/>
      <w:sz w:val="22"/>
      <w:szCs w:val="22"/>
      <w:u w:val="none"/>
    </w:rPr>
  </w:style>
  <w:style w:type="character" w:customStyle="1" w:styleId="23">
    <w:name w:val="font6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5.xml"/><Relationship Id="rId22" Type="http://schemas.openxmlformats.org/officeDocument/2006/relationships/chart" Target="charts/chart4.xml"/><Relationship Id="rId21" Type="http://schemas.openxmlformats.org/officeDocument/2006/relationships/chart" Target="charts/chart3.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5.jpeg"/><Relationship Id="rId17" Type="http://schemas.openxmlformats.org/officeDocument/2006/relationships/image" Target="media/image1.sv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2022-2023</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年收支总计对比情况（图</a:t>
            </a: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1</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a:t>
            </a:r>
            <a:endPar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endParaRPr>
          </a:p>
        </c:rich>
      </c:tx>
      <c:layout>
        <c:manualLayout>
          <c:xMode val="edge"/>
          <c:yMode val="edge"/>
          <c:x val="0.189523518631643"/>
          <c:y val="0.0273743016759777"/>
        </c:manualLayout>
      </c:layout>
      <c:overlay val="0"/>
      <c:spPr>
        <a:noFill/>
        <a:ln>
          <a:noFill/>
        </a:ln>
        <a:effectLst/>
      </c:spPr>
    </c:title>
    <c:autoTitleDeleted val="0"/>
    <c:plotArea>
      <c:layout>
        <c:manualLayout>
          <c:layoutTarget val="inner"/>
          <c:xMode val="edge"/>
          <c:yMode val="edge"/>
          <c:x val="0.21435552840562"/>
          <c:y val="0.265921787709497"/>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dLbl>
              <c:idx val="0"/>
              <c:layout>
                <c:manualLayout>
                  <c:x val="-0.0137446548564447"/>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t>3449.57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t>2617.31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2022年</c:v>
                </c:pt>
              </c:strCache>
            </c:strRef>
          </c:cat>
          <c:val>
            <c:numRef>
              <c:f>Sheet1!$B$2:$B$3</c:f>
              <c:numCache>
                <c:formatCode>General</c:formatCode>
                <c:ptCount val="2"/>
                <c:pt idx="0">
                  <c:v>3449.57</c:v>
                </c:pt>
                <c:pt idx="1">
                  <c:v>2617.31</c:v>
                </c:pt>
              </c:numCache>
            </c:numRef>
          </c:val>
        </c:ser>
        <c:dLbls>
          <c:showLegendKey val="0"/>
          <c:showVal val="1"/>
          <c:showCatName val="0"/>
          <c:showSerName val="0"/>
          <c:showPercent val="0"/>
          <c:showBubbleSize val="0"/>
        </c:dLbls>
        <c:gapWidth val="219"/>
        <c:overlap val="-27"/>
        <c:axId val="142867072"/>
        <c:axId val="116740480"/>
      </c:barChart>
      <c:catAx>
        <c:axId val="1428670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116740480"/>
        <c:crosses val="autoZero"/>
        <c:auto val="1"/>
        <c:lblAlgn val="ctr"/>
        <c:lblOffset val="100"/>
        <c:noMultiLvlLbl val="0"/>
      </c:catAx>
      <c:valAx>
        <c:axId val="116740480"/>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14286707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Entry>
      <c:layout>
        <c:manualLayout>
          <c:xMode val="edge"/>
          <c:yMode val="edge"/>
          <c:x val="0.0125058437720914"/>
          <c:y val="0.04473741563809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7263371014004"/>
          <c:y val="0.095238095238095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delete val="1"/>
            </c:dLbl>
            <c:dLbl>
              <c:idx val="1"/>
              <c:layout>
                <c:manualLayout>
                  <c:x val="0.0925804673857572"/>
                  <c:y val="-0.11441389350155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77522780965238"/>
                      <c:h val="0.080155642023346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财政拨款收入99.43%</c:v>
                </c:pt>
                <c:pt idx="1">
                  <c:v>非财政拨款收入0.57%</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3418.57</c:v>
                </c:pt>
                <c:pt idx="1">
                  <c:v>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51221214235869"/>
          <c:y val="0.806982274102896"/>
          <c:w val="0.489706378670267"/>
          <c:h val="0.1652399481193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8.29424914023722e-5"/>
                  <c:y val="0.0021423127410996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471.59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9275176979674"/>
                  <c:y val="-0.14299561067852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2977.98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77522780965238"/>
                      <c:h val="0.080155642023346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基本支出13.67%</c:v>
                </c:pt>
                <c:pt idx="1">
                  <c:v>项目支出86.33%</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471.59</c:v>
                </c:pt>
                <c:pt idx="1">
                  <c:v>2977.98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71684103948701"/>
          <c:y val="0.807522697795071"/>
          <c:w val="0.489706378670267"/>
          <c:h val="0.1652399481193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a:t>
            </a:r>
            <a:r>
              <a:rPr lang="en-US" altLang="zh-CN"/>
              <a:t>22</a:t>
            </a:r>
            <a:r>
              <a:t>-20</a:t>
            </a:r>
            <a:r>
              <a:rPr lang="en-US" altLang="zh-CN"/>
              <a:t>23</a:t>
            </a:r>
            <a:r>
              <a:t>年财政拨款收支出情况</a:t>
            </a:r>
          </a:p>
        </c:rich>
      </c:tx>
      <c:layout>
        <c:manualLayout>
          <c:xMode val="edge"/>
          <c:yMode val="edge"/>
          <c:x val="0.265969013318837"/>
          <c:y val="0.010903804216137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2022-2023年财政拨款收支出情况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2022年度收入</c:v>
                </c:pt>
                <c:pt idx="1">
                  <c:v>2023年度收入</c:v>
                </c:pt>
                <c:pt idx="2">
                  <c:v>2022年度支出</c:v>
                </c:pt>
                <c:pt idx="3">
                  <c:v>2023年度支出</c:v>
                </c:pt>
              </c:strCache>
            </c:strRef>
          </c:cat>
          <c:val>
            <c:numRef>
              <c:f>Sheet1!$B$2:$B$5</c:f>
              <c:numCache>
                <c:formatCode>General</c:formatCode>
                <c:ptCount val="4"/>
                <c:pt idx="0">
                  <c:v>2592.59</c:v>
                </c:pt>
                <c:pt idx="1">
                  <c:v>3418.57</c:v>
                </c:pt>
                <c:pt idx="2">
                  <c:v>2592.59</c:v>
                </c:pt>
                <c:pt idx="3">
                  <c:v>3418.57</c:v>
                </c:pt>
              </c:numCache>
            </c:numRef>
          </c:val>
        </c:ser>
        <c:dLbls>
          <c:showLegendKey val="0"/>
          <c:showVal val="1"/>
          <c:showCatName val="0"/>
          <c:showSerName val="0"/>
          <c:showPercent val="0"/>
          <c:showBubbleSize val="0"/>
        </c:dLbls>
        <c:gapWidth val="219"/>
        <c:overlap val="-27"/>
        <c:axId val="558559832"/>
        <c:axId val="822569770"/>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2022年度收入</c:v>
                      </c:pt>
                      <c:pt idx="1">
                        <c:v>2023年度收入</c:v>
                      </c:pt>
                      <c:pt idx="2">
                        <c:v>2022年度支出</c:v>
                      </c:pt>
                      <c:pt idx="3">
                        <c:v>2023年度支出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2022年度收入</c:v>
                      </c:pt>
                      <c:pt idx="1">
                        <c:v>2023年度收入</c:v>
                      </c:pt>
                      <c:pt idx="2">
                        <c:v>2022年度支出</c:v>
                      </c:pt>
                      <c:pt idx="3">
                        <c:v>2023年度支出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58559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569770"/>
        <c:crosses val="autoZero"/>
        <c:auto val="1"/>
        <c:lblAlgn val="ctr"/>
        <c:lblOffset val="100"/>
        <c:noMultiLvlLbl val="0"/>
      </c:catAx>
      <c:valAx>
        <c:axId val="82256977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8559832"/>
        <c:crosses val="autoZero"/>
        <c:crossBetween val="between"/>
      </c:valAx>
      <c:spPr>
        <a:noFill/>
        <a:ln>
          <a:noFill/>
        </a:ln>
        <a:effectLst/>
      </c:spPr>
    </c:plotArea>
    <c:legend>
      <c:legendPos val="b"/>
      <c:layout>
        <c:manualLayout>
          <c:xMode val="edge"/>
          <c:yMode val="edge"/>
          <c:x val="0.339123233215548"/>
          <c:y val="0.9100898554236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463554654011022"/>
          <c:y val="0.111208729818546"/>
          <c:w val="0.927925"/>
          <c:h val="0.716566666666667"/>
        </c:manualLayout>
      </c:layout>
      <c:barChart>
        <c:barDir val="col"/>
        <c:grouping val="clustered"/>
        <c:varyColors val="0"/>
        <c:ser>
          <c:idx val="0"/>
          <c:order val="0"/>
          <c:tx>
            <c:strRef>
              <c:f>Sheet1!$B$1</c:f>
              <c:strCache>
                <c:ptCount val="1"/>
                <c:pt idx="0">
                  <c:v>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收入预算数</c:v>
                </c:pt>
                <c:pt idx="1">
                  <c:v>收入决算数</c:v>
                </c:pt>
                <c:pt idx="2">
                  <c:v>支出预算数</c:v>
                </c:pt>
                <c:pt idx="3">
                  <c:v>支出决算数</c:v>
                </c:pt>
              </c:strCache>
            </c:strRef>
          </c:cat>
          <c:val>
            <c:numRef>
              <c:f>Sheet1!$B$2:$B$5</c:f>
              <c:numCache>
                <c:formatCode>General</c:formatCode>
                <c:ptCount val="4"/>
                <c:pt idx="0">
                  <c:v>6241.82</c:v>
                </c:pt>
                <c:pt idx="1">
                  <c:v>3418.57</c:v>
                </c:pt>
                <c:pt idx="2">
                  <c:v>6241.82</c:v>
                </c:pt>
                <c:pt idx="3">
                  <c:v>3418.57</c:v>
                </c:pt>
              </c:numCache>
            </c:numRef>
          </c:val>
        </c:ser>
        <c:dLbls>
          <c:showLegendKey val="0"/>
          <c:showVal val="1"/>
          <c:showCatName val="0"/>
          <c:showSerName val="0"/>
          <c:showPercent val="0"/>
          <c:showBubbleSize val="0"/>
        </c:dLbls>
        <c:gapWidth val="219"/>
        <c:overlap val="-27"/>
        <c:axId val="683268738"/>
        <c:axId val="692692921"/>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收入预算数</c:v>
                      </c:pt>
                      <c:pt idx="1">
                        <c:v>收入决算数</c:v>
                      </c:pt>
                      <c:pt idx="2">
                        <c:v>支出预算数</c:v>
                      </c:pt>
                      <c:pt idx="3">
                        <c:v>支出决算数</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收入预算数</c:v>
                      </c:pt>
                      <c:pt idx="1">
                        <c:v>收入决算数</c:v>
                      </c:pt>
                      <c:pt idx="2">
                        <c:v>支出预算数</c:v>
                      </c:pt>
                      <c:pt idx="3">
                        <c:v>支出决算数</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832687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692921"/>
        <c:crosses val="autoZero"/>
        <c:auto val="1"/>
        <c:lblAlgn val="ctr"/>
        <c:lblOffset val="100"/>
        <c:noMultiLvlLbl val="0"/>
      </c:catAx>
      <c:valAx>
        <c:axId val="6926929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32687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7ABCA-4227-4EFF-8EB9-5F1F21DB3EB7}">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49</Pages>
  <Words>18392</Words>
  <Characters>21225</Characters>
  <Lines>86</Lines>
  <Paragraphs>24</Paragraphs>
  <TotalTime>6</TotalTime>
  <ScaleCrop>false</ScaleCrop>
  <LinksUpToDate>false</LinksUpToDate>
  <CharactersWithSpaces>21726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2024-09-06T05:58:27Z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TemplateUUID">
    <vt:lpwstr>v1.0_mb_S7ajbG3IpAnL1wSthNCxfw==</vt:lpwstr>
  </property>
  <property fmtid="{D5CDD505-2E9C-101B-9397-08002B2CF9AE}" pid="4" name="ICV">
    <vt:lpwstr>AF2E9F3F4F6548F2A89139FC8417C9E4_13</vt:lpwstr>
  </property>
</Properties>
</file>