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0" w:name="_Toc14113"/>
      <w:r>
        <w:rPr>
          <w:rFonts w:hint="eastAsia" w:ascii="黑体" w:hAnsi="黑体" w:eastAsia="黑体" w:cs="黑体"/>
          <w:b/>
          <w:color w:val="000000"/>
          <w:sz w:val="44"/>
          <w:lang w:val="en-US" w:eastAsia="zh-CN"/>
        </w:rPr>
        <w:t>河北唐山海港经济开发区港城街道服务中心</w:t>
      </w:r>
      <w:bookmarkEnd w:id="0"/>
    </w:p>
    <w:p>
      <w:pPr>
        <w:jc w:val="center"/>
        <w:outlineLvl w:val="0"/>
      </w:pPr>
      <w:bookmarkStart w:id="1" w:name="_Toc9917"/>
      <w:r>
        <w:rPr>
          <w:rFonts w:ascii="黑体" w:hAnsi="黑体" w:eastAsia="黑体" w:cs="黑体"/>
          <w:b/>
          <w:color w:val="000000"/>
          <w:sz w:val="44"/>
        </w:rPr>
        <w:t>2024年单位预算信息公开目录</w:t>
      </w:r>
      <w:bookmarkEnd w:id="1"/>
    </w:p>
    <w:p/>
    <w:sdt>
      <w:sdtPr>
        <w:rPr>
          <w:rFonts w:ascii="宋体" w:hAnsi="宋体" w:eastAsia="宋体" w:cs="Times New Roman"/>
          <w:sz w:val="21"/>
          <w:szCs w:val="24"/>
          <w:lang w:val="en-US" w:eastAsia="uk-UA" w:bidi="ar-SA"/>
        </w:rPr>
        <w:id w:val="147467030"/>
        <w15:color w:val="DBDBDB"/>
        <w:docPartObj>
          <w:docPartGallery w:val="Table of Contents"/>
          <w:docPartUnique/>
        </w:docPartObj>
      </w:sdtPr>
      <w:sdtEndPr>
        <w:rPr>
          <w:rFonts w:ascii="Times New Roman" w:hAnsi="Times New Roman" w:eastAsia="Times New Roman" w:cs="Times New Roman"/>
          <w:sz w:val="24"/>
          <w:szCs w:val="24"/>
          <w:lang w:val="en-US" w:eastAsia="uk-UA" w:bidi="ar-SA"/>
        </w:rPr>
      </w:sdtEndPr>
      <w:sdtContent>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pPr>
          <w:r>
            <w:rPr>
              <w:rFonts w:hint="eastAsia" w:ascii="宋体" w:hAnsi="宋体" w:eastAsia="宋体" w:cs="Times New Roman"/>
              <w:sz w:val="21"/>
              <w:szCs w:val="24"/>
              <w:lang w:val="en-US" w:eastAsia="zh-CN" w:bidi="ar-SA"/>
            </w:rPr>
            <w:t xml:space="preserve"> </w:t>
          </w:r>
          <w:r>
            <w:rPr>
              <w:rFonts w:hint="eastAsia" w:ascii="方正楷体_GBK" w:hAnsi="方正楷体_GBK" w:eastAsia="方正楷体_GBK" w:cs="方正楷体_GBK"/>
              <w:b/>
              <w:color w:val="000000"/>
              <w:sz w:val="28"/>
              <w:lang w:val="en-US" w:eastAsia="zh-CN"/>
            </w:rPr>
            <w:t>一、单位预算公开表</w:t>
          </w:r>
          <w:r>
            <w:fldChar w:fldCharType="begin"/>
          </w:r>
          <w:r>
            <w:instrText xml:space="preserve">TOC \o "1-1" \h \u </w:instrText>
          </w:r>
          <w:r>
            <w:fldChar w:fldCharType="separate"/>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rPr>
              <w:rFonts w:hint="eastAsia"/>
              <w:sz w:val="28"/>
              <w:szCs w:val="28"/>
              <w:lang w:val="en-US" w:eastAsia="zh-CN"/>
            </w:rPr>
            <w:t>1、</w:t>
          </w:r>
          <w:r>
            <w:fldChar w:fldCharType="begin"/>
          </w:r>
          <w:r>
            <w:instrText xml:space="preserve"> HYPERLINK \l _Toc3903 </w:instrText>
          </w:r>
          <w:r>
            <w:fldChar w:fldCharType="separate"/>
          </w:r>
          <w:r>
            <w:rPr>
              <w:rFonts w:ascii="Times New Roman" w:hAnsi="Times New Roman" w:eastAsia="方正仿宋_GBK" w:cs="Times New Roman"/>
              <w:color w:val="000000"/>
              <w:sz w:val="28"/>
              <w:szCs w:val="24"/>
              <w:lang w:val="en-US" w:eastAsia="uk-UA" w:bidi="ar-SA"/>
            </w:rPr>
            <w:t>单位预算收支总表</w:t>
          </w:r>
          <w:bookmarkStart w:id="21" w:name="_GoBack"/>
          <w:bookmarkEnd w:id="21"/>
          <w:r>
            <w:tab/>
          </w:r>
          <w:r>
            <w:fldChar w:fldCharType="begin"/>
          </w:r>
          <w:r>
            <w:instrText xml:space="preserve"> PAGEREF _Toc3903 \h </w:instrText>
          </w:r>
          <w:r>
            <w:fldChar w:fldCharType="separate"/>
          </w:r>
          <w:r>
            <w:t>1</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rPr>
              <w:rFonts w:hint="eastAsia"/>
              <w:sz w:val="28"/>
              <w:szCs w:val="28"/>
              <w:lang w:val="en-US" w:eastAsia="zh-CN"/>
            </w:rPr>
            <w:t>2、</w:t>
          </w:r>
          <w:r>
            <w:fldChar w:fldCharType="begin"/>
          </w:r>
          <w:r>
            <w:instrText xml:space="preserve"> HYPERLINK \l _Toc13993 </w:instrText>
          </w:r>
          <w:r>
            <w:fldChar w:fldCharType="separate"/>
          </w:r>
          <w:r>
            <w:rPr>
              <w:rFonts w:ascii="Times New Roman" w:hAnsi="Times New Roman" w:eastAsia="方正仿宋_GBK" w:cs="Times New Roman"/>
              <w:color w:val="000000"/>
              <w:sz w:val="28"/>
              <w:szCs w:val="24"/>
              <w:lang w:val="en-US" w:eastAsia="uk-UA" w:bidi="ar-SA"/>
            </w:rPr>
            <w:t>单位预算收入总表</w:t>
          </w:r>
          <w:r>
            <w:tab/>
          </w:r>
          <w:r>
            <w:fldChar w:fldCharType="begin"/>
          </w:r>
          <w:r>
            <w:instrText xml:space="preserve"> PAGEREF _Toc13993 \h </w:instrText>
          </w:r>
          <w:r>
            <w:fldChar w:fldCharType="separate"/>
          </w:r>
          <w:r>
            <w:t>3</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rPr>
              <w:rFonts w:hint="eastAsia"/>
              <w:sz w:val="28"/>
              <w:szCs w:val="28"/>
              <w:lang w:val="en-US" w:eastAsia="zh-CN"/>
            </w:rPr>
            <w:t>3、</w:t>
          </w:r>
          <w:r>
            <w:fldChar w:fldCharType="begin"/>
          </w:r>
          <w:r>
            <w:instrText xml:space="preserve"> HYPERLINK \l _Toc18633 </w:instrText>
          </w:r>
          <w:r>
            <w:fldChar w:fldCharType="separate"/>
          </w:r>
          <w:r>
            <w:rPr>
              <w:rFonts w:ascii="Times New Roman" w:hAnsi="Times New Roman" w:eastAsia="方正仿宋_GBK" w:cs="Times New Roman"/>
              <w:color w:val="000000"/>
              <w:sz w:val="28"/>
              <w:szCs w:val="24"/>
              <w:lang w:val="en-US" w:eastAsia="uk-UA" w:bidi="ar-SA"/>
            </w:rPr>
            <w:t>单位预算支出总表</w:t>
          </w:r>
          <w:r>
            <w:tab/>
          </w:r>
          <w:r>
            <w:fldChar w:fldCharType="begin"/>
          </w:r>
          <w:r>
            <w:instrText xml:space="preserve"> PAGEREF _Toc18633 \h </w:instrText>
          </w:r>
          <w:r>
            <w:fldChar w:fldCharType="separate"/>
          </w:r>
          <w:r>
            <w:t>5</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rPr>
              <w:rFonts w:hint="eastAsia"/>
              <w:sz w:val="28"/>
              <w:szCs w:val="28"/>
              <w:lang w:val="en-US" w:eastAsia="zh-CN"/>
            </w:rPr>
            <w:t>4、</w:t>
          </w:r>
          <w:r>
            <w:fldChar w:fldCharType="begin"/>
          </w:r>
          <w:r>
            <w:instrText xml:space="preserve"> HYPERLINK \l _Toc14272 </w:instrText>
          </w:r>
          <w:r>
            <w:fldChar w:fldCharType="separate"/>
          </w:r>
          <w:r>
            <w:rPr>
              <w:rFonts w:ascii="Times New Roman" w:hAnsi="Times New Roman" w:eastAsia="方正仿宋_GBK" w:cs="Times New Roman"/>
              <w:color w:val="000000"/>
              <w:sz w:val="28"/>
              <w:szCs w:val="24"/>
              <w:lang w:val="en-US" w:eastAsia="uk-UA" w:bidi="ar-SA"/>
            </w:rPr>
            <w:t>单位预算财政拨款收支总表</w:t>
          </w:r>
          <w:r>
            <w:tab/>
          </w:r>
          <w:r>
            <w:fldChar w:fldCharType="begin"/>
          </w:r>
          <w:r>
            <w:instrText xml:space="preserve"> PAGEREF _Toc14272 \h </w:instrText>
          </w:r>
          <w:r>
            <w:fldChar w:fldCharType="separate"/>
          </w:r>
          <w:r>
            <w:t>7</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rPr>
              <w:rFonts w:hint="eastAsia"/>
              <w:sz w:val="28"/>
              <w:szCs w:val="28"/>
              <w:lang w:val="en-US" w:eastAsia="zh-CN"/>
            </w:rPr>
            <w:t>5、</w:t>
          </w:r>
          <w:r>
            <w:fldChar w:fldCharType="begin"/>
          </w:r>
          <w:r>
            <w:instrText xml:space="preserve"> HYPERLINK \l _Toc32639 </w:instrText>
          </w:r>
          <w:r>
            <w:fldChar w:fldCharType="separate"/>
          </w:r>
          <w:r>
            <w:rPr>
              <w:rFonts w:ascii="Times New Roman" w:hAnsi="Times New Roman" w:eastAsia="方正仿宋_GBK" w:cs="Times New Roman"/>
              <w:color w:val="000000"/>
              <w:sz w:val="28"/>
              <w:szCs w:val="24"/>
              <w:lang w:val="en-US" w:eastAsia="uk-UA" w:bidi="ar-SA"/>
            </w:rPr>
            <w:t>单位预算一般公共预算财政拨款支出表</w:t>
          </w:r>
          <w:r>
            <w:tab/>
          </w:r>
          <w:r>
            <w:fldChar w:fldCharType="begin"/>
          </w:r>
          <w:r>
            <w:instrText xml:space="preserve"> PAGEREF _Toc32639 \h </w:instrText>
          </w:r>
          <w:r>
            <w:fldChar w:fldCharType="separate"/>
          </w:r>
          <w:r>
            <w:t>10</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rPr>
              <w:rFonts w:hint="eastAsia"/>
              <w:sz w:val="28"/>
              <w:szCs w:val="28"/>
              <w:lang w:val="en-US" w:eastAsia="zh-CN"/>
            </w:rPr>
            <w:t>6、</w:t>
          </w:r>
          <w:r>
            <w:fldChar w:fldCharType="begin"/>
          </w:r>
          <w:r>
            <w:instrText xml:space="preserve"> HYPERLINK \l _Toc7240 </w:instrText>
          </w:r>
          <w:r>
            <w:fldChar w:fldCharType="separate"/>
          </w:r>
          <w:r>
            <w:rPr>
              <w:rFonts w:ascii="Times New Roman" w:hAnsi="Times New Roman" w:eastAsia="方正仿宋_GBK" w:cs="Times New Roman"/>
              <w:color w:val="000000"/>
              <w:sz w:val="28"/>
              <w:szCs w:val="24"/>
              <w:lang w:val="en-US" w:eastAsia="uk-UA" w:bidi="ar-SA"/>
            </w:rPr>
            <w:t>单位预算一般公共预算财政拨款基本支出表</w:t>
          </w:r>
          <w:r>
            <w:tab/>
          </w:r>
          <w:r>
            <w:fldChar w:fldCharType="begin"/>
          </w:r>
          <w:r>
            <w:instrText xml:space="preserve"> PAGEREF _Toc7240 \h </w:instrText>
          </w:r>
          <w:r>
            <w:fldChar w:fldCharType="separate"/>
          </w:r>
          <w:r>
            <w:t>11</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rPr>
              <w:rFonts w:hint="eastAsia"/>
              <w:sz w:val="28"/>
              <w:szCs w:val="28"/>
              <w:lang w:val="en-US" w:eastAsia="zh-CN"/>
            </w:rPr>
            <w:t>7、</w:t>
          </w:r>
          <w:r>
            <w:fldChar w:fldCharType="begin"/>
          </w:r>
          <w:r>
            <w:instrText xml:space="preserve"> HYPERLINK \l _Toc5136 </w:instrText>
          </w:r>
          <w:r>
            <w:fldChar w:fldCharType="separate"/>
          </w:r>
          <w:r>
            <w:rPr>
              <w:rFonts w:ascii="Times New Roman" w:hAnsi="Times New Roman" w:eastAsia="方正仿宋_GBK" w:cs="Times New Roman"/>
              <w:color w:val="000000"/>
              <w:sz w:val="28"/>
              <w:szCs w:val="24"/>
              <w:lang w:val="en-US" w:eastAsia="uk-UA" w:bidi="ar-SA"/>
            </w:rPr>
            <w:t>单位预算政府性基金预算财政拨款支出表</w:t>
          </w:r>
          <w:r>
            <w:tab/>
          </w:r>
          <w:r>
            <w:fldChar w:fldCharType="begin"/>
          </w:r>
          <w:r>
            <w:instrText xml:space="preserve"> PAGEREF _Toc5136 \h </w:instrText>
          </w:r>
          <w:r>
            <w:fldChar w:fldCharType="separate"/>
          </w:r>
          <w:r>
            <w:t>12</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rPr>
              <w:rFonts w:hint="eastAsia"/>
              <w:sz w:val="28"/>
              <w:szCs w:val="28"/>
              <w:lang w:val="en-US" w:eastAsia="zh-CN"/>
            </w:rPr>
            <w:t>8、</w:t>
          </w:r>
          <w:r>
            <w:fldChar w:fldCharType="begin"/>
          </w:r>
          <w:r>
            <w:instrText xml:space="preserve"> HYPERLINK \l _Toc963 </w:instrText>
          </w:r>
          <w:r>
            <w:fldChar w:fldCharType="separate"/>
          </w:r>
          <w:r>
            <w:rPr>
              <w:rFonts w:ascii="Times New Roman" w:hAnsi="Times New Roman" w:eastAsia="方正仿宋_GBK" w:cs="Times New Roman"/>
              <w:color w:val="000000"/>
              <w:sz w:val="28"/>
              <w:szCs w:val="24"/>
              <w:lang w:val="en-US" w:eastAsia="uk-UA" w:bidi="ar-SA"/>
            </w:rPr>
            <w:t>单位预算国有资本经营预算财政拨款支出表</w:t>
          </w:r>
          <w:r>
            <w:tab/>
          </w:r>
          <w:r>
            <w:fldChar w:fldCharType="begin"/>
          </w:r>
          <w:r>
            <w:instrText xml:space="preserve"> PAGEREF _Toc963 \h </w:instrText>
          </w:r>
          <w:r>
            <w:fldChar w:fldCharType="separate"/>
          </w:r>
          <w:r>
            <w:t>13</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rPr>
              <w:rFonts w:ascii="宋体" w:hAnsi="宋体" w:eastAsia="宋体" w:cs="Times New Roman"/>
              <w:sz w:val="21"/>
              <w:szCs w:val="24"/>
              <w:lang w:val="en-US" w:eastAsia="uk-UA" w:bidi="ar-SA"/>
            </w:rPr>
          </w:pPr>
          <w:r>
            <w:rPr>
              <w:rFonts w:hint="eastAsia"/>
              <w:sz w:val="28"/>
              <w:szCs w:val="28"/>
              <w:lang w:val="en-US" w:eastAsia="zh-CN"/>
            </w:rPr>
            <w:t>9、</w:t>
          </w:r>
          <w:r>
            <w:rPr>
              <w:rFonts w:ascii="宋体" w:hAnsi="宋体" w:eastAsia="宋体" w:cs="Times New Roman"/>
              <w:sz w:val="21"/>
              <w:szCs w:val="24"/>
              <w:lang w:val="en-US" w:eastAsia="uk-UA" w:bidi="ar-SA"/>
            </w:rPr>
            <w:fldChar w:fldCharType="begin"/>
          </w:r>
          <w:r>
            <w:rPr>
              <w:rFonts w:ascii="宋体" w:hAnsi="宋体" w:eastAsia="宋体" w:cs="Times New Roman"/>
              <w:sz w:val="21"/>
              <w:szCs w:val="24"/>
              <w:lang w:val="en-US" w:eastAsia="uk-UA" w:bidi="ar-SA"/>
            </w:rPr>
            <w:instrText xml:space="preserve"> HYPERLINK \l _Toc11064 </w:instrText>
          </w:r>
          <w:r>
            <w:rPr>
              <w:rFonts w:ascii="宋体" w:hAnsi="宋体" w:eastAsia="宋体" w:cs="Times New Roman"/>
              <w:sz w:val="21"/>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单位预算财政拨款“三公”经费支出表</w:t>
          </w:r>
          <w:r>
            <w:rPr>
              <w:rFonts w:ascii="Times New Roman" w:hAnsi="Times New Roman" w:cs="Times New Roman" w:eastAsiaTheme="minorEastAsia"/>
              <w:lang w:val="en-US" w:eastAsia="uk-UA"/>
            </w:rPr>
            <w:tab/>
          </w:r>
          <w:r>
            <w:rPr>
              <w:rFonts w:ascii="宋体" w:hAnsi="宋体" w:eastAsia="宋体" w:cs="Times New Roman"/>
              <w:sz w:val="21"/>
              <w:szCs w:val="24"/>
              <w:lang w:val="en-US" w:eastAsia="uk-UA" w:bidi="ar-SA"/>
            </w:rPr>
            <w:fldChar w:fldCharType="begin"/>
          </w:r>
          <w:r>
            <w:rPr>
              <w:rFonts w:ascii="宋体" w:hAnsi="宋体" w:eastAsia="宋体" w:cs="Times New Roman"/>
              <w:sz w:val="21"/>
              <w:szCs w:val="24"/>
              <w:lang w:val="en-US" w:eastAsia="uk-UA" w:bidi="ar-SA"/>
            </w:rPr>
            <w:instrText xml:space="preserve"> PAGEREF _Toc11064 \h </w:instrText>
          </w:r>
          <w:r>
            <w:rPr>
              <w:rFonts w:ascii="宋体" w:hAnsi="宋体" w:eastAsia="宋体" w:cs="Times New Roman"/>
              <w:sz w:val="21"/>
              <w:szCs w:val="24"/>
              <w:lang w:val="en-US" w:eastAsia="uk-UA" w:bidi="ar-SA"/>
            </w:rPr>
            <w:fldChar w:fldCharType="separate"/>
          </w:r>
          <w:r>
            <w:rPr>
              <w:rFonts w:ascii="宋体" w:hAnsi="宋体" w:eastAsia="宋体" w:cs="Times New Roman"/>
              <w:sz w:val="21"/>
              <w:szCs w:val="24"/>
              <w:lang w:val="en-US" w:eastAsia="uk-UA" w:bidi="ar-SA"/>
            </w:rPr>
            <w:t>14</w:t>
          </w:r>
          <w:r>
            <w:rPr>
              <w:rFonts w:ascii="宋体" w:hAnsi="宋体" w:eastAsia="宋体" w:cs="Times New Roman"/>
              <w:sz w:val="21"/>
              <w:szCs w:val="24"/>
              <w:lang w:val="en-US" w:eastAsia="uk-UA" w:bidi="ar-SA"/>
            </w:rPr>
            <w:fldChar w:fldCharType="end"/>
          </w:r>
          <w:r>
            <w:rPr>
              <w:rFonts w:ascii="宋体" w:hAnsi="宋体" w:eastAsia="宋体" w:cs="Times New Roman"/>
              <w:sz w:val="21"/>
              <w:szCs w:val="24"/>
              <w:lang w:val="en-US" w:eastAsia="uk-UA" w:bidi="ar-SA"/>
            </w:rP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2" w:firstLineChars="200"/>
            <w:textAlignment w:val="auto"/>
            <w:rPr>
              <w:rFonts w:hint="default" w:ascii="方正楷体_GBK" w:hAnsi="方正楷体_GBK" w:eastAsia="方正楷体_GBK" w:cs="方正楷体_GBK"/>
              <w:b/>
              <w:color w:val="000000"/>
              <w:sz w:val="28"/>
              <w:szCs w:val="24"/>
              <w:lang w:val="en-US" w:eastAsia="zh-CN" w:bidi="ar-SA"/>
            </w:rPr>
          </w:pPr>
          <w:r>
            <w:rPr>
              <w:rFonts w:hint="eastAsia" w:ascii="方正楷体_GBK" w:hAnsi="方正楷体_GBK" w:eastAsia="方正楷体_GBK" w:cs="方正楷体_GBK"/>
              <w:b/>
              <w:color w:val="000000"/>
              <w:sz w:val="28"/>
              <w:szCs w:val="24"/>
              <w:lang w:val="en-US" w:eastAsia="zh-CN" w:bidi="ar-SA"/>
            </w:rPr>
            <w:t>二、单位预算信息公开情况说明</w:t>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_Toc25299 </w:instrText>
          </w:r>
          <w:r>
            <w:fldChar w:fldCharType="separate"/>
          </w:r>
          <w:r>
            <w:rPr>
              <w:rFonts w:hint="eastAsia"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t>、单位职责及机构设置情况</w:t>
          </w:r>
          <w:r>
            <w:tab/>
          </w:r>
          <w:r>
            <w:fldChar w:fldCharType="begin"/>
          </w:r>
          <w:r>
            <w:instrText xml:space="preserve"> PAGEREF _Toc25299 \h </w:instrText>
          </w:r>
          <w:r>
            <w:fldChar w:fldCharType="separate"/>
          </w:r>
          <w:r>
            <w:t>15</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_Toc28920 </w:instrText>
          </w:r>
          <w:r>
            <w:fldChar w:fldCharType="separate"/>
          </w:r>
          <w:r>
            <w:rPr>
              <w:rFonts w:hint="eastAsia" w:eastAsia="方正仿宋_GBK"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t>、单位预算安排的总体情况</w:t>
          </w:r>
          <w:r>
            <w:tab/>
          </w:r>
          <w:r>
            <w:fldChar w:fldCharType="begin"/>
          </w:r>
          <w:r>
            <w:instrText xml:space="preserve"> PAGEREF _Toc28920 \h </w:instrText>
          </w:r>
          <w:r>
            <w:fldChar w:fldCharType="separate"/>
          </w:r>
          <w:r>
            <w:t>16</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_Toc21599 </w:instrText>
          </w:r>
          <w:r>
            <w:fldChar w:fldCharType="separate"/>
          </w:r>
          <w:r>
            <w:rPr>
              <w:rFonts w:hint="eastAsia"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、机关运行经费安排情况</w:t>
          </w:r>
          <w:r>
            <w:tab/>
          </w:r>
          <w:r>
            <w:fldChar w:fldCharType="begin"/>
          </w:r>
          <w:r>
            <w:instrText xml:space="preserve"> PAGEREF _Toc21599 \h </w:instrText>
          </w:r>
          <w:r>
            <w:fldChar w:fldCharType="separate"/>
          </w:r>
          <w:r>
            <w:t>17</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_Toc22681 </w:instrText>
          </w:r>
          <w:r>
            <w:fldChar w:fldCharType="separate"/>
          </w:r>
          <w:r>
            <w:rPr>
              <w:rFonts w:hint="eastAsia"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、财政拨款“三公”经费预算情况及增减变化原因</w:t>
          </w:r>
          <w:r>
            <w:tab/>
          </w:r>
          <w:r>
            <w:fldChar w:fldCharType="begin"/>
          </w:r>
          <w:r>
            <w:instrText xml:space="preserve"> PAGEREF _Toc22681 \h </w:instrText>
          </w:r>
          <w:r>
            <w:fldChar w:fldCharType="separate"/>
          </w:r>
          <w:r>
            <w:t>17</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_Toc30922 </w:instrText>
          </w:r>
          <w:r>
            <w:fldChar w:fldCharType="separate"/>
          </w:r>
          <w:r>
            <w:rPr>
              <w:rFonts w:hint="eastAsia" w:eastAsia="方正仿宋_GBK" w:cs="Times New Roman"/>
              <w:color w:val="000000"/>
              <w:sz w:val="28"/>
              <w:szCs w:val="24"/>
              <w:lang w:val="en-US" w:eastAsia="zh-CN" w:bidi="ar-SA"/>
            </w:rPr>
            <w:t>5</w:t>
          </w:r>
          <w:r>
            <w:rPr>
              <w:rFonts w:ascii="Times New Roman" w:hAnsi="Times New Roman" w:eastAsia="方正仿宋_GBK" w:cs="Times New Roman"/>
              <w:color w:val="000000"/>
              <w:sz w:val="28"/>
              <w:szCs w:val="24"/>
              <w:lang w:val="en-US" w:eastAsia="uk-UA" w:bidi="ar-SA"/>
            </w:rPr>
            <w:t>、单位项目预算安排情况及绩效目标</w:t>
          </w:r>
          <w:r>
            <w:tab/>
          </w:r>
          <w:r>
            <w:fldChar w:fldCharType="begin"/>
          </w:r>
          <w:r>
            <w:instrText xml:space="preserve"> PAGEREF _Toc30922 \h </w:instrText>
          </w:r>
          <w:r>
            <w:fldChar w:fldCharType="separate"/>
          </w:r>
          <w:r>
            <w:t>18</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_Toc10506 </w:instrText>
          </w:r>
          <w:r>
            <w:fldChar w:fldCharType="separate"/>
          </w:r>
          <w:r>
            <w:rPr>
              <w:rFonts w:hint="eastAsia" w:eastAsia="方正仿宋_GBK" w:cs="Times New Roman"/>
              <w:color w:val="000000"/>
              <w:sz w:val="28"/>
              <w:szCs w:val="24"/>
              <w:lang w:val="en-US" w:eastAsia="zh-CN" w:bidi="ar-SA"/>
            </w:rPr>
            <w:t>6</w:t>
          </w:r>
          <w:r>
            <w:rPr>
              <w:rFonts w:ascii="Times New Roman" w:hAnsi="Times New Roman" w:eastAsia="方正仿宋_GBK" w:cs="Times New Roman"/>
              <w:color w:val="000000"/>
              <w:sz w:val="28"/>
              <w:szCs w:val="24"/>
              <w:lang w:val="en-US" w:eastAsia="uk-UA" w:bidi="ar-SA"/>
            </w:rPr>
            <w:t>、政府采购预算情况</w:t>
          </w:r>
          <w:r>
            <w:tab/>
          </w:r>
          <w:r>
            <w:fldChar w:fldCharType="begin"/>
          </w:r>
          <w:r>
            <w:instrText xml:space="preserve"> PAGEREF _Toc10506 \h </w:instrText>
          </w:r>
          <w:r>
            <w:fldChar w:fldCharType="separate"/>
          </w:r>
          <w:r>
            <w:t>35</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_Toc24450 </w:instrText>
          </w:r>
          <w:r>
            <w:fldChar w:fldCharType="separate"/>
          </w:r>
          <w:r>
            <w:rPr>
              <w:rFonts w:hint="eastAsia" w:eastAsia="方正仿宋_GBK" w:cs="Times New Roman"/>
              <w:color w:val="000000"/>
              <w:sz w:val="28"/>
              <w:szCs w:val="24"/>
              <w:lang w:val="en-US" w:eastAsia="zh-CN" w:bidi="ar-SA"/>
            </w:rPr>
            <w:t>7</w:t>
          </w:r>
          <w:r>
            <w:rPr>
              <w:rFonts w:ascii="Times New Roman" w:hAnsi="Times New Roman" w:eastAsia="方正仿宋_GBK" w:cs="Times New Roman"/>
              <w:color w:val="000000"/>
              <w:sz w:val="28"/>
              <w:szCs w:val="24"/>
              <w:lang w:val="en-US" w:eastAsia="uk-UA" w:bidi="ar-SA"/>
            </w:rPr>
            <w:t>、国有资产信息</w:t>
          </w:r>
          <w:r>
            <w:tab/>
          </w:r>
          <w:r>
            <w:fldChar w:fldCharType="begin"/>
          </w:r>
          <w:r>
            <w:instrText xml:space="preserve"> PAGEREF _Toc24450 \h </w:instrText>
          </w:r>
          <w:r>
            <w:fldChar w:fldCharType="separate"/>
          </w:r>
          <w:r>
            <w:t>35</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_Toc14691 </w:instrText>
          </w:r>
          <w:r>
            <w:fldChar w:fldCharType="separate"/>
          </w:r>
          <w:r>
            <w:rPr>
              <w:rFonts w:hint="eastAsia" w:eastAsia="方正仿宋_GBK" w:cs="Times New Roman"/>
              <w:color w:val="000000"/>
              <w:sz w:val="28"/>
              <w:szCs w:val="24"/>
              <w:lang w:val="en-US" w:eastAsia="zh-CN" w:bidi="ar-SA"/>
            </w:rPr>
            <w:t>8</w:t>
          </w:r>
          <w:r>
            <w:rPr>
              <w:rFonts w:ascii="Times New Roman" w:hAnsi="Times New Roman" w:eastAsia="方正仿宋_GBK" w:cs="Times New Roman"/>
              <w:color w:val="000000"/>
              <w:sz w:val="28"/>
              <w:szCs w:val="24"/>
              <w:lang w:val="en-US" w:eastAsia="uk-UA" w:bidi="ar-SA"/>
            </w:rPr>
            <w:t>、名词解释</w:t>
          </w:r>
          <w:r>
            <w:tab/>
          </w:r>
          <w:r>
            <w:fldChar w:fldCharType="begin"/>
          </w:r>
          <w:r>
            <w:instrText xml:space="preserve"> PAGEREF _Toc14691 \h </w:instrText>
          </w:r>
          <w:r>
            <w:fldChar w:fldCharType="separate"/>
          </w:r>
          <w:r>
            <w:t>36</w:t>
          </w:r>
          <w:r>
            <w:fldChar w:fldCharType="end"/>
          </w:r>
          <w:r>
            <w:fldChar w:fldCharType="end"/>
          </w:r>
        </w:p>
        <w:p>
          <w:pPr>
            <w:pStyle w:val="26"/>
            <w:keepNext w:val="0"/>
            <w:keepLines w:val="0"/>
            <w:pageBreakBefore w:val="0"/>
            <w:widowControl/>
            <w:tabs>
              <w:tab w:val="right" w:leader="dot" w:pos="14572"/>
            </w:tabs>
            <w:kinsoku/>
            <w:wordWrap/>
            <w:overflowPunct/>
            <w:topLinePunct w:val="0"/>
            <w:autoSpaceDE/>
            <w:autoSpaceDN/>
            <w:bidi w:val="0"/>
            <w:adjustRightInd/>
            <w:snapToGrid/>
            <w:spacing w:before="120"/>
            <w:ind w:firstLine="561"/>
            <w:textAlignment w:val="auto"/>
          </w:pPr>
          <w:r>
            <w:fldChar w:fldCharType="begin"/>
          </w:r>
          <w:r>
            <w:instrText xml:space="preserve"> HYPERLINK \l _Toc31512 </w:instrText>
          </w:r>
          <w:r>
            <w:fldChar w:fldCharType="separate"/>
          </w:r>
          <w:r>
            <w:rPr>
              <w:rFonts w:hint="eastAsia" w:eastAsia="方正仿宋_GBK" w:cs="Times New Roman"/>
              <w:color w:val="000000"/>
              <w:sz w:val="28"/>
              <w:szCs w:val="24"/>
              <w:lang w:val="en-US" w:eastAsia="zh-CN" w:bidi="ar-SA"/>
            </w:rPr>
            <w:t>9</w:t>
          </w:r>
          <w:r>
            <w:rPr>
              <w:rFonts w:ascii="Times New Roman" w:hAnsi="Times New Roman" w:eastAsia="方正仿宋_GBK" w:cs="Times New Roman"/>
              <w:color w:val="000000"/>
              <w:sz w:val="28"/>
              <w:szCs w:val="24"/>
              <w:lang w:val="en-US" w:eastAsia="uk-UA" w:bidi="ar-SA"/>
            </w:rPr>
            <w:t>、其他需要说明的事项</w:t>
          </w:r>
          <w:r>
            <w:tab/>
          </w:r>
          <w:r>
            <w:fldChar w:fldCharType="begin"/>
          </w:r>
          <w:r>
            <w:instrText xml:space="preserve"> PAGEREF _Toc31512 \h </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sdtContent>
    </w:sdt>
    <w:p>
      <w:pPr>
        <w:jc w:val="center"/>
        <w:outlineLvl w:val="0"/>
      </w:pPr>
      <w:bookmarkStart w:id="2" w:name="_Toc3903"/>
      <w:r>
        <w:rPr>
          <w:rFonts w:ascii="方正小标宋_GBK" w:hAnsi="方正小标宋_GBK" w:eastAsia="方正小标宋_GBK" w:cs="方正小标宋_GBK"/>
          <w:color w:val="000000"/>
          <w:sz w:val="36"/>
        </w:rPr>
        <w:t>单位预算收支总表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1976.58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90.30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1595.38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2066.88</w:t>
            </w:r>
          </w:p>
        </w:tc>
        <w:tc>
          <w:tcPr>
            <w:tcW w:w="4535" w:type="dxa"/>
            <w:vAlign w:val="center"/>
          </w:tcPr>
          <w:p>
            <w:pPr>
              <w:pStyle w:val="14"/>
            </w:pPr>
            <w:r>
              <w:t>本年支出合计</w:t>
            </w:r>
          </w:p>
        </w:tc>
        <w:tc>
          <w:tcPr>
            <w:tcW w:w="2126" w:type="dxa"/>
            <w:vAlign w:val="center"/>
          </w:tcPr>
          <w:p>
            <w:pPr>
              <w:pStyle w:val="15"/>
            </w:pPr>
            <w:r>
              <w:t>2133.59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66.71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2133.59</w:t>
            </w:r>
          </w:p>
        </w:tc>
        <w:tc>
          <w:tcPr>
            <w:tcW w:w="4535" w:type="dxa"/>
            <w:vAlign w:val="center"/>
          </w:tcPr>
          <w:p>
            <w:pPr>
              <w:pStyle w:val="14"/>
            </w:pPr>
            <w:r>
              <w:t>支出总计</w:t>
            </w:r>
          </w:p>
        </w:tc>
        <w:tc>
          <w:tcPr>
            <w:tcW w:w="2126" w:type="dxa"/>
            <w:vAlign w:val="center"/>
          </w:tcPr>
          <w:p>
            <w:pPr>
              <w:pStyle w:val="15"/>
            </w:pPr>
            <w:r>
              <w:t>2133.59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0"/>
      </w:pPr>
      <w:bookmarkStart w:id="3" w:name="_Toc13993"/>
      <w:r>
        <w:rPr>
          <w:rFonts w:ascii="方正小标宋_GBK" w:hAnsi="方正小标宋_GBK" w:eastAsia="方正小标宋_GBK" w:cs="方正小标宋_GBK"/>
          <w:color w:val="000000"/>
          <w:sz w:val="36"/>
        </w:rPr>
        <w:t>单位预算收入总表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2133.59</w:t>
            </w:r>
          </w:p>
        </w:tc>
        <w:tc>
          <w:tcPr>
            <w:tcW w:w="1134" w:type="dxa"/>
            <w:vAlign w:val="center"/>
          </w:tcPr>
          <w:p>
            <w:pPr>
              <w:pStyle w:val="15"/>
            </w:pPr>
            <w:r>
              <w:t>2066.88</w:t>
            </w:r>
          </w:p>
        </w:tc>
        <w:tc>
          <w:tcPr>
            <w:tcW w:w="1134" w:type="dxa"/>
            <w:vAlign w:val="center"/>
          </w:tcPr>
          <w:p>
            <w:pPr>
              <w:pStyle w:val="15"/>
            </w:pPr>
            <w:r>
              <w:t>2066.88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336.20</w:t>
            </w:r>
          </w:p>
        </w:tc>
        <w:tc>
          <w:tcPr>
            <w:tcW w:w="1134" w:type="dxa"/>
            <w:vAlign w:val="center"/>
          </w:tcPr>
          <w:p>
            <w:pPr>
              <w:pStyle w:val="11"/>
            </w:pPr>
            <w:r>
              <w:t>336.20</w:t>
            </w:r>
          </w:p>
        </w:tc>
        <w:tc>
          <w:tcPr>
            <w:tcW w:w="1134" w:type="dxa"/>
            <w:vAlign w:val="center"/>
          </w:tcPr>
          <w:p>
            <w:pPr>
              <w:pStyle w:val="11"/>
            </w:pPr>
            <w:r>
              <w:t>336.20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315.00</w:t>
            </w:r>
          </w:p>
        </w:tc>
        <w:tc>
          <w:tcPr>
            <w:tcW w:w="1134" w:type="dxa"/>
            <w:vAlign w:val="center"/>
          </w:tcPr>
          <w:p>
            <w:pPr>
              <w:pStyle w:val="11"/>
            </w:pPr>
            <w:r>
              <w:t>315.00</w:t>
            </w:r>
          </w:p>
        </w:tc>
        <w:tc>
          <w:tcPr>
            <w:tcW w:w="1134" w:type="dxa"/>
            <w:vAlign w:val="center"/>
          </w:tcPr>
          <w:p>
            <w:pPr>
              <w:pStyle w:val="11"/>
            </w:pPr>
            <w:r>
              <w:t>315.00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315.00</w:t>
            </w:r>
          </w:p>
        </w:tc>
        <w:tc>
          <w:tcPr>
            <w:tcW w:w="1134" w:type="dxa"/>
            <w:vAlign w:val="center"/>
          </w:tcPr>
          <w:p>
            <w:pPr>
              <w:pStyle w:val="11"/>
            </w:pPr>
            <w:r>
              <w:t>315.00</w:t>
            </w:r>
          </w:p>
        </w:tc>
        <w:tc>
          <w:tcPr>
            <w:tcW w:w="1134" w:type="dxa"/>
            <w:vAlign w:val="center"/>
          </w:tcPr>
          <w:p>
            <w:pPr>
              <w:pStyle w:val="11"/>
            </w:pPr>
            <w:r>
              <w:t>315.00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r>
              <w:t>20.20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1595.38</w:t>
            </w:r>
          </w:p>
        </w:tc>
        <w:tc>
          <w:tcPr>
            <w:tcW w:w="1134" w:type="dxa"/>
            <w:vAlign w:val="center"/>
          </w:tcPr>
          <w:p>
            <w:pPr>
              <w:pStyle w:val="11"/>
            </w:pPr>
            <w:r>
              <w:t>1595.38</w:t>
            </w:r>
          </w:p>
        </w:tc>
        <w:tc>
          <w:tcPr>
            <w:tcW w:w="1134" w:type="dxa"/>
            <w:vAlign w:val="center"/>
          </w:tcPr>
          <w:p>
            <w:pPr>
              <w:pStyle w:val="11"/>
            </w:pPr>
            <w:r>
              <w:t>1595.38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21201</w:t>
            </w:r>
          </w:p>
        </w:tc>
        <w:tc>
          <w:tcPr>
            <w:tcW w:w="1559" w:type="dxa"/>
            <w:vAlign w:val="center"/>
          </w:tcPr>
          <w:p>
            <w:pPr>
              <w:pStyle w:val="12"/>
            </w:pPr>
            <w:r>
              <w:t>城乡</w:t>
            </w:r>
            <w:r>
              <w:rPr>
                <w:rFonts w:hint="eastAsia"/>
                <w:lang w:eastAsia="zh-CN"/>
              </w:rPr>
              <w:t>港城街道</w:t>
            </w:r>
            <w:r>
              <w:t>事务</w:t>
            </w:r>
          </w:p>
        </w:tc>
        <w:tc>
          <w:tcPr>
            <w:tcW w:w="1134" w:type="dxa"/>
            <w:vAlign w:val="center"/>
          </w:tcPr>
          <w:p>
            <w:pPr>
              <w:pStyle w:val="11"/>
            </w:pPr>
            <w:r>
              <w:t>1595.38</w:t>
            </w:r>
          </w:p>
        </w:tc>
        <w:tc>
          <w:tcPr>
            <w:tcW w:w="1134" w:type="dxa"/>
            <w:vAlign w:val="center"/>
          </w:tcPr>
          <w:p>
            <w:pPr>
              <w:pStyle w:val="11"/>
            </w:pPr>
            <w:r>
              <w:t>1595.38</w:t>
            </w:r>
          </w:p>
        </w:tc>
        <w:tc>
          <w:tcPr>
            <w:tcW w:w="1134" w:type="dxa"/>
            <w:vAlign w:val="center"/>
          </w:tcPr>
          <w:p>
            <w:pPr>
              <w:pStyle w:val="11"/>
            </w:pPr>
            <w:r>
              <w:t>1595.38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1589.88</w:t>
            </w:r>
          </w:p>
        </w:tc>
        <w:tc>
          <w:tcPr>
            <w:tcW w:w="1134" w:type="dxa"/>
            <w:vAlign w:val="center"/>
          </w:tcPr>
          <w:p>
            <w:pPr>
              <w:pStyle w:val="11"/>
            </w:pPr>
            <w:r>
              <w:t>1589.88</w:t>
            </w:r>
          </w:p>
        </w:tc>
        <w:tc>
          <w:tcPr>
            <w:tcW w:w="1134" w:type="dxa"/>
            <w:vAlign w:val="center"/>
          </w:tcPr>
          <w:p>
            <w:pPr>
              <w:pStyle w:val="11"/>
            </w:pPr>
            <w:r>
              <w:t>1589.88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5.50</w:t>
            </w:r>
          </w:p>
        </w:tc>
        <w:tc>
          <w:tcPr>
            <w:tcW w:w="1134" w:type="dxa"/>
            <w:vAlign w:val="center"/>
          </w:tcPr>
          <w:p>
            <w:pPr>
              <w:pStyle w:val="11"/>
            </w:pPr>
            <w:r>
              <w:t>5.50</w:t>
            </w:r>
          </w:p>
        </w:tc>
        <w:tc>
          <w:tcPr>
            <w:tcW w:w="1134" w:type="dxa"/>
            <w:vAlign w:val="center"/>
          </w:tcPr>
          <w:p>
            <w:pPr>
              <w:pStyle w:val="11"/>
            </w:pPr>
            <w:r>
              <w:t>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157.01</w:t>
            </w:r>
          </w:p>
        </w:tc>
        <w:tc>
          <w:tcPr>
            <w:tcW w:w="1134" w:type="dxa"/>
            <w:vAlign w:val="center"/>
          </w:tcPr>
          <w:p>
            <w:pPr>
              <w:pStyle w:val="11"/>
            </w:pPr>
            <w:r>
              <w:t>90.30</w:t>
            </w:r>
          </w:p>
        </w:tc>
        <w:tc>
          <w:tcPr>
            <w:tcW w:w="1134" w:type="dxa"/>
            <w:vAlign w:val="center"/>
          </w:tcPr>
          <w:p>
            <w:pPr>
              <w:pStyle w:val="11"/>
            </w:pPr>
            <w:r>
              <w:t>90.30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157.01</w:t>
            </w:r>
          </w:p>
        </w:tc>
        <w:tc>
          <w:tcPr>
            <w:tcW w:w="1134" w:type="dxa"/>
            <w:vAlign w:val="center"/>
          </w:tcPr>
          <w:p>
            <w:pPr>
              <w:pStyle w:val="11"/>
            </w:pPr>
            <w:r>
              <w:t>90.30</w:t>
            </w:r>
          </w:p>
        </w:tc>
        <w:tc>
          <w:tcPr>
            <w:tcW w:w="1134" w:type="dxa"/>
            <w:vAlign w:val="center"/>
          </w:tcPr>
          <w:p>
            <w:pPr>
              <w:pStyle w:val="11"/>
            </w:pPr>
            <w:r>
              <w:t>90.30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157.01</w:t>
            </w:r>
          </w:p>
        </w:tc>
        <w:tc>
          <w:tcPr>
            <w:tcW w:w="1134" w:type="dxa"/>
            <w:vAlign w:val="center"/>
          </w:tcPr>
          <w:p>
            <w:pPr>
              <w:pStyle w:val="11"/>
            </w:pPr>
            <w:r>
              <w:t>90.30</w:t>
            </w:r>
          </w:p>
        </w:tc>
        <w:tc>
          <w:tcPr>
            <w:tcW w:w="1134" w:type="dxa"/>
            <w:vAlign w:val="center"/>
          </w:tcPr>
          <w:p>
            <w:pPr>
              <w:pStyle w:val="11"/>
            </w:pPr>
            <w:r>
              <w:t>90.30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66.71</w:t>
            </w:r>
          </w:p>
        </w:tc>
      </w:tr>
    </w:tbl>
    <w:p>
      <w:pPr>
        <w:sectPr>
          <w:pgSz w:w="16840" w:h="11900" w:orient="landscape"/>
          <w:pgMar w:top="1361" w:right="1020" w:bottom="1134" w:left="1020" w:header="720" w:footer="720" w:gutter="0"/>
          <w:cols w:space="720" w:num="1"/>
        </w:sectPr>
      </w:pPr>
    </w:p>
    <w:p>
      <w:pPr>
        <w:jc w:val="center"/>
        <w:outlineLvl w:val="0"/>
      </w:pPr>
      <w:bookmarkStart w:id="4" w:name="_Toc18633"/>
      <w:r>
        <w:rPr>
          <w:rFonts w:ascii="方正小标宋_GBK" w:hAnsi="方正小标宋_GBK" w:eastAsia="方正小标宋_GBK" w:cs="方正小标宋_GBK"/>
          <w:color w:val="000000"/>
          <w:sz w:val="36"/>
        </w:rPr>
        <w:t>单位预算支出总表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2133.59</w:t>
            </w:r>
          </w:p>
        </w:tc>
        <w:tc>
          <w:tcPr>
            <w:tcW w:w="1361" w:type="dxa"/>
            <w:vAlign w:val="center"/>
          </w:tcPr>
          <w:p>
            <w:pPr>
              <w:pStyle w:val="15"/>
            </w:pPr>
            <w:r>
              <w:t>305.08</w:t>
            </w:r>
          </w:p>
        </w:tc>
        <w:tc>
          <w:tcPr>
            <w:tcW w:w="1361" w:type="dxa"/>
            <w:vAlign w:val="center"/>
          </w:tcPr>
          <w:p>
            <w:pPr>
              <w:pStyle w:val="15"/>
            </w:pPr>
            <w:r>
              <w:t>1828.51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336.20</w:t>
            </w:r>
          </w:p>
        </w:tc>
        <w:tc>
          <w:tcPr>
            <w:tcW w:w="1361" w:type="dxa"/>
            <w:vAlign w:val="center"/>
          </w:tcPr>
          <w:p>
            <w:pPr>
              <w:pStyle w:val="11"/>
            </w:pPr>
            <w:r>
              <w:t>21.20</w:t>
            </w: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21.20</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21.20</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20.20</w:t>
            </w:r>
          </w:p>
        </w:tc>
        <w:tc>
          <w:tcPr>
            <w:tcW w:w="1361" w:type="dxa"/>
            <w:vAlign w:val="center"/>
          </w:tcPr>
          <w:p>
            <w:pPr>
              <w:pStyle w:val="11"/>
            </w:pPr>
            <w:r>
              <w:t>20.20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20.20</w:t>
            </w:r>
          </w:p>
        </w:tc>
        <w:tc>
          <w:tcPr>
            <w:tcW w:w="1361" w:type="dxa"/>
            <w:vAlign w:val="center"/>
          </w:tcPr>
          <w:p>
            <w:pPr>
              <w:pStyle w:val="11"/>
            </w:pPr>
            <w:r>
              <w:t>20.20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20.20</w:t>
            </w:r>
          </w:p>
        </w:tc>
        <w:tc>
          <w:tcPr>
            <w:tcW w:w="1361" w:type="dxa"/>
            <w:vAlign w:val="center"/>
          </w:tcPr>
          <w:p>
            <w:pPr>
              <w:pStyle w:val="11"/>
            </w:pPr>
            <w:r>
              <w:t>20.20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1595.38</w:t>
            </w:r>
          </w:p>
        </w:tc>
        <w:tc>
          <w:tcPr>
            <w:tcW w:w="1361" w:type="dxa"/>
            <w:vAlign w:val="center"/>
          </w:tcPr>
          <w:p>
            <w:pPr>
              <w:pStyle w:val="11"/>
            </w:pPr>
            <w:r>
              <w:t>238.88</w:t>
            </w:r>
          </w:p>
        </w:tc>
        <w:tc>
          <w:tcPr>
            <w:tcW w:w="1361" w:type="dxa"/>
            <w:vAlign w:val="center"/>
          </w:tcPr>
          <w:p>
            <w:pPr>
              <w:pStyle w:val="11"/>
            </w:pPr>
            <w:r>
              <w:t>1356.50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21201</w:t>
            </w:r>
          </w:p>
        </w:tc>
        <w:tc>
          <w:tcPr>
            <w:tcW w:w="4535" w:type="dxa"/>
            <w:vAlign w:val="center"/>
          </w:tcPr>
          <w:p>
            <w:pPr>
              <w:pStyle w:val="12"/>
            </w:pPr>
            <w:r>
              <w:t>城乡</w:t>
            </w:r>
            <w:r>
              <w:rPr>
                <w:rFonts w:hint="eastAsia"/>
                <w:lang w:eastAsia="zh-CN"/>
              </w:rPr>
              <w:t>港城街道</w:t>
            </w:r>
            <w:r>
              <w:t>事务</w:t>
            </w:r>
          </w:p>
        </w:tc>
        <w:tc>
          <w:tcPr>
            <w:tcW w:w="1361" w:type="dxa"/>
            <w:vAlign w:val="center"/>
          </w:tcPr>
          <w:p>
            <w:pPr>
              <w:pStyle w:val="11"/>
            </w:pPr>
            <w:r>
              <w:t>1595.38</w:t>
            </w:r>
          </w:p>
        </w:tc>
        <w:tc>
          <w:tcPr>
            <w:tcW w:w="1361" w:type="dxa"/>
            <w:vAlign w:val="center"/>
          </w:tcPr>
          <w:p>
            <w:pPr>
              <w:pStyle w:val="11"/>
            </w:pPr>
            <w:r>
              <w:t>238.88</w:t>
            </w:r>
          </w:p>
        </w:tc>
        <w:tc>
          <w:tcPr>
            <w:tcW w:w="1361" w:type="dxa"/>
            <w:vAlign w:val="center"/>
          </w:tcPr>
          <w:p>
            <w:pPr>
              <w:pStyle w:val="11"/>
            </w:pPr>
            <w:r>
              <w:t>1356.50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1589.88</w:t>
            </w:r>
          </w:p>
        </w:tc>
        <w:tc>
          <w:tcPr>
            <w:tcW w:w="1361" w:type="dxa"/>
            <w:vAlign w:val="center"/>
          </w:tcPr>
          <w:p>
            <w:pPr>
              <w:pStyle w:val="11"/>
            </w:pPr>
            <w:r>
              <w:t>238.88</w:t>
            </w:r>
          </w:p>
        </w:tc>
        <w:tc>
          <w:tcPr>
            <w:tcW w:w="1361" w:type="dxa"/>
            <w:vAlign w:val="center"/>
          </w:tcPr>
          <w:p>
            <w:pPr>
              <w:pStyle w:val="11"/>
            </w:pPr>
            <w:r>
              <w:t>1351.00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5.50</w:t>
            </w:r>
          </w:p>
        </w:tc>
        <w:tc>
          <w:tcPr>
            <w:tcW w:w="1361" w:type="dxa"/>
            <w:vAlign w:val="center"/>
          </w:tcPr>
          <w:p>
            <w:pPr>
              <w:pStyle w:val="11"/>
            </w:pPr>
          </w:p>
        </w:tc>
        <w:tc>
          <w:tcPr>
            <w:tcW w:w="1361" w:type="dxa"/>
            <w:vAlign w:val="center"/>
          </w:tcPr>
          <w:p>
            <w:pPr>
              <w:pStyle w:val="11"/>
            </w:pPr>
            <w:r>
              <w:t>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24.80</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r>
              <w:t>157.01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pPr>
      <w:bookmarkStart w:id="5" w:name="_Toc14272"/>
      <w:r>
        <w:rPr>
          <w:rFonts w:ascii="方正小标宋_GBK" w:hAnsi="方正小标宋_GBK" w:eastAsia="方正小标宋_GBK" w:cs="方正小标宋_GBK"/>
          <w:color w:val="000000"/>
          <w:sz w:val="36"/>
        </w:rPr>
        <w:t>单位预算财政拨款收支总表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1976.58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90.30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336.20</w:t>
            </w:r>
          </w:p>
        </w:tc>
        <w:tc>
          <w:tcPr>
            <w:tcW w:w="1474" w:type="dxa"/>
            <w:vAlign w:val="center"/>
          </w:tcPr>
          <w:p>
            <w:pPr>
              <w:pStyle w:val="11"/>
            </w:pPr>
            <w:r>
              <w:t>336.20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20.20</w:t>
            </w:r>
          </w:p>
        </w:tc>
        <w:tc>
          <w:tcPr>
            <w:tcW w:w="1474" w:type="dxa"/>
            <w:vAlign w:val="center"/>
          </w:tcPr>
          <w:p>
            <w:pPr>
              <w:pStyle w:val="11"/>
            </w:pPr>
            <w:r>
              <w:t>20.20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1595.38</w:t>
            </w:r>
          </w:p>
        </w:tc>
        <w:tc>
          <w:tcPr>
            <w:tcW w:w="1474" w:type="dxa"/>
            <w:vAlign w:val="center"/>
          </w:tcPr>
          <w:p>
            <w:pPr>
              <w:pStyle w:val="11"/>
            </w:pPr>
            <w:r>
              <w:t>1595.38</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24.80</w:t>
            </w:r>
          </w:p>
        </w:tc>
        <w:tc>
          <w:tcPr>
            <w:tcW w:w="1474" w:type="dxa"/>
            <w:vAlign w:val="center"/>
          </w:tcPr>
          <w:p>
            <w:pPr>
              <w:pStyle w:val="11"/>
            </w:pPr>
            <w:r>
              <w:t>24.80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157.01</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2066.88</w:t>
            </w:r>
          </w:p>
        </w:tc>
        <w:tc>
          <w:tcPr>
            <w:tcW w:w="3402" w:type="dxa"/>
            <w:vAlign w:val="center"/>
          </w:tcPr>
          <w:p>
            <w:pPr>
              <w:pStyle w:val="14"/>
            </w:pPr>
            <w:r>
              <w:t>本年支出合计</w:t>
            </w:r>
          </w:p>
        </w:tc>
        <w:tc>
          <w:tcPr>
            <w:tcW w:w="1474" w:type="dxa"/>
            <w:vAlign w:val="center"/>
          </w:tcPr>
          <w:p>
            <w:pPr>
              <w:pStyle w:val="15"/>
            </w:pPr>
            <w:r>
              <w:t>2133.59</w:t>
            </w:r>
          </w:p>
        </w:tc>
        <w:tc>
          <w:tcPr>
            <w:tcW w:w="1474" w:type="dxa"/>
            <w:vAlign w:val="center"/>
          </w:tcPr>
          <w:p>
            <w:pPr>
              <w:pStyle w:val="15"/>
            </w:pPr>
            <w:r>
              <w:t>1976.58</w:t>
            </w:r>
          </w:p>
        </w:tc>
        <w:tc>
          <w:tcPr>
            <w:tcW w:w="1474" w:type="dxa"/>
            <w:vAlign w:val="center"/>
          </w:tcPr>
          <w:p>
            <w:pPr>
              <w:pStyle w:val="15"/>
            </w:pPr>
          </w:p>
        </w:tc>
        <w:tc>
          <w:tcPr>
            <w:tcW w:w="1474" w:type="dxa"/>
            <w:vAlign w:val="center"/>
          </w:tcPr>
          <w:p>
            <w:pPr>
              <w:pStyle w:val="15"/>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66.71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r>
              <w:t>66.71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2133.59</w:t>
            </w:r>
          </w:p>
        </w:tc>
        <w:tc>
          <w:tcPr>
            <w:tcW w:w="3402" w:type="dxa"/>
            <w:vAlign w:val="center"/>
          </w:tcPr>
          <w:p>
            <w:pPr>
              <w:pStyle w:val="14"/>
            </w:pPr>
            <w:r>
              <w:t>支出总计</w:t>
            </w:r>
          </w:p>
        </w:tc>
        <w:tc>
          <w:tcPr>
            <w:tcW w:w="1474" w:type="dxa"/>
            <w:vAlign w:val="center"/>
          </w:tcPr>
          <w:p>
            <w:pPr>
              <w:pStyle w:val="15"/>
            </w:pPr>
            <w:r>
              <w:t>2133.59</w:t>
            </w:r>
          </w:p>
        </w:tc>
        <w:tc>
          <w:tcPr>
            <w:tcW w:w="1474" w:type="dxa"/>
            <w:vAlign w:val="center"/>
          </w:tcPr>
          <w:p>
            <w:pPr>
              <w:pStyle w:val="15"/>
            </w:pPr>
            <w:r>
              <w:t>1976.58</w:t>
            </w:r>
          </w:p>
        </w:tc>
        <w:tc>
          <w:tcPr>
            <w:tcW w:w="1474" w:type="dxa"/>
            <w:vAlign w:val="center"/>
          </w:tcPr>
          <w:p>
            <w:pPr>
              <w:pStyle w:val="15"/>
            </w:pPr>
          </w:p>
        </w:tc>
        <w:tc>
          <w:tcPr>
            <w:tcW w:w="1474" w:type="dxa"/>
            <w:vAlign w:val="center"/>
          </w:tcPr>
          <w:p>
            <w:pPr>
              <w:pStyle w:val="15"/>
            </w:pPr>
            <w:r>
              <w:t>157.01</w:t>
            </w:r>
          </w:p>
        </w:tc>
      </w:tr>
    </w:tbl>
    <w:p>
      <w:pPr>
        <w:sectPr>
          <w:pgSz w:w="16840" w:h="11900" w:orient="landscape"/>
          <w:pgMar w:top="1361" w:right="1020" w:bottom="1134" w:left="1020" w:header="720" w:footer="720" w:gutter="0"/>
          <w:cols w:space="720" w:num="1"/>
        </w:sectPr>
      </w:pPr>
    </w:p>
    <w:p>
      <w:pPr>
        <w:jc w:val="center"/>
        <w:outlineLvl w:val="0"/>
      </w:pPr>
      <w:bookmarkStart w:id="6" w:name="_Toc32639"/>
      <w:r>
        <w:rPr>
          <w:rFonts w:ascii="方正小标宋_GBK" w:hAnsi="方正小标宋_GBK" w:eastAsia="方正小标宋_GBK" w:cs="方正小标宋_GBK"/>
          <w:color w:val="000000"/>
          <w:sz w:val="36"/>
        </w:rPr>
        <w:t>单位预算一般公共预算财政拨款支出表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1976.58</w:t>
            </w:r>
          </w:p>
        </w:tc>
        <w:tc>
          <w:tcPr>
            <w:tcW w:w="2551" w:type="dxa"/>
            <w:vAlign w:val="center"/>
          </w:tcPr>
          <w:p>
            <w:pPr>
              <w:pStyle w:val="15"/>
            </w:pPr>
            <w:r>
              <w:t>305.08</w:t>
            </w:r>
          </w:p>
        </w:tc>
        <w:tc>
          <w:tcPr>
            <w:tcW w:w="2551" w:type="dxa"/>
            <w:vAlign w:val="center"/>
          </w:tcPr>
          <w:p>
            <w:pPr>
              <w:pStyle w:val="15"/>
            </w:pPr>
            <w:r>
              <w:t>1671.50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336.20</w:t>
            </w:r>
          </w:p>
        </w:tc>
        <w:tc>
          <w:tcPr>
            <w:tcW w:w="2551" w:type="dxa"/>
            <w:vAlign w:val="center"/>
          </w:tcPr>
          <w:p>
            <w:pPr>
              <w:pStyle w:val="11"/>
            </w:pPr>
            <w:r>
              <w:t>21.20</w:t>
            </w:r>
          </w:p>
        </w:tc>
        <w:tc>
          <w:tcPr>
            <w:tcW w:w="2551"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315.00</w:t>
            </w:r>
          </w:p>
        </w:tc>
        <w:tc>
          <w:tcPr>
            <w:tcW w:w="2551" w:type="dxa"/>
            <w:vAlign w:val="center"/>
          </w:tcPr>
          <w:p>
            <w:pPr>
              <w:pStyle w:val="11"/>
            </w:pPr>
          </w:p>
        </w:tc>
        <w:tc>
          <w:tcPr>
            <w:tcW w:w="2551"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315.00</w:t>
            </w:r>
          </w:p>
        </w:tc>
        <w:tc>
          <w:tcPr>
            <w:tcW w:w="2551" w:type="dxa"/>
            <w:vAlign w:val="center"/>
          </w:tcPr>
          <w:p>
            <w:pPr>
              <w:pStyle w:val="11"/>
            </w:pPr>
          </w:p>
        </w:tc>
        <w:tc>
          <w:tcPr>
            <w:tcW w:w="2551"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1595.38</w:t>
            </w:r>
          </w:p>
        </w:tc>
        <w:tc>
          <w:tcPr>
            <w:tcW w:w="2551" w:type="dxa"/>
            <w:vAlign w:val="center"/>
          </w:tcPr>
          <w:p>
            <w:pPr>
              <w:pStyle w:val="11"/>
            </w:pPr>
            <w:r>
              <w:t>238.88</w:t>
            </w:r>
          </w:p>
        </w:tc>
        <w:tc>
          <w:tcPr>
            <w:tcW w:w="2551" w:type="dxa"/>
            <w:vAlign w:val="center"/>
          </w:tcPr>
          <w:p>
            <w:pPr>
              <w:pStyle w:val="11"/>
            </w:pPr>
            <w:r>
              <w:t>1356.50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21201</w:t>
            </w:r>
          </w:p>
        </w:tc>
        <w:tc>
          <w:tcPr>
            <w:tcW w:w="4535" w:type="dxa"/>
            <w:vAlign w:val="center"/>
          </w:tcPr>
          <w:p>
            <w:pPr>
              <w:pStyle w:val="12"/>
            </w:pPr>
            <w:r>
              <w:t>城乡</w:t>
            </w:r>
            <w:r>
              <w:rPr>
                <w:rFonts w:hint="eastAsia"/>
                <w:lang w:eastAsia="zh-CN"/>
              </w:rPr>
              <w:t>港城街道</w:t>
            </w:r>
            <w:r>
              <w:t>事务</w:t>
            </w:r>
          </w:p>
        </w:tc>
        <w:tc>
          <w:tcPr>
            <w:tcW w:w="2551" w:type="dxa"/>
            <w:vAlign w:val="center"/>
          </w:tcPr>
          <w:p>
            <w:pPr>
              <w:pStyle w:val="11"/>
            </w:pPr>
            <w:r>
              <w:t>1595.38</w:t>
            </w:r>
          </w:p>
        </w:tc>
        <w:tc>
          <w:tcPr>
            <w:tcW w:w="2551" w:type="dxa"/>
            <w:vAlign w:val="center"/>
          </w:tcPr>
          <w:p>
            <w:pPr>
              <w:pStyle w:val="11"/>
            </w:pPr>
            <w:r>
              <w:t>238.88</w:t>
            </w:r>
          </w:p>
        </w:tc>
        <w:tc>
          <w:tcPr>
            <w:tcW w:w="2551" w:type="dxa"/>
            <w:vAlign w:val="center"/>
          </w:tcPr>
          <w:p>
            <w:pPr>
              <w:pStyle w:val="11"/>
            </w:pPr>
            <w:r>
              <w:t>1356.50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1589.88</w:t>
            </w:r>
          </w:p>
        </w:tc>
        <w:tc>
          <w:tcPr>
            <w:tcW w:w="2551" w:type="dxa"/>
            <w:vAlign w:val="center"/>
          </w:tcPr>
          <w:p>
            <w:pPr>
              <w:pStyle w:val="11"/>
            </w:pPr>
            <w:r>
              <w:t>238.88</w:t>
            </w:r>
          </w:p>
        </w:tc>
        <w:tc>
          <w:tcPr>
            <w:tcW w:w="2551" w:type="dxa"/>
            <w:vAlign w:val="center"/>
          </w:tcPr>
          <w:p>
            <w:pPr>
              <w:pStyle w:val="11"/>
            </w:pPr>
            <w:r>
              <w:t>1351.00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pPr>
      <w:bookmarkStart w:id="7" w:name="_Toc7240"/>
      <w:r>
        <w:rPr>
          <w:rFonts w:ascii="方正小标宋_GBK" w:hAnsi="方正小标宋_GBK" w:eastAsia="方正小标宋_GBK" w:cs="方正小标宋_GBK"/>
          <w:color w:val="000000"/>
          <w:sz w:val="36"/>
        </w:rPr>
        <w:t>单位预算一般公共预算财政拨款基本支出表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305.08</w:t>
            </w:r>
          </w:p>
        </w:tc>
        <w:tc>
          <w:tcPr>
            <w:tcW w:w="2551" w:type="dxa"/>
            <w:vAlign w:val="center"/>
          </w:tcPr>
          <w:p>
            <w:pPr>
              <w:pStyle w:val="15"/>
            </w:pPr>
            <w:r>
              <w:t>284.70</w:t>
            </w:r>
          </w:p>
        </w:tc>
        <w:tc>
          <w:tcPr>
            <w:tcW w:w="2551" w:type="dxa"/>
            <w:vAlign w:val="center"/>
          </w:tcPr>
          <w:p>
            <w:pPr>
              <w:pStyle w:val="15"/>
            </w:pPr>
            <w:r>
              <w:t>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284.70</w:t>
            </w:r>
          </w:p>
        </w:tc>
        <w:tc>
          <w:tcPr>
            <w:tcW w:w="2551" w:type="dxa"/>
            <w:vAlign w:val="center"/>
          </w:tcPr>
          <w:p>
            <w:pPr>
              <w:pStyle w:val="11"/>
            </w:pPr>
            <w:r>
              <w:t>284.70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144.10</w:t>
            </w:r>
          </w:p>
        </w:tc>
        <w:tc>
          <w:tcPr>
            <w:tcW w:w="2551" w:type="dxa"/>
            <w:vAlign w:val="center"/>
          </w:tcPr>
          <w:p>
            <w:pPr>
              <w:pStyle w:val="11"/>
            </w:pPr>
            <w:r>
              <w:t>144.10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20.20</w:t>
            </w:r>
          </w:p>
        </w:tc>
        <w:tc>
          <w:tcPr>
            <w:tcW w:w="2551" w:type="dxa"/>
            <w:vAlign w:val="center"/>
          </w:tcPr>
          <w:p>
            <w:pPr>
              <w:pStyle w:val="11"/>
            </w:pPr>
            <w:r>
              <w:t>20.20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24.80</w:t>
            </w:r>
          </w:p>
        </w:tc>
        <w:tc>
          <w:tcPr>
            <w:tcW w:w="2551" w:type="dxa"/>
            <w:vAlign w:val="center"/>
          </w:tcPr>
          <w:p>
            <w:pPr>
              <w:pStyle w:val="11"/>
            </w:pPr>
            <w:r>
              <w:t>24.80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74.40</w:t>
            </w:r>
          </w:p>
        </w:tc>
        <w:tc>
          <w:tcPr>
            <w:tcW w:w="2551" w:type="dxa"/>
            <w:vAlign w:val="center"/>
          </w:tcPr>
          <w:p>
            <w:pPr>
              <w:pStyle w:val="11"/>
            </w:pPr>
            <w:r>
              <w:t>74.40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20.38</w:t>
            </w:r>
          </w:p>
        </w:tc>
        <w:tc>
          <w:tcPr>
            <w:tcW w:w="2551" w:type="dxa"/>
            <w:vAlign w:val="center"/>
          </w:tcPr>
          <w:p>
            <w:pPr>
              <w:pStyle w:val="11"/>
            </w:pPr>
          </w:p>
        </w:tc>
        <w:tc>
          <w:tcPr>
            <w:tcW w:w="2551" w:type="dxa"/>
            <w:vAlign w:val="center"/>
          </w:tcPr>
          <w:p>
            <w:pPr>
              <w:pStyle w:val="11"/>
            </w:pPr>
            <w:r>
              <w:t>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7.13</w:t>
            </w:r>
          </w:p>
        </w:tc>
        <w:tc>
          <w:tcPr>
            <w:tcW w:w="2551" w:type="dxa"/>
            <w:vAlign w:val="center"/>
          </w:tcPr>
          <w:p>
            <w:pPr>
              <w:pStyle w:val="11"/>
            </w:pPr>
          </w:p>
        </w:tc>
        <w:tc>
          <w:tcPr>
            <w:tcW w:w="2551" w:type="dxa"/>
            <w:vAlign w:val="center"/>
          </w:tcPr>
          <w:p>
            <w:pPr>
              <w:pStyle w:val="11"/>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4.03</w:t>
            </w:r>
          </w:p>
        </w:tc>
        <w:tc>
          <w:tcPr>
            <w:tcW w:w="2551" w:type="dxa"/>
            <w:vAlign w:val="center"/>
          </w:tcPr>
          <w:p>
            <w:pPr>
              <w:pStyle w:val="11"/>
            </w:pPr>
          </w:p>
        </w:tc>
        <w:tc>
          <w:tcPr>
            <w:tcW w:w="2551" w:type="dxa"/>
            <w:vAlign w:val="center"/>
          </w:tcPr>
          <w:p>
            <w:pPr>
              <w:pStyle w:val="11"/>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5.04</w:t>
            </w:r>
          </w:p>
        </w:tc>
        <w:tc>
          <w:tcPr>
            <w:tcW w:w="2551" w:type="dxa"/>
            <w:vAlign w:val="center"/>
          </w:tcPr>
          <w:p>
            <w:pPr>
              <w:pStyle w:val="11"/>
            </w:pPr>
          </w:p>
        </w:tc>
        <w:tc>
          <w:tcPr>
            <w:tcW w:w="2551"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0.68</w:t>
            </w:r>
          </w:p>
        </w:tc>
        <w:tc>
          <w:tcPr>
            <w:tcW w:w="2551" w:type="dxa"/>
            <w:vAlign w:val="center"/>
          </w:tcPr>
          <w:p>
            <w:pPr>
              <w:pStyle w:val="11"/>
            </w:pPr>
          </w:p>
        </w:tc>
        <w:tc>
          <w:tcPr>
            <w:tcW w:w="2551" w:type="dxa"/>
            <w:vAlign w:val="center"/>
          </w:tcPr>
          <w:p>
            <w:pPr>
              <w:pStyle w:val="11"/>
            </w:pPr>
            <w:r>
              <w:t>0.68</w:t>
            </w:r>
          </w:p>
        </w:tc>
      </w:tr>
    </w:tbl>
    <w:p>
      <w:pPr>
        <w:sectPr>
          <w:pgSz w:w="16840" w:h="11900" w:orient="landscape"/>
          <w:pgMar w:top="1361" w:right="1020" w:bottom="1134" w:left="1020" w:header="720" w:footer="720" w:gutter="0"/>
          <w:cols w:space="720" w:num="1"/>
        </w:sectPr>
      </w:pPr>
    </w:p>
    <w:p>
      <w:pPr>
        <w:jc w:val="center"/>
        <w:outlineLvl w:val="0"/>
      </w:pPr>
      <w:bookmarkStart w:id="8" w:name="_Toc5136"/>
      <w:r>
        <w:rPr>
          <w:rFonts w:ascii="方正小标宋_GBK" w:hAnsi="方正小标宋_GBK" w:eastAsia="方正小标宋_GBK" w:cs="方正小标宋_GBK"/>
          <w:color w:val="000000"/>
          <w:sz w:val="36"/>
        </w:rPr>
        <w:t>单位预算政府性基金预算财政拨款支出表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pPr>
      <w:bookmarkStart w:id="9" w:name="_Toc963"/>
      <w:r>
        <w:rPr>
          <w:rFonts w:ascii="方正小标宋_GBK" w:hAnsi="方正小标宋_GBK" w:eastAsia="方正小标宋_GBK" w:cs="方正小标宋_GBK"/>
          <w:color w:val="000000"/>
          <w:sz w:val="36"/>
        </w:rPr>
        <w:t>单位预算国有资本经营预算财政拨款支出表</w:t>
      </w:r>
      <w:bookmarkEnd w:id="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157.01</w:t>
            </w:r>
          </w:p>
        </w:tc>
        <w:tc>
          <w:tcPr>
            <w:tcW w:w="2551" w:type="dxa"/>
            <w:vAlign w:val="center"/>
          </w:tcPr>
          <w:p>
            <w:pPr>
              <w:pStyle w:val="15"/>
            </w:pPr>
          </w:p>
        </w:tc>
        <w:tc>
          <w:tcPr>
            <w:tcW w:w="2551" w:type="dxa"/>
            <w:vAlign w:val="center"/>
          </w:tcPr>
          <w:p>
            <w:pPr>
              <w:pStyle w:val="15"/>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157.01</w:t>
            </w:r>
          </w:p>
        </w:tc>
        <w:tc>
          <w:tcPr>
            <w:tcW w:w="2551" w:type="dxa"/>
            <w:vAlign w:val="center"/>
          </w:tcPr>
          <w:p>
            <w:pPr>
              <w:pStyle w:val="11"/>
            </w:pPr>
          </w:p>
        </w:tc>
        <w:tc>
          <w:tcPr>
            <w:tcW w:w="2551" w:type="dxa"/>
            <w:vAlign w:val="center"/>
          </w:tcPr>
          <w:p>
            <w:pPr>
              <w:pStyle w:val="11"/>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157.01</w:t>
            </w:r>
          </w:p>
        </w:tc>
        <w:tc>
          <w:tcPr>
            <w:tcW w:w="2551" w:type="dxa"/>
            <w:vAlign w:val="center"/>
          </w:tcPr>
          <w:p>
            <w:pPr>
              <w:pStyle w:val="11"/>
            </w:pPr>
          </w:p>
        </w:tc>
        <w:tc>
          <w:tcPr>
            <w:tcW w:w="2551" w:type="dxa"/>
            <w:vAlign w:val="center"/>
          </w:tcPr>
          <w:p>
            <w:pPr>
              <w:pStyle w:val="11"/>
            </w:pPr>
            <w:r>
              <w:t>157.01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157.01</w:t>
            </w:r>
          </w:p>
        </w:tc>
        <w:tc>
          <w:tcPr>
            <w:tcW w:w="2551" w:type="dxa"/>
            <w:vAlign w:val="center"/>
          </w:tcPr>
          <w:p>
            <w:pPr>
              <w:pStyle w:val="11"/>
            </w:pPr>
          </w:p>
        </w:tc>
        <w:tc>
          <w:tcPr>
            <w:tcW w:w="2551" w:type="dxa"/>
            <w:vAlign w:val="center"/>
          </w:tcPr>
          <w:p>
            <w:pPr>
              <w:pStyle w:val="11"/>
            </w:pPr>
            <w:r>
              <w:t>157.01</w:t>
            </w:r>
          </w:p>
        </w:tc>
      </w:tr>
    </w:tbl>
    <w:p>
      <w:pPr>
        <w:sectPr>
          <w:pgSz w:w="16840" w:h="11900" w:orient="landscape"/>
          <w:pgMar w:top="1361" w:right="1020" w:bottom="1134" w:left="1020" w:header="720" w:footer="720" w:gutter="0"/>
          <w:cols w:space="720" w:num="1"/>
        </w:sectPr>
      </w:pPr>
    </w:p>
    <w:p>
      <w:pPr>
        <w:jc w:val="center"/>
        <w:outlineLvl w:val="0"/>
      </w:pPr>
      <w:bookmarkStart w:id="10" w:name="_Toc11064"/>
      <w:r>
        <w:rPr>
          <w:rFonts w:ascii="方正小标宋_GBK" w:hAnsi="方正小标宋_GBK" w:eastAsia="方正小标宋_GBK" w:cs="方正小标宋_GBK"/>
          <w:color w:val="000000"/>
          <w:sz w:val="36"/>
        </w:rPr>
        <w:t>单位预算财政拨款“三公”经费支出表</w:t>
      </w:r>
      <w:bookmarkEnd w:id="1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0"/>
      </w:pPr>
      <w:bookmarkStart w:id="11" w:name="_Toc7708"/>
      <w:r>
        <w:rPr>
          <w:rFonts w:hint="eastAsia" w:ascii="方正小标宋_GBK" w:hAnsi="方正小标宋_GBK" w:eastAsia="方正小标宋_GBK" w:cs="方正小标宋_GBK"/>
          <w:color w:val="000000"/>
          <w:sz w:val="44"/>
          <w:lang w:eastAsia="zh-CN"/>
        </w:rPr>
        <w:t>港城街道</w:t>
      </w:r>
      <w:r>
        <w:rPr>
          <w:rFonts w:ascii="方正小标宋_GBK" w:hAnsi="方正小标宋_GBK" w:eastAsia="方正小标宋_GBK" w:cs="方正小标宋_GBK"/>
          <w:color w:val="000000"/>
          <w:sz w:val="44"/>
        </w:rPr>
        <w:t>服务中心2024年单位预算信息公开情况说明</w:t>
      </w:r>
      <w:bookmarkEnd w:id="11"/>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港城街道</w:t>
      </w:r>
      <w:r>
        <w:rPr>
          <w:rFonts w:eastAsia="方正仿宋_GBK"/>
          <w:color w:val="000000"/>
          <w:sz w:val="28"/>
        </w:rPr>
        <w:t>服务中心2024年单位预算公开如下：</w:t>
      </w:r>
    </w:p>
    <w:p>
      <w:pPr>
        <w:spacing w:before="10" w:after="10"/>
        <w:ind w:firstLine="640"/>
        <w:outlineLvl w:val="0"/>
      </w:pPr>
      <w:bookmarkStart w:id="12" w:name="_Toc25299"/>
      <w:r>
        <w:rPr>
          <w:rFonts w:ascii="黑体" w:hAnsi="黑体" w:eastAsia="黑体" w:cs="黑体"/>
          <w:color w:val="000000"/>
          <w:sz w:val="32"/>
        </w:rPr>
        <w:t>一、单位职责及机构设置情况</w:t>
      </w:r>
      <w:bookmarkEnd w:id="12"/>
    </w:p>
    <w:p>
      <w:pPr>
        <w:ind w:firstLine="640"/>
      </w:pPr>
      <w:r>
        <w:rPr>
          <w:rFonts w:ascii="方正楷体_GBK" w:hAnsi="方正楷体_GBK" w:eastAsia="方正楷体_GBK" w:cs="方正楷体_GBK"/>
          <w:b/>
          <w:color w:val="000000"/>
          <w:sz w:val="32"/>
        </w:rPr>
        <w:t>单位职责：</w:t>
      </w:r>
    </w:p>
    <w:p>
      <w:pPr>
        <w:pStyle w:val="17"/>
      </w:pPr>
      <w:r>
        <w:t>我单位的主要职能是：</w:t>
      </w:r>
    </w:p>
    <w:p>
      <w:pPr>
        <w:pStyle w:val="17"/>
      </w:pPr>
      <w:r>
        <w:t>（一）宣传贯彻执行党的路线方针政策和党中央、上级党组织的决议。贯彻执行法律、法规、规章、上级的决定、命令，依法管理辖区公共事务。</w:t>
      </w:r>
    </w:p>
    <w:p>
      <w:pPr>
        <w:pStyle w:val="17"/>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7"/>
      </w:pPr>
      <w:r>
        <w:t>（三）加强街道基层党组织建设，履行全面从严治党主体责任，全面推进辖区党的政治建设、思想建设、组织建设、作风建设、纪律建设，组织开展党风廉政建设和反腐败工作。</w:t>
      </w:r>
    </w:p>
    <w:p>
      <w:pPr>
        <w:pStyle w:val="17"/>
      </w:pPr>
      <w:r>
        <w:t>（四）港城街道服务中心党委领导群团组织并加强指导和规范,支持和保证群团组织依照国家法律法规以及各自章程履行职责。坚持党管武装的根本原则和制度，协调各方力量，对街道人民武装工作实行统一领导。</w:t>
      </w:r>
    </w:p>
    <w:p>
      <w:pPr>
        <w:pStyle w:val="17"/>
      </w:pPr>
      <w:r>
        <w:t>（五）指导居民委员会等基层群众性自治组织建设，健全自治平台。组织动员社区居民、单位和社会力量参与社区治理，整合辖区内社会力量，形成社区共治合力，为社区发展服务。</w:t>
      </w:r>
    </w:p>
    <w:p>
      <w:pPr>
        <w:pStyle w:val="17"/>
      </w:pPr>
      <w:r>
        <w:t>（六）按照管理权限，对社区工作者队伍进行教育管理、考核和监督。</w:t>
      </w:r>
    </w:p>
    <w:p>
      <w:pPr>
        <w:pStyle w:val="17"/>
      </w:pPr>
      <w:r>
        <w:t>（七）组织维护辖区安全稳定,协调推动社会治安综合治理，做好应急管理、民族宗教工作，承担民兵预备役、征兵、退役军人服务、拥军优属、防范邪教等工作。</w:t>
      </w:r>
    </w:p>
    <w:p>
      <w:pPr>
        <w:pStyle w:val="17"/>
      </w:pPr>
      <w:r>
        <w:t>（八）组织开展群众性文化、体育、科普活动，开展法治宣传和社会公德教育，推动社区公益事业发展。维护老年人、妇女、未成年人、残疾人等合法权益。</w:t>
      </w:r>
    </w:p>
    <w:p>
      <w:pPr>
        <w:pStyle w:val="17"/>
      </w:pPr>
      <w:r>
        <w:t>（九）参与辖区设施规划、建设和验收，综合管理、统筹调度和考核督办涉及辖区的公共事务,按照有关规定统筹使用下沉到街道社区的人财物等资源。</w:t>
      </w:r>
    </w:p>
    <w:p>
      <w:pPr>
        <w:pStyle w:val="17"/>
      </w:pPr>
      <w:r>
        <w:t>（十）承办上级与党工委、管委会交办的其它事项。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lang w:eastAsia="zh-CN"/>
              </w:rPr>
              <w:t>港城街道</w:t>
            </w:r>
            <w:r>
              <w:t>服务中心</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0"/>
      </w:pPr>
      <w:bookmarkStart w:id="13" w:name="_Toc28920"/>
      <w:r>
        <w:rPr>
          <w:rFonts w:ascii="黑体" w:hAnsi="黑体" w:eastAsia="黑体" w:cs="黑体"/>
          <w:color w:val="000000"/>
          <w:sz w:val="32"/>
        </w:rPr>
        <w:t>二、单位预算安排的总体情况</w:t>
      </w:r>
      <w:bookmarkEnd w:id="13"/>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2133.59万元，其中：一般公共预算收入1976.58万元，基金预算收入0.00万元，国有资本经营预算收入90.30万元，财政专户核拨收入0.00万元，单位资金收入0.00万元，上年结转结余66.71万元。</w:t>
      </w:r>
    </w:p>
    <w:p>
      <w:pPr>
        <w:pStyle w:val="18"/>
      </w:pPr>
      <w:r>
        <w:t>2、支出说明</w:t>
      </w:r>
    </w:p>
    <w:p>
      <w:pPr>
        <w:pStyle w:val="18"/>
      </w:pPr>
      <w:r>
        <w:t>收支预算总表支出栏、基本支出表、项目支出表按经济分类和支出功能分类科目编制，反映</w:t>
      </w:r>
      <w:r>
        <w:rPr>
          <w:rFonts w:hint="eastAsia"/>
          <w:lang w:eastAsia="zh-CN"/>
        </w:rPr>
        <w:t>港城街道</w:t>
      </w:r>
      <w:r>
        <w:t>服务中心年度单位预算中支出预算的总体情况。2024年支出预算2133.59万元，其中基本支出305.08万元，包括人员经费284.70万元和日常公用经费20.38万元；项目支出1828.51万元，主要为项目支出包括劳务派遣人员工资1351万元、社区工作经费220万元、社区党组织服务群众专项经费30万元、社会治理综合服务中心建设15万元、行政执法队伍经费5.5万元、各工作站装修费用50万元、国有企业退休人员社会化管理资金157.01万元。</w:t>
      </w:r>
    </w:p>
    <w:p>
      <w:pPr>
        <w:pStyle w:val="18"/>
      </w:pPr>
      <w:r>
        <w:t>3、比上年增减情况</w:t>
      </w:r>
    </w:p>
    <w:p>
      <w:pPr>
        <w:pStyle w:val="18"/>
      </w:pPr>
      <w:r>
        <w:t>2024年预算收支安排2133.59万元，较2023年预算增加209.33万元，其中：基本支出减少1269.19万元，主要为2024年预算收支安排整体较上年增加209.33万元的原因为我单位23年底新招聘32名社区工作者，劳务费增加，增设执法队伍，需增加执法经费。基本支出减少的原因为上年劳务派遣人员工资列为公用经费，今年列入项目支出经费。项目支出增加1478.52万元，主要为项目支出增加的原因为我单位23年底新招聘32名社区工作者，劳务费增加，增设执法队伍，需增加执法经费。我单位本年规划为12个社区，社区工作经费相应的增加。</w:t>
      </w:r>
    </w:p>
    <w:p>
      <w:pPr>
        <w:spacing w:before="10" w:after="10"/>
        <w:ind w:firstLine="640"/>
        <w:outlineLvl w:val="0"/>
      </w:pPr>
      <w:bookmarkStart w:id="14" w:name="_Toc21599"/>
      <w:r>
        <w:rPr>
          <w:rFonts w:ascii="黑体" w:hAnsi="黑体" w:eastAsia="黑体" w:cs="黑体"/>
          <w:color w:val="000000"/>
          <w:sz w:val="32"/>
        </w:rPr>
        <w:t>三、机关运行经费安排情况</w:t>
      </w:r>
      <w:bookmarkEnd w:id="14"/>
    </w:p>
    <w:p>
      <w:pPr>
        <w:pStyle w:val="19"/>
      </w:pPr>
      <w:r>
        <w:t>2024年，我单位机关运行经费共计安排20.38万元，主要用于日常维修、办公用房水电费、办公用房取暖费、办公用房物业管理费等日常运行支出。</w:t>
      </w:r>
    </w:p>
    <w:p>
      <w:pPr>
        <w:spacing w:before="10" w:after="10"/>
        <w:ind w:firstLine="640"/>
        <w:outlineLvl w:val="0"/>
      </w:pPr>
      <w:bookmarkStart w:id="15" w:name="_Toc22681"/>
      <w:r>
        <w:rPr>
          <w:rFonts w:ascii="黑体" w:hAnsi="黑体" w:eastAsia="黑体" w:cs="黑体"/>
          <w:color w:val="000000"/>
          <w:sz w:val="32"/>
        </w:rPr>
        <w:t>四、财政拨款“三公”经费预算情况及增减变化原因</w:t>
      </w:r>
      <w:bookmarkEnd w:id="15"/>
    </w:p>
    <w:p>
      <w:pPr>
        <w:pStyle w:val="20"/>
        <w:rPr>
          <w:rFonts w:hint="default" w:eastAsia="方正仿宋_GBK"/>
          <w:lang w:val="en-US" w:eastAsia="zh-CN"/>
        </w:rPr>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w:t>
      </w:r>
      <w:r>
        <w:rPr>
          <w:rFonts w:hint="eastAsia"/>
          <w:lang w:val="en-US" w:eastAsia="zh-CN"/>
        </w:rPr>
        <w:t>没有增减变化。</w:t>
      </w:r>
    </w:p>
    <w:p>
      <w:pPr>
        <w:spacing w:before="10" w:after="10"/>
        <w:ind w:firstLine="640"/>
        <w:outlineLvl w:val="0"/>
        <w:rPr>
          <w:rFonts w:hint="eastAsia" w:ascii="Times New Roman" w:hAnsi="Times New Roman" w:eastAsia="方正仿宋_GBK" w:cs="Times New Roman"/>
          <w:sz w:val="28"/>
          <w:szCs w:val="24"/>
          <w:lang w:val="en-US" w:eastAsia="zh-CN" w:bidi="ar-SA"/>
        </w:rPr>
      </w:pPr>
      <w:bookmarkStart w:id="16" w:name="_Toc30922"/>
      <w:r>
        <w:rPr>
          <w:rFonts w:ascii="黑体" w:hAnsi="黑体" w:eastAsia="黑体" w:cs="黑体"/>
          <w:color w:val="000000"/>
          <w:sz w:val="32"/>
        </w:rPr>
        <w:t>五、单位项目预算安排情况及绩效目标</w:t>
      </w:r>
      <w:bookmarkEnd w:id="16"/>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（一）社区工作经费预算资金为220万元，其中社区办公费为120万元、网格员电话费7万元、治安保险14.5万元、印刷费32.5万元、差旅费42万元，其他对个人和家庭的补助为4万元。</w:t>
      </w:r>
    </w:p>
    <w:p>
      <w:pPr>
        <w:keepNext w:val="0"/>
        <w:keepLines w:val="0"/>
        <w:pageBreakBefore w:val="0"/>
        <w:widowControl/>
        <w:tabs>
          <w:tab w:val="left" w:pos="1012"/>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绩效目标：社区工作保质保量完成，提高群众满意度，确保资金到位率</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（二）劳务派遣人员工资预算资金为1351万元</w:t>
      </w:r>
      <w:r>
        <w:rPr>
          <w:rFonts w:hint="eastAsia" w:eastAsia="方正仿宋_GBK" w:cs="Times New Roman"/>
          <w:sz w:val="28"/>
          <w:szCs w:val="24"/>
          <w:lang w:val="en-US" w:eastAsia="zh-CN" w:bidi="ar-SA"/>
        </w:rPr>
        <w:t>。</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绩效目标：劳务派遣人员工资及时发放到位，提高预算执行率。</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（三）社会治理综合服务中心建设预算资金为15万元，其中办公费为14.2万元、维修费0.8万元。</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绩效目标：社会治理综合服务中心建设工作保质保量完成，提高群众满意度，确保资金到位率</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（四）各工作站装修费用预算资金为50万元。</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绩效目标：社区工作站装修工作搞高效完成，确保社区人员安全有效办公，提高办公效率，提升群众满意度。</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（五）国有企业退休人员社会化管理预算资金为157.01万元。其中上年结转资金为66.71万元，新下达中央、省级补助资金90.3万元</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绩效目标：1.国有企业已退休人员管理服务工作与原企业分离2.国有企业不承担移交后的退休人员社会化管理服务费用3.国有企业新办理退休人员管理服务工作与原企业分离。</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（六）社区党组织服务群众专项经费预算资金为30万元。</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绩效目标：社区党组织专项经费保证专款专用，确保社区党组织建设高质量完成，群众满意度有效提升。</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七</w:t>
      </w:r>
      <w:r>
        <w:rPr>
          <w:rFonts w:hint="eastAsia" w:ascii="Times New Roman" w:hAnsi="Times New Roman" w:eastAsia="方正仿宋_GBK" w:cs="Times New Roman"/>
          <w:sz w:val="28"/>
          <w:szCs w:val="24"/>
          <w:lang w:val="en-US" w:eastAsia="zh-CN" w:bidi="ar-SA"/>
        </w:rPr>
        <w:t>）行政执法队伍经费预算资金为5.5万元。</w:t>
      </w:r>
    </w:p>
    <w:p>
      <w:pPr>
        <w:keepNext w:val="0"/>
        <w:keepLines w:val="0"/>
        <w:pageBreakBefore w:val="0"/>
        <w:widowControl/>
        <w:tabs>
          <w:tab w:val="left" w:pos="984"/>
        </w:tabs>
        <w:kinsoku/>
        <w:wordWrap/>
        <w:overflowPunct/>
        <w:topLinePunct w:val="0"/>
        <w:autoSpaceDE/>
        <w:autoSpaceDN/>
        <w:bidi w:val="0"/>
        <w:adjustRightInd/>
        <w:snapToGrid/>
        <w:spacing w:line="500" w:lineRule="exact"/>
        <w:ind w:firstLine="560" w:firstLineChars="200"/>
        <w:jc w:val="left"/>
        <w:textAlignment w:val="auto"/>
        <w:rPr>
          <w:rFonts w:hint="default"/>
          <w:lang w:val="en-US" w:eastAsia="zh-CN"/>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绩效目标：确保资金到位率，保证执法工作快速有效完成</w:t>
      </w:r>
      <w:r>
        <w:rPr>
          <w:rFonts w:hint="eastAsia" w:eastAsia="方正仿宋_GBK" w:cs="Times New Roman"/>
          <w:sz w:val="28"/>
          <w:szCs w:val="24"/>
          <w:lang w:val="en-US" w:eastAsia="zh-CN" w:bidi="ar-SA"/>
        </w:rPr>
        <w:t>。</w:t>
      </w:r>
    </w:p>
    <w:p>
      <w:pPr>
        <w:ind w:firstLine="560"/>
      </w:pPr>
      <w:r>
        <w:rPr>
          <w:rFonts w:ascii="方正仿宋_GBK" w:hAnsi="方正仿宋_GBK" w:eastAsia="方正仿宋_GBK" w:cs="方正仿宋_GBK"/>
          <w:b/>
          <w:color w:val="000000"/>
          <w:sz w:val="28"/>
        </w:rPr>
        <w:t>1、各工作站装修费用绩效目标表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13021224P00050710001L</w:t>
            </w:r>
          </w:p>
        </w:tc>
        <w:tc>
          <w:tcPr>
            <w:tcW w:w="2835" w:type="dxa"/>
            <w:vAlign w:val="center"/>
          </w:tcPr>
          <w:p>
            <w:pPr>
              <w:pStyle w:val="10"/>
            </w:pPr>
            <w:r>
              <w:t>项目名称</w:t>
            </w:r>
          </w:p>
        </w:tc>
        <w:tc>
          <w:tcPr>
            <w:tcW w:w="6094" w:type="dxa"/>
            <w:gridSpan w:val="3"/>
            <w:vAlign w:val="center"/>
          </w:tcPr>
          <w:p>
            <w:pPr>
              <w:pStyle w:val="12"/>
            </w:pPr>
            <w:r>
              <w:t>各工作站装修费用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各工作站装修费用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rPr>
                <w:rFonts w:hint="default" w:eastAsia="方正书宋_GBK"/>
                <w:lang w:val="en-US" w:eastAsia="zh-CN"/>
              </w:rPr>
            </w:pPr>
            <w:r>
              <w:t>各工作站装修</w:t>
            </w:r>
            <w:r>
              <w:rPr>
                <w:rFonts w:hint="eastAsia"/>
                <w:lang w:val="en-US" w:eastAsia="zh-CN"/>
              </w:rPr>
              <w:t>工作如期完成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实际完成率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实施进度</w:t>
            </w:r>
          </w:p>
        </w:tc>
        <w:tc>
          <w:tcPr>
            <w:tcW w:w="5386" w:type="dxa"/>
            <w:vAlign w:val="center"/>
          </w:tcPr>
          <w:p>
            <w:pPr>
              <w:pStyle w:val="12"/>
            </w:pPr>
            <w:r>
              <w:t>实施进度</w:t>
            </w:r>
          </w:p>
        </w:tc>
        <w:tc>
          <w:tcPr>
            <w:tcW w:w="2268" w:type="dxa"/>
            <w:vAlign w:val="center"/>
          </w:tcPr>
          <w:p>
            <w:pPr>
              <w:pStyle w:val="12"/>
            </w:pPr>
            <w:r>
              <w:t>实施进度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对经济发展带来效果</w:t>
            </w:r>
          </w:p>
        </w:tc>
        <w:tc>
          <w:tcPr>
            <w:tcW w:w="2268" w:type="dxa"/>
            <w:vAlign w:val="center"/>
          </w:tcPr>
          <w:p>
            <w:pPr>
              <w:pStyle w:val="12"/>
            </w:pPr>
            <w:r>
              <w:t>对经济发展带来效果</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社会问题事件“零”发生</w:t>
            </w:r>
          </w:p>
        </w:tc>
        <w:tc>
          <w:tcPr>
            <w:tcW w:w="5386" w:type="dxa"/>
            <w:vAlign w:val="center"/>
          </w:tcPr>
          <w:p>
            <w:pPr>
              <w:pStyle w:val="12"/>
            </w:pPr>
            <w:r>
              <w:t>社会问题事件“零”发生</w:t>
            </w:r>
          </w:p>
        </w:tc>
        <w:tc>
          <w:tcPr>
            <w:tcW w:w="2268" w:type="dxa"/>
            <w:vAlign w:val="center"/>
          </w:tcPr>
          <w:p>
            <w:pPr>
              <w:pStyle w:val="12"/>
            </w:pPr>
            <w:r>
              <w:t>社会问题事件“零”发生</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2、国有企业退休人员社会化管理省级财政补助资金[清算]绩效目标表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13021223P000227100021</w:t>
            </w:r>
          </w:p>
        </w:tc>
        <w:tc>
          <w:tcPr>
            <w:tcW w:w="2835" w:type="dxa"/>
            <w:vAlign w:val="center"/>
          </w:tcPr>
          <w:p>
            <w:pPr>
              <w:pStyle w:val="10"/>
            </w:pPr>
            <w:r>
              <w:t>项目名称</w:t>
            </w:r>
          </w:p>
        </w:tc>
        <w:tc>
          <w:tcPr>
            <w:tcW w:w="6094" w:type="dxa"/>
            <w:gridSpan w:val="3"/>
            <w:vAlign w:val="center"/>
          </w:tcPr>
          <w:p>
            <w:pPr>
              <w:pStyle w:val="12"/>
            </w:pPr>
            <w:r>
              <w:t>国有企业退休人员社会化管理省级财政补助资金[清算]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13.05</w:t>
            </w:r>
          </w:p>
        </w:tc>
        <w:tc>
          <w:tcPr>
            <w:tcW w:w="2835" w:type="dxa"/>
            <w:vAlign w:val="center"/>
          </w:tcPr>
          <w:p>
            <w:pPr>
              <w:pStyle w:val="10"/>
            </w:pPr>
            <w:r>
              <w:t>其中：财政    资金</w:t>
            </w:r>
          </w:p>
        </w:tc>
        <w:tc>
          <w:tcPr>
            <w:tcW w:w="2551" w:type="dxa"/>
            <w:vAlign w:val="center"/>
          </w:tcPr>
          <w:p>
            <w:pPr>
              <w:pStyle w:val="12"/>
            </w:pPr>
            <w:r>
              <w:t>13.05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国有企业退休人员社会化管理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1.国有企业已退休人员管理服务工作与原企业分离</w:t>
            </w:r>
          </w:p>
          <w:p>
            <w:pPr>
              <w:pStyle w:val="12"/>
            </w:pPr>
            <w:r>
              <w:t>2.国有企业不承担移交后的退休人员社会化管理服务费用</w:t>
            </w:r>
          </w:p>
          <w:p>
            <w:pPr>
              <w:pStyle w:val="12"/>
            </w:pPr>
            <w:r>
              <w:t>3.国有企业新办理退休人员管理服务工作与原企业分离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企业数</w:t>
            </w:r>
          </w:p>
        </w:tc>
        <w:tc>
          <w:tcPr>
            <w:tcW w:w="5386" w:type="dxa"/>
            <w:vAlign w:val="center"/>
          </w:tcPr>
          <w:p>
            <w:pPr>
              <w:pStyle w:val="12"/>
            </w:pPr>
            <w:r>
              <w:t>企业数</w:t>
            </w:r>
          </w:p>
        </w:tc>
        <w:tc>
          <w:tcPr>
            <w:tcW w:w="2268" w:type="dxa"/>
            <w:vAlign w:val="center"/>
          </w:tcPr>
          <w:p>
            <w:pPr>
              <w:pStyle w:val="12"/>
            </w:pPr>
            <w:r>
              <w:t>企业数量</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专款专用</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工作按时完成</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完成年度预算资金安排</w:t>
            </w:r>
          </w:p>
        </w:tc>
        <w:tc>
          <w:tcPr>
            <w:tcW w:w="2268" w:type="dxa"/>
            <w:vAlign w:val="center"/>
          </w:tcPr>
          <w:p>
            <w:pPr>
              <w:pStyle w:val="12"/>
            </w:pPr>
            <w:r>
              <w:t>预算执行率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保护档案原件，有利于节省档案修</w:t>
            </w:r>
          </w:p>
        </w:tc>
        <w:tc>
          <w:tcPr>
            <w:tcW w:w="5386" w:type="dxa"/>
            <w:vAlign w:val="center"/>
          </w:tcPr>
          <w:p>
            <w:pPr>
              <w:pStyle w:val="12"/>
            </w:pPr>
            <w:r>
              <w:t>保护档案原件，有利于节省档案修复费用</w:t>
            </w:r>
          </w:p>
        </w:tc>
        <w:tc>
          <w:tcPr>
            <w:tcW w:w="2268" w:type="dxa"/>
            <w:vAlign w:val="center"/>
          </w:tcPr>
          <w:p>
            <w:pPr>
              <w:pStyle w:val="12"/>
            </w:pPr>
            <w:r>
              <w:t>档案管理</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社会影响力</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持续性</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w:t>
            </w:r>
          </w:p>
        </w:tc>
        <w:tc>
          <w:tcPr>
            <w:tcW w:w="2268" w:type="dxa"/>
            <w:vAlign w:val="center"/>
          </w:tcPr>
          <w:p>
            <w:pPr>
              <w:pStyle w:val="12"/>
            </w:pPr>
            <w:r>
              <w:t>补助对象满意</w:t>
            </w:r>
          </w:p>
        </w:tc>
        <w:tc>
          <w:tcPr>
            <w:tcW w:w="1276" w:type="dxa"/>
            <w:vAlign w:val="center"/>
          </w:tcPr>
          <w:p>
            <w:pPr>
              <w:pStyle w:val="12"/>
            </w:pPr>
            <w:r>
              <w:t>专款专用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13021223P00022910002C</w:t>
            </w:r>
          </w:p>
        </w:tc>
        <w:tc>
          <w:tcPr>
            <w:tcW w:w="2835" w:type="dxa"/>
            <w:vAlign w:val="center"/>
          </w:tcPr>
          <w:p>
            <w:pPr>
              <w:pStyle w:val="10"/>
            </w:pPr>
            <w:r>
              <w:t>项目名称</w:t>
            </w:r>
          </w:p>
        </w:tc>
        <w:tc>
          <w:tcPr>
            <w:tcW w:w="6094" w:type="dxa"/>
            <w:gridSpan w:val="3"/>
            <w:vAlign w:val="center"/>
          </w:tcPr>
          <w:p>
            <w:pPr>
              <w:pStyle w:val="12"/>
            </w:pPr>
            <w:r>
              <w:t>国有企业退休人员社会化管理中央财政补助资金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53.66</w:t>
            </w:r>
          </w:p>
        </w:tc>
        <w:tc>
          <w:tcPr>
            <w:tcW w:w="2835" w:type="dxa"/>
            <w:vAlign w:val="center"/>
          </w:tcPr>
          <w:p>
            <w:pPr>
              <w:pStyle w:val="10"/>
            </w:pPr>
            <w:r>
              <w:t>其中：财政    资金</w:t>
            </w:r>
          </w:p>
        </w:tc>
        <w:tc>
          <w:tcPr>
            <w:tcW w:w="2551" w:type="dxa"/>
            <w:vAlign w:val="center"/>
          </w:tcPr>
          <w:p>
            <w:pPr>
              <w:pStyle w:val="12"/>
            </w:pPr>
            <w:r>
              <w:t>53.66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国有企业退休人员社会化管理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1.国有企业已退休人员管理服务工作与原企业分离</w:t>
            </w:r>
          </w:p>
          <w:p>
            <w:pPr>
              <w:pStyle w:val="12"/>
            </w:pPr>
            <w:r>
              <w:t>2.国有企业不承担移交后的退休人员社会化管理服务费用</w:t>
            </w:r>
          </w:p>
          <w:p>
            <w:pPr>
              <w:pStyle w:val="12"/>
            </w:pPr>
            <w:r>
              <w:t>3.国有企业新办理退休人员管理服务工作与原企业分离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企业数</w:t>
            </w:r>
          </w:p>
        </w:tc>
        <w:tc>
          <w:tcPr>
            <w:tcW w:w="5386" w:type="dxa"/>
            <w:vAlign w:val="center"/>
          </w:tcPr>
          <w:p>
            <w:pPr>
              <w:pStyle w:val="12"/>
            </w:pPr>
            <w:r>
              <w:t>企业数</w:t>
            </w:r>
          </w:p>
        </w:tc>
        <w:tc>
          <w:tcPr>
            <w:tcW w:w="2268" w:type="dxa"/>
            <w:vAlign w:val="center"/>
          </w:tcPr>
          <w:p>
            <w:pPr>
              <w:pStyle w:val="12"/>
            </w:pPr>
            <w:r>
              <w:t>国有企业数</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专款专用</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完成及时性</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完成年度预算资金安排</w:t>
            </w:r>
          </w:p>
        </w:tc>
        <w:tc>
          <w:tcPr>
            <w:tcW w:w="2268" w:type="dxa"/>
            <w:vAlign w:val="center"/>
          </w:tcPr>
          <w:p>
            <w:pPr>
              <w:pStyle w:val="12"/>
            </w:pPr>
            <w:r>
              <w:t>预算执行率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覆盖服务人口</w:t>
            </w:r>
          </w:p>
        </w:tc>
        <w:tc>
          <w:tcPr>
            <w:tcW w:w="5386" w:type="dxa"/>
            <w:vAlign w:val="center"/>
          </w:tcPr>
          <w:p>
            <w:pPr>
              <w:pStyle w:val="12"/>
            </w:pPr>
            <w:r>
              <w:t>覆盖服务人口</w:t>
            </w:r>
          </w:p>
        </w:tc>
        <w:tc>
          <w:tcPr>
            <w:tcW w:w="2268" w:type="dxa"/>
            <w:vAlign w:val="center"/>
          </w:tcPr>
          <w:p>
            <w:pPr>
              <w:pStyle w:val="12"/>
            </w:pPr>
            <w:r>
              <w:t>退休人员数</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社会影响力</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持续发挥作用</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补助对象满意度</w:t>
            </w:r>
          </w:p>
        </w:tc>
        <w:tc>
          <w:tcPr>
            <w:tcW w:w="2268" w:type="dxa"/>
            <w:vAlign w:val="center"/>
          </w:tcPr>
          <w:p>
            <w:pPr>
              <w:pStyle w:val="12"/>
            </w:pPr>
            <w:r>
              <w:t>补助对象满意程度</w:t>
            </w:r>
          </w:p>
        </w:tc>
        <w:tc>
          <w:tcPr>
            <w:tcW w:w="1276" w:type="dxa"/>
            <w:vAlign w:val="center"/>
          </w:tcPr>
          <w:p>
            <w:pPr>
              <w:pStyle w:val="12"/>
            </w:pPr>
            <w:r>
              <w:t>专款专用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4、劳务派遣人员工资绩效目标表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13021224P00044410001Q</w:t>
            </w:r>
          </w:p>
        </w:tc>
        <w:tc>
          <w:tcPr>
            <w:tcW w:w="2835" w:type="dxa"/>
            <w:vAlign w:val="center"/>
          </w:tcPr>
          <w:p>
            <w:pPr>
              <w:pStyle w:val="10"/>
            </w:pPr>
            <w:r>
              <w:t>项目名称</w:t>
            </w:r>
          </w:p>
        </w:tc>
        <w:tc>
          <w:tcPr>
            <w:tcW w:w="6094" w:type="dxa"/>
            <w:gridSpan w:val="3"/>
            <w:vAlign w:val="center"/>
          </w:tcPr>
          <w:p>
            <w:pPr>
              <w:pStyle w:val="12"/>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1351.00</w:t>
            </w:r>
          </w:p>
        </w:tc>
        <w:tc>
          <w:tcPr>
            <w:tcW w:w="2835" w:type="dxa"/>
            <w:vAlign w:val="center"/>
          </w:tcPr>
          <w:p>
            <w:pPr>
              <w:pStyle w:val="10"/>
            </w:pPr>
            <w:r>
              <w:t>其中：财政    资金</w:t>
            </w:r>
          </w:p>
        </w:tc>
        <w:tc>
          <w:tcPr>
            <w:tcW w:w="2551" w:type="dxa"/>
            <w:vAlign w:val="center"/>
          </w:tcPr>
          <w:p>
            <w:pPr>
              <w:pStyle w:val="12"/>
            </w:pPr>
            <w:r>
              <w:t>1351.00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1.劳务派遣人员工资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财政拨款保障率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及时性</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按预算资金完成率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工作完成率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生态环境质量改善</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持续服务率(%)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5、社会治理综合服务中心建设绩效目标表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13021224P00050310001X</w:t>
            </w:r>
          </w:p>
        </w:tc>
        <w:tc>
          <w:tcPr>
            <w:tcW w:w="2835" w:type="dxa"/>
            <w:vAlign w:val="center"/>
          </w:tcPr>
          <w:p>
            <w:pPr>
              <w:pStyle w:val="10"/>
            </w:pPr>
            <w:r>
              <w:t>项目名称</w:t>
            </w:r>
          </w:p>
        </w:tc>
        <w:tc>
          <w:tcPr>
            <w:tcW w:w="6094" w:type="dxa"/>
            <w:gridSpan w:val="3"/>
            <w:vAlign w:val="center"/>
          </w:tcPr>
          <w:p>
            <w:pPr>
              <w:pStyle w:val="12"/>
            </w:pPr>
            <w:r>
              <w:t>社会治理综合服务中心建设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0.80</w:t>
            </w:r>
          </w:p>
        </w:tc>
        <w:tc>
          <w:tcPr>
            <w:tcW w:w="2835" w:type="dxa"/>
            <w:vAlign w:val="center"/>
          </w:tcPr>
          <w:p>
            <w:pPr>
              <w:pStyle w:val="10"/>
            </w:pPr>
            <w:r>
              <w:t>其中：财政    资金</w:t>
            </w:r>
          </w:p>
        </w:tc>
        <w:tc>
          <w:tcPr>
            <w:tcW w:w="2551" w:type="dxa"/>
            <w:vAlign w:val="center"/>
          </w:tcPr>
          <w:p>
            <w:pPr>
              <w:pStyle w:val="12"/>
            </w:pPr>
            <w:r>
              <w:t>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社会治理综合服务中心建设维修费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1.社会治理综合服务中心建设维修费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项目管理有效</w:t>
            </w:r>
          </w:p>
        </w:tc>
        <w:tc>
          <w:tcPr>
            <w:tcW w:w="5386" w:type="dxa"/>
            <w:vAlign w:val="center"/>
          </w:tcPr>
          <w:p>
            <w:pPr>
              <w:pStyle w:val="12"/>
            </w:pPr>
            <w:r>
              <w:t>项目管理有效</w:t>
            </w:r>
          </w:p>
        </w:tc>
        <w:tc>
          <w:tcPr>
            <w:tcW w:w="2268" w:type="dxa"/>
            <w:vAlign w:val="center"/>
          </w:tcPr>
          <w:p>
            <w:pPr>
              <w:pStyle w:val="12"/>
            </w:pPr>
            <w:r>
              <w:t>项目管理有效</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工作完成时间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完成工作所需成本</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工作完成率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对区域生态改善</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效果持续时间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6、社会治理综合服务中心建设绩效目标表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13021224P00053210002H</w:t>
            </w:r>
          </w:p>
        </w:tc>
        <w:tc>
          <w:tcPr>
            <w:tcW w:w="2835" w:type="dxa"/>
            <w:vAlign w:val="center"/>
          </w:tcPr>
          <w:p>
            <w:pPr>
              <w:pStyle w:val="10"/>
            </w:pPr>
            <w:r>
              <w:t>项目名称</w:t>
            </w:r>
          </w:p>
        </w:tc>
        <w:tc>
          <w:tcPr>
            <w:tcW w:w="6094" w:type="dxa"/>
            <w:gridSpan w:val="3"/>
            <w:vAlign w:val="center"/>
          </w:tcPr>
          <w:p>
            <w:pPr>
              <w:pStyle w:val="12"/>
            </w:pPr>
            <w:r>
              <w:t>社会治理综合服务中心建设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14.20</w:t>
            </w:r>
          </w:p>
        </w:tc>
        <w:tc>
          <w:tcPr>
            <w:tcW w:w="2835" w:type="dxa"/>
            <w:vAlign w:val="center"/>
          </w:tcPr>
          <w:p>
            <w:pPr>
              <w:pStyle w:val="10"/>
            </w:pPr>
            <w:r>
              <w:t>其中：财政    资金</w:t>
            </w:r>
          </w:p>
        </w:tc>
        <w:tc>
          <w:tcPr>
            <w:tcW w:w="2551" w:type="dxa"/>
            <w:vAlign w:val="center"/>
          </w:tcPr>
          <w:p>
            <w:pPr>
              <w:pStyle w:val="12"/>
            </w:pPr>
            <w:r>
              <w:t>14.20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社会治理综合服务中心建设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1.社会治理综合服务中心建设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实施进度</w:t>
            </w:r>
          </w:p>
        </w:tc>
        <w:tc>
          <w:tcPr>
            <w:tcW w:w="5386" w:type="dxa"/>
            <w:vAlign w:val="center"/>
          </w:tcPr>
          <w:p>
            <w:pPr>
              <w:pStyle w:val="12"/>
            </w:pPr>
            <w:r>
              <w:t>实施进度</w:t>
            </w:r>
          </w:p>
        </w:tc>
        <w:tc>
          <w:tcPr>
            <w:tcW w:w="2268" w:type="dxa"/>
            <w:vAlign w:val="center"/>
          </w:tcPr>
          <w:p>
            <w:pPr>
              <w:pStyle w:val="12"/>
            </w:pPr>
            <w:r>
              <w:t>实施进度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成本利用率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公共服务水平提升情况</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综合利用率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13021224P000499100019</w:t>
            </w:r>
          </w:p>
        </w:tc>
        <w:tc>
          <w:tcPr>
            <w:tcW w:w="2835" w:type="dxa"/>
            <w:vAlign w:val="center"/>
          </w:tcPr>
          <w:p>
            <w:pPr>
              <w:pStyle w:val="10"/>
            </w:pPr>
            <w:r>
              <w:t>项目名称</w:t>
            </w:r>
          </w:p>
        </w:tc>
        <w:tc>
          <w:tcPr>
            <w:tcW w:w="6094" w:type="dxa"/>
            <w:gridSpan w:val="3"/>
            <w:vAlign w:val="center"/>
          </w:tcPr>
          <w:p>
            <w:pPr>
              <w:pStyle w:val="12"/>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1.社区党组织服务群众专项经费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实际完成率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财政拨款保障率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tc>
        <w:tc>
          <w:tcPr>
            <w:tcW w:w="5386" w:type="dxa"/>
            <w:vAlign w:val="center"/>
          </w:tcPr>
          <w:p>
            <w:pPr>
              <w:pStyle w:val="12"/>
            </w:pPr>
            <w:r>
              <w:t>处理及时率</w:t>
            </w:r>
          </w:p>
        </w:tc>
        <w:tc>
          <w:tcPr>
            <w:tcW w:w="2268" w:type="dxa"/>
            <w:vAlign w:val="center"/>
          </w:tcPr>
          <w:p>
            <w:pPr>
              <w:pStyle w:val="12"/>
            </w:pPr>
            <w:r>
              <w:t>处理及时率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项目成本</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成本利用率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工作完成率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生态影响</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可持续性服务</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13021224P00050110001J</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1.社区工作经费办公费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质量达标率</w:t>
            </w:r>
          </w:p>
        </w:tc>
        <w:tc>
          <w:tcPr>
            <w:tcW w:w="2268" w:type="dxa"/>
            <w:vAlign w:val="center"/>
          </w:tcPr>
          <w:p>
            <w:pPr>
              <w:pStyle w:val="12"/>
            </w:pPr>
            <w:r>
              <w:t>质量达标率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时间进度完成率</w:t>
            </w:r>
          </w:p>
        </w:tc>
        <w:tc>
          <w:tcPr>
            <w:tcW w:w="5386" w:type="dxa"/>
            <w:vAlign w:val="center"/>
          </w:tcPr>
          <w:p>
            <w:pPr>
              <w:pStyle w:val="12"/>
            </w:pPr>
            <w:r>
              <w:t>时间进度完成率</w:t>
            </w:r>
          </w:p>
        </w:tc>
        <w:tc>
          <w:tcPr>
            <w:tcW w:w="2268" w:type="dxa"/>
            <w:vAlign w:val="center"/>
          </w:tcPr>
          <w:p>
            <w:pPr>
              <w:pStyle w:val="12"/>
            </w:pPr>
            <w:r>
              <w:t>时间进度完成率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13021224P00052210001N</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社区工作经费-其他对个人和家庭的补助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1.社区工作经费-其他对个人和家庭的补助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质量达标率</w:t>
            </w:r>
          </w:p>
        </w:tc>
        <w:tc>
          <w:tcPr>
            <w:tcW w:w="2268" w:type="dxa"/>
            <w:vAlign w:val="center"/>
          </w:tcPr>
          <w:p>
            <w:pPr>
              <w:pStyle w:val="12"/>
            </w:pPr>
            <w:r>
              <w:t>质量达标率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按期完成率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预算执行率（%）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社会效益指标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13021224P00052410002M</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社区工作经费-邮电费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1.社区工作经费-邮电费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项目数量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工作完成时间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完成工作所需成本</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公共服务水平提升情况</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13021224P00052610001D</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32.50</w:t>
            </w:r>
          </w:p>
        </w:tc>
        <w:tc>
          <w:tcPr>
            <w:tcW w:w="2835" w:type="dxa"/>
            <w:vAlign w:val="center"/>
          </w:tcPr>
          <w:p>
            <w:pPr>
              <w:pStyle w:val="10"/>
            </w:pPr>
            <w:r>
              <w:t>其中：财政    资金</w:t>
            </w:r>
          </w:p>
        </w:tc>
        <w:tc>
          <w:tcPr>
            <w:tcW w:w="2551" w:type="dxa"/>
            <w:vAlign w:val="center"/>
          </w:tcPr>
          <w:p>
            <w:pPr>
              <w:pStyle w:val="12"/>
            </w:pPr>
            <w:r>
              <w:t>32.50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1.社区工作经费-印刷费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p>
            <w:pPr>
              <w:pStyle w:val="12"/>
            </w:pPr>
          </w:p>
          <w:p>
            <w:pPr>
              <w:pStyle w:val="12"/>
            </w:pPr>
          </w:p>
        </w:tc>
        <w:tc>
          <w:tcPr>
            <w:tcW w:w="5386" w:type="dxa"/>
            <w:vAlign w:val="center"/>
          </w:tcPr>
          <w:p>
            <w:pPr>
              <w:pStyle w:val="12"/>
            </w:pPr>
            <w:r>
              <w:t>项目完成时间</w:t>
            </w:r>
          </w:p>
          <w:p>
            <w:pPr>
              <w:pStyle w:val="12"/>
            </w:pPr>
          </w:p>
          <w:p>
            <w:pPr>
              <w:pStyle w:val="12"/>
            </w:pPr>
          </w:p>
        </w:tc>
        <w:tc>
          <w:tcPr>
            <w:tcW w:w="2268" w:type="dxa"/>
            <w:vAlign w:val="center"/>
          </w:tcPr>
          <w:p>
            <w:pPr>
              <w:pStyle w:val="12"/>
            </w:pPr>
            <w:r>
              <w:t>项目完成时间</w:t>
            </w:r>
          </w:p>
          <w:p>
            <w:pPr>
              <w:pStyle w:val="12"/>
            </w:pPr>
          </w:p>
          <w:p>
            <w:pPr>
              <w:pStyle w:val="12"/>
            </w:pP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完成项目的成本控制在预算水平</w:t>
            </w:r>
          </w:p>
        </w:tc>
        <w:tc>
          <w:tcPr>
            <w:tcW w:w="2268" w:type="dxa"/>
            <w:vAlign w:val="center"/>
          </w:tcPr>
          <w:p>
            <w:pPr>
              <w:pStyle w:val="12"/>
            </w:pPr>
            <w:r>
              <w:t>完成项目的成本控制在预算水平</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对区域出行的影响</w:t>
            </w:r>
          </w:p>
        </w:tc>
        <w:tc>
          <w:tcPr>
            <w:tcW w:w="5386" w:type="dxa"/>
            <w:vAlign w:val="center"/>
          </w:tcPr>
          <w:p>
            <w:pPr>
              <w:pStyle w:val="12"/>
            </w:pPr>
            <w:r>
              <w:t>对区域出行的影响</w:t>
            </w:r>
          </w:p>
        </w:tc>
        <w:tc>
          <w:tcPr>
            <w:tcW w:w="2268" w:type="dxa"/>
            <w:vAlign w:val="center"/>
          </w:tcPr>
          <w:p>
            <w:pPr>
              <w:pStyle w:val="12"/>
            </w:pPr>
            <w:r>
              <w:t>对区域出行的影响</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13021224P00052810001Q</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1.社区工作经费-差旅费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财政拨款保障率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工作完成时间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完成工作所需成本</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社会问题事件“零”发生</w:t>
            </w:r>
          </w:p>
        </w:tc>
        <w:tc>
          <w:tcPr>
            <w:tcW w:w="5386" w:type="dxa"/>
            <w:vAlign w:val="center"/>
          </w:tcPr>
          <w:p>
            <w:pPr>
              <w:pStyle w:val="12"/>
            </w:pPr>
            <w:r>
              <w:t>社会问题事件“零”发生</w:t>
            </w:r>
          </w:p>
        </w:tc>
        <w:tc>
          <w:tcPr>
            <w:tcW w:w="2268" w:type="dxa"/>
            <w:vAlign w:val="center"/>
          </w:tcPr>
          <w:p>
            <w:pPr>
              <w:pStyle w:val="12"/>
            </w:pPr>
            <w:r>
              <w:t>社会问题事件“零”发生</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业务办理率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13021224P000530100026</w:t>
            </w:r>
          </w:p>
        </w:tc>
        <w:tc>
          <w:tcPr>
            <w:tcW w:w="2835" w:type="dxa"/>
            <w:vAlign w:val="center"/>
          </w:tcPr>
          <w:p>
            <w:pPr>
              <w:pStyle w:val="10"/>
            </w:pPr>
            <w:r>
              <w:t>项目名称</w:t>
            </w:r>
          </w:p>
        </w:tc>
        <w:tc>
          <w:tcPr>
            <w:tcW w:w="6094"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w:t>
            </w:r>
          </w:p>
        </w:tc>
        <w:tc>
          <w:tcPr>
            <w:tcW w:w="2835" w:type="dxa"/>
            <w:vAlign w:val="center"/>
          </w:tcPr>
          <w:p>
            <w:pPr>
              <w:pStyle w:val="10"/>
            </w:pPr>
            <w:r>
              <w:t>其中：财政    资金</w:t>
            </w:r>
          </w:p>
        </w:tc>
        <w:tc>
          <w:tcPr>
            <w:tcW w:w="2551" w:type="dxa"/>
            <w:vAlign w:val="center"/>
          </w:tcPr>
          <w:p>
            <w:pPr>
              <w:pStyle w:val="12"/>
            </w:pPr>
            <w:r>
              <w:t>14.50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社区工作经费-治安保险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1.社区工作经费-治安保险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实际完成率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质量达标率</w:t>
            </w:r>
          </w:p>
        </w:tc>
        <w:tc>
          <w:tcPr>
            <w:tcW w:w="2268" w:type="dxa"/>
            <w:vAlign w:val="center"/>
          </w:tcPr>
          <w:p>
            <w:pPr>
              <w:pStyle w:val="12"/>
            </w:pPr>
            <w:r>
              <w:t>质量达标率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完成工作时间</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预算执行率（%）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成本利用率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社会影响度</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持续发挥作用期限</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工作人员满意度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14、唐财资【2023】21号国有企业退休人员社会化管理中央财政补助资金绩效目标表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13021224P00054910001W</w:t>
            </w:r>
          </w:p>
        </w:tc>
        <w:tc>
          <w:tcPr>
            <w:tcW w:w="2835" w:type="dxa"/>
            <w:vAlign w:val="center"/>
          </w:tcPr>
          <w:p>
            <w:pPr>
              <w:pStyle w:val="10"/>
            </w:pPr>
            <w:r>
              <w:t>项目名称</w:t>
            </w:r>
          </w:p>
        </w:tc>
        <w:tc>
          <w:tcPr>
            <w:tcW w:w="6094" w:type="dxa"/>
            <w:gridSpan w:val="3"/>
            <w:vAlign w:val="center"/>
          </w:tcPr>
          <w:p>
            <w:pPr>
              <w:pStyle w:val="12"/>
            </w:pPr>
            <w:r>
              <w:t>唐财资【2023】21号国有企业退休人员社会化管理中央财政补助资金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77.25</w:t>
            </w:r>
          </w:p>
        </w:tc>
        <w:tc>
          <w:tcPr>
            <w:tcW w:w="2835" w:type="dxa"/>
            <w:vAlign w:val="center"/>
          </w:tcPr>
          <w:p>
            <w:pPr>
              <w:pStyle w:val="10"/>
            </w:pPr>
            <w:r>
              <w:t>其中：财政    资金</w:t>
            </w:r>
          </w:p>
        </w:tc>
        <w:tc>
          <w:tcPr>
            <w:tcW w:w="2551" w:type="dxa"/>
            <w:vAlign w:val="center"/>
          </w:tcPr>
          <w:p>
            <w:pPr>
              <w:pStyle w:val="12"/>
            </w:pPr>
            <w:r>
              <w:t>77.25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国有企业退休人员社会化管理中央财政补助资金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1.国有企业退休人员社会化管理中央财政补助资金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5386" w:type="dxa"/>
            <w:vAlign w:val="center"/>
          </w:tcPr>
          <w:p>
            <w:pPr>
              <w:pStyle w:val="12"/>
            </w:pPr>
            <w:r>
              <w:t>支持企业数量</w:t>
            </w:r>
          </w:p>
        </w:tc>
        <w:tc>
          <w:tcPr>
            <w:tcW w:w="2268" w:type="dxa"/>
            <w:vAlign w:val="center"/>
          </w:tcPr>
          <w:p>
            <w:pPr>
              <w:pStyle w:val="12"/>
            </w:pPr>
            <w:r>
              <w:t>支持企业数量</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计划完成率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完成时限</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成本控制率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提高工作效率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工作完成率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生态影响</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受益群众满意度</w:t>
            </w:r>
          </w:p>
        </w:tc>
        <w:tc>
          <w:tcPr>
            <w:tcW w:w="1276" w:type="dxa"/>
            <w:vAlign w:val="center"/>
          </w:tcPr>
          <w:p>
            <w:pPr>
              <w:pStyle w:val="12"/>
            </w:pPr>
            <w:r>
              <w:t>专款专用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15、唐财资【2023】22号国有企业退休人员社会化管理省级补助资金绩效目标表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13021224P000548100017</w:t>
            </w:r>
          </w:p>
        </w:tc>
        <w:tc>
          <w:tcPr>
            <w:tcW w:w="2835" w:type="dxa"/>
            <w:vAlign w:val="center"/>
          </w:tcPr>
          <w:p>
            <w:pPr>
              <w:pStyle w:val="10"/>
            </w:pPr>
            <w:r>
              <w:t>项目名称</w:t>
            </w:r>
          </w:p>
        </w:tc>
        <w:tc>
          <w:tcPr>
            <w:tcW w:w="6094" w:type="dxa"/>
            <w:gridSpan w:val="3"/>
            <w:vAlign w:val="center"/>
          </w:tcPr>
          <w:p>
            <w:pPr>
              <w:pStyle w:val="12"/>
            </w:pPr>
            <w:r>
              <w:t>唐财资【2023】22号国有企业退休人员社会化管理省级补助资金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13.05</w:t>
            </w:r>
          </w:p>
        </w:tc>
        <w:tc>
          <w:tcPr>
            <w:tcW w:w="2835" w:type="dxa"/>
            <w:vAlign w:val="center"/>
          </w:tcPr>
          <w:p>
            <w:pPr>
              <w:pStyle w:val="10"/>
            </w:pPr>
            <w:r>
              <w:t>其中：财政    资金</w:t>
            </w:r>
          </w:p>
        </w:tc>
        <w:tc>
          <w:tcPr>
            <w:tcW w:w="2551" w:type="dxa"/>
            <w:vAlign w:val="center"/>
          </w:tcPr>
          <w:p>
            <w:pPr>
              <w:pStyle w:val="12"/>
            </w:pPr>
            <w:r>
              <w:t>13.05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国有企业退休人员社会化管理省级补助资金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1.国有企业退休人员社会化管理省级补助资金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资金到位率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计划完成率</w:t>
            </w:r>
          </w:p>
        </w:tc>
        <w:tc>
          <w:tcPr>
            <w:tcW w:w="5386" w:type="dxa"/>
            <w:vAlign w:val="center"/>
          </w:tcPr>
          <w:p>
            <w:pPr>
              <w:pStyle w:val="12"/>
            </w:pPr>
            <w:r>
              <w:t>计划完成率</w:t>
            </w:r>
          </w:p>
        </w:tc>
        <w:tc>
          <w:tcPr>
            <w:tcW w:w="2268" w:type="dxa"/>
            <w:vAlign w:val="center"/>
          </w:tcPr>
          <w:p>
            <w:pPr>
              <w:pStyle w:val="12"/>
            </w:pPr>
            <w:r>
              <w:t>计划完成率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tc>
        <w:tc>
          <w:tcPr>
            <w:tcW w:w="5386" w:type="dxa"/>
            <w:vAlign w:val="center"/>
          </w:tcPr>
          <w:p>
            <w:pPr>
              <w:pStyle w:val="12"/>
            </w:pPr>
            <w:r>
              <w:t>处理及时率</w:t>
            </w:r>
          </w:p>
        </w:tc>
        <w:tc>
          <w:tcPr>
            <w:tcW w:w="2268" w:type="dxa"/>
            <w:vAlign w:val="center"/>
          </w:tcPr>
          <w:p>
            <w:pPr>
              <w:pStyle w:val="12"/>
            </w:pPr>
            <w:r>
              <w:t>处理及时率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按预算资金完成率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公共服务水平提升情况</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生态效益增长率</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提升公共服务水平和质量</w:t>
            </w:r>
          </w:p>
        </w:tc>
        <w:tc>
          <w:tcPr>
            <w:tcW w:w="5386" w:type="dxa"/>
            <w:vAlign w:val="center"/>
          </w:tcPr>
          <w:p>
            <w:pPr>
              <w:pStyle w:val="12"/>
            </w:pPr>
            <w:r>
              <w:t>提升公共服务水平和质量</w:t>
            </w:r>
          </w:p>
        </w:tc>
        <w:tc>
          <w:tcPr>
            <w:tcW w:w="2268" w:type="dxa"/>
            <w:vAlign w:val="center"/>
          </w:tcPr>
          <w:p>
            <w:pPr>
              <w:pStyle w:val="12"/>
            </w:pPr>
            <w:r>
              <w:t>提升公共服务水平和质量</w:t>
            </w:r>
          </w:p>
        </w:tc>
        <w:tc>
          <w:tcPr>
            <w:tcW w:w="1276" w:type="dxa"/>
            <w:vAlign w:val="center"/>
          </w:tcPr>
          <w:p>
            <w:pPr>
              <w:pStyle w:val="12"/>
            </w:pPr>
            <w: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重点群体满意度</w:t>
            </w:r>
          </w:p>
        </w:tc>
        <w:tc>
          <w:tcPr>
            <w:tcW w:w="5386" w:type="dxa"/>
            <w:vAlign w:val="center"/>
          </w:tcPr>
          <w:p>
            <w:pPr>
              <w:pStyle w:val="12"/>
            </w:pPr>
            <w:r>
              <w:t>重点群体满意度</w:t>
            </w:r>
          </w:p>
        </w:tc>
        <w:tc>
          <w:tcPr>
            <w:tcW w:w="2268" w:type="dxa"/>
            <w:vAlign w:val="center"/>
          </w:tcPr>
          <w:p>
            <w:pPr>
              <w:pStyle w:val="12"/>
            </w:pPr>
            <w:r>
              <w:t>重点群体满意度</w:t>
            </w:r>
          </w:p>
        </w:tc>
        <w:tc>
          <w:tcPr>
            <w:tcW w:w="1276" w:type="dxa"/>
            <w:vAlign w:val="center"/>
          </w:tcPr>
          <w:p>
            <w:pPr>
              <w:pStyle w:val="12"/>
            </w:pPr>
            <w:r>
              <w:t>专款专用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16、行政执法队伍经费绩效目标表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13021224P000505100019</w:t>
            </w:r>
          </w:p>
        </w:tc>
        <w:tc>
          <w:tcPr>
            <w:tcW w:w="2835" w:type="dxa"/>
            <w:vAlign w:val="center"/>
          </w:tcPr>
          <w:p>
            <w:pPr>
              <w:pStyle w:val="10"/>
            </w:pPr>
            <w:r>
              <w:t>项目名称</w:t>
            </w:r>
          </w:p>
        </w:tc>
        <w:tc>
          <w:tcPr>
            <w:tcW w:w="6094" w:type="dxa"/>
            <w:gridSpan w:val="3"/>
            <w:vAlign w:val="center"/>
          </w:tcPr>
          <w:p>
            <w:pPr>
              <w:pStyle w:val="12"/>
            </w:pPr>
            <w:r>
              <w:t>行政执法队伍经费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w:t>
            </w:r>
          </w:p>
        </w:tc>
        <w:tc>
          <w:tcPr>
            <w:tcW w:w="2835" w:type="dxa"/>
            <w:vAlign w:val="center"/>
          </w:tcPr>
          <w:p>
            <w:pPr>
              <w:pStyle w:val="10"/>
            </w:pPr>
            <w:r>
              <w:t>其中：财政    资金</w:t>
            </w:r>
          </w:p>
        </w:tc>
        <w:tc>
          <w:tcPr>
            <w:tcW w:w="2551" w:type="dxa"/>
            <w:vAlign w:val="center"/>
          </w:tcPr>
          <w:p>
            <w:pPr>
              <w:pStyle w:val="12"/>
            </w:pPr>
            <w:r>
              <w:t>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行政执法队伍经费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1.行政执法队伍经费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实际完成率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年度任务完成率</w:t>
            </w:r>
          </w:p>
        </w:tc>
        <w:tc>
          <w:tcPr>
            <w:tcW w:w="5386" w:type="dxa"/>
            <w:vAlign w:val="center"/>
          </w:tcPr>
          <w:p>
            <w:pPr>
              <w:pStyle w:val="12"/>
            </w:pPr>
            <w:r>
              <w:t>年度任务完成率</w:t>
            </w:r>
          </w:p>
        </w:tc>
        <w:tc>
          <w:tcPr>
            <w:tcW w:w="2268" w:type="dxa"/>
            <w:vAlign w:val="center"/>
          </w:tcPr>
          <w:p>
            <w:pPr>
              <w:pStyle w:val="12"/>
            </w:pPr>
            <w:r>
              <w:t>年度任务完成率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时间进度完成率</w:t>
            </w:r>
          </w:p>
        </w:tc>
        <w:tc>
          <w:tcPr>
            <w:tcW w:w="5386" w:type="dxa"/>
            <w:vAlign w:val="center"/>
          </w:tcPr>
          <w:p>
            <w:pPr>
              <w:pStyle w:val="12"/>
            </w:pPr>
            <w:r>
              <w:t>时间进度完成率</w:t>
            </w:r>
          </w:p>
        </w:tc>
        <w:tc>
          <w:tcPr>
            <w:tcW w:w="2268" w:type="dxa"/>
            <w:vAlign w:val="center"/>
          </w:tcPr>
          <w:p>
            <w:pPr>
              <w:pStyle w:val="12"/>
            </w:pPr>
            <w:r>
              <w:t>时间进度完成率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预算金额</w:t>
            </w:r>
          </w:p>
        </w:tc>
        <w:tc>
          <w:tcPr>
            <w:tcW w:w="5386" w:type="dxa"/>
            <w:vAlign w:val="center"/>
          </w:tcPr>
          <w:p>
            <w:pPr>
              <w:pStyle w:val="12"/>
            </w:pPr>
            <w:r>
              <w:t>预算金额</w:t>
            </w:r>
          </w:p>
        </w:tc>
        <w:tc>
          <w:tcPr>
            <w:tcW w:w="2268" w:type="dxa"/>
            <w:vAlign w:val="center"/>
          </w:tcPr>
          <w:p>
            <w:pPr>
              <w:pStyle w:val="12"/>
            </w:pPr>
            <w:r>
              <w:t>预算金额</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经济效益指标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社会问题事件“零”发生</w:t>
            </w:r>
          </w:p>
        </w:tc>
        <w:tc>
          <w:tcPr>
            <w:tcW w:w="5386" w:type="dxa"/>
            <w:vAlign w:val="center"/>
          </w:tcPr>
          <w:p>
            <w:pPr>
              <w:pStyle w:val="12"/>
            </w:pPr>
            <w:r>
              <w:t>社会问题事件“零”发生</w:t>
            </w:r>
          </w:p>
        </w:tc>
        <w:tc>
          <w:tcPr>
            <w:tcW w:w="2268" w:type="dxa"/>
            <w:vAlign w:val="center"/>
          </w:tcPr>
          <w:p>
            <w:pPr>
              <w:pStyle w:val="12"/>
            </w:pPr>
            <w:r>
              <w:t>社会问题事件“零”发生</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生态效益增长率</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群众交通安全意识、文明意识进一步提高</w:t>
            </w:r>
          </w:p>
        </w:tc>
        <w:tc>
          <w:tcPr>
            <w:tcW w:w="2268" w:type="dxa"/>
            <w:vAlign w:val="center"/>
          </w:tcPr>
          <w:p>
            <w:pPr>
              <w:pStyle w:val="12"/>
            </w:pPr>
            <w:r>
              <w:t>群众交通安全意识、文明意识进一步提高</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群众满意度</w:t>
            </w:r>
          </w:p>
        </w:tc>
        <w:tc>
          <w:tcPr>
            <w:tcW w:w="1276" w:type="dxa"/>
            <w:vAlign w:val="center"/>
          </w:tcPr>
          <w:p>
            <w:pPr>
              <w:pStyle w:val="12"/>
            </w:pPr>
            <w:r>
              <w:t>年初预算</w:t>
            </w:r>
          </w:p>
        </w:tc>
      </w:tr>
    </w:tbl>
    <w:p>
      <w:pPr>
        <w:sectPr>
          <w:pgSz w:w="16840" w:h="11900" w:orient="landscape"/>
          <w:pgMar w:top="1361" w:right="1020" w:bottom="1134" w:left="1020" w:header="720" w:footer="720" w:gutter="0"/>
          <w:cols w:space="720" w:num="1"/>
        </w:sectPr>
      </w:pPr>
    </w:p>
    <w:p>
      <w:pPr>
        <w:spacing w:before="10" w:after="10"/>
        <w:ind w:firstLine="640"/>
        <w:outlineLvl w:val="0"/>
      </w:pPr>
      <w:bookmarkStart w:id="17" w:name="_Toc10506"/>
      <w:r>
        <w:rPr>
          <w:rFonts w:ascii="黑体" w:hAnsi="黑体" w:eastAsia="黑体" w:cs="黑体"/>
          <w:color w:val="000000"/>
          <w:sz w:val="32"/>
        </w:rPr>
        <w:t>六、政府采购预算情况</w:t>
      </w:r>
      <w:bookmarkEnd w:id="17"/>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0"/>
      </w:pPr>
      <w:bookmarkStart w:id="18" w:name="_Toc24450"/>
      <w:r>
        <w:rPr>
          <w:rFonts w:ascii="黑体" w:hAnsi="黑体" w:eastAsia="黑体" w:cs="黑体"/>
          <w:color w:val="000000"/>
          <w:sz w:val="32"/>
        </w:rPr>
        <w:t>七、国有资产信息</w:t>
      </w:r>
      <w:bookmarkEnd w:id="18"/>
    </w:p>
    <w:p>
      <w:pPr>
        <w:spacing w:line="500" w:lineRule="exact"/>
        <w:ind w:firstLine="560"/>
      </w:pPr>
      <w:r>
        <w:rPr>
          <w:rFonts w:hint="eastAsia" w:eastAsia="方正仿宋_GBK"/>
          <w:color w:val="000000"/>
          <w:sz w:val="28"/>
          <w:lang w:eastAsia="zh-CN"/>
        </w:rPr>
        <w:t>港城街道</w:t>
      </w:r>
      <w:r>
        <w:rPr>
          <w:rFonts w:eastAsia="方正仿宋_GBK"/>
          <w:color w:val="000000"/>
          <w:sz w:val="28"/>
        </w:rPr>
        <w:t>服务中心上年末固定资产金额为239.75万元（详见下表）。本年度拟购置固定资产总额为0.00万元，已按要求列入政府采购预算，详见政府采购预算表。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170001</w:t>
            </w:r>
            <w:r>
              <w:rPr>
                <w:rFonts w:hint="eastAsia"/>
                <w:lang w:eastAsia="zh-CN"/>
              </w:rPr>
              <w:t>港城街道</w:t>
            </w:r>
            <w:r>
              <w:t>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838</w:t>
            </w:r>
          </w:p>
        </w:tc>
        <w:tc>
          <w:tcPr>
            <w:tcW w:w="2835" w:type="dxa"/>
            <w:vAlign w:val="center"/>
          </w:tcPr>
          <w:p>
            <w:pPr>
              <w:pStyle w:val="11"/>
            </w:pPr>
            <w:r>
              <w:t>239.75</w:t>
            </w:r>
          </w:p>
        </w:tc>
      </w:tr>
    </w:tbl>
    <w:p>
      <w:pPr>
        <w:ind w:firstLine="640"/>
      </w:pPr>
      <w:r>
        <w:rPr>
          <w:rFonts w:eastAsia="方正仿宋_GBK"/>
          <w:color w:val="000000"/>
          <w:sz w:val="32"/>
        </w:rPr>
        <w:t xml:space="preserve"> </w:t>
      </w:r>
    </w:p>
    <w:p>
      <w:pPr>
        <w:spacing w:before="10" w:after="10"/>
        <w:ind w:firstLine="640"/>
        <w:outlineLvl w:val="0"/>
      </w:pPr>
      <w:bookmarkStart w:id="19" w:name="_Toc14691"/>
      <w:r>
        <w:rPr>
          <w:rFonts w:ascii="黑体" w:hAnsi="黑体" w:eastAsia="黑体" w:cs="黑体"/>
          <w:color w:val="000000"/>
          <w:sz w:val="32"/>
        </w:rPr>
        <w:t>八、名词解释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0"/>
      </w:pPr>
      <w:bookmarkStart w:id="20" w:name="_Toc31512"/>
      <w:r>
        <w:rPr>
          <w:rFonts w:ascii="黑体" w:hAnsi="黑体" w:eastAsia="黑体" w:cs="黑体"/>
          <w:color w:val="000000"/>
          <w:sz w:val="32"/>
        </w:rPr>
        <w:t>九、其他需要说明的事项</w:t>
      </w:r>
      <w:bookmarkEnd w:id="20"/>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jNkMzQ5YTNjNmJmMWNhMjA2OWRiMTk1MDU0ODUifQ=="/>
  </w:docVars>
  <w:rsids>
    <w:rsidRoot w:val="00AE0B94"/>
    <w:rsid w:val="00AE0B94"/>
    <w:rsid w:val="00D0665E"/>
    <w:rsid w:val="174B47FA"/>
    <w:rsid w:val="2DE22858"/>
    <w:rsid w:val="35762EBC"/>
    <w:rsid w:val="47D44AB3"/>
    <w:rsid w:val="71106178"/>
    <w:rsid w:val="7877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WPSOffice手动目录 1"/>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2024-02-22T16:03:04Z</dcterms:created>
  <dcterms:modified xsi:type="dcterms:W3CDTF">2024-02-22T08:03:03Z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2024-02-22T16:03:04Z</dcterms:created>
  <dcterms:modified xsi:type="dcterms:W3CDTF">2024-02-22T08:03:04Z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2024-02-22T16:03:02Z</dcterms:created>
  <dcterms:modified xsi:type="dcterms:W3CDTF">2024-02-22T08:03:02Z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2024-02-22T16:03:04Z</dcterms:created>
  <dcterms:modified xsi:type="dcterms:W3CDTF">2024-02-22T08:03:04Z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2024-02-22T16:03:03Z</dcterms:created>
  <dcterms:modified xsi:type="dcterms:W3CDTF">2024-02-22T08:03:03Z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2024-02-22T16:03:03Z</dcterms:created>
  <dcterms:modified xsi:type="dcterms:W3CDTF">2024-02-22T08:03:03Z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2024-02-22T16:03:02Z</dcterms:created>
  <dcterms:modified xsi:type="dcterms:W3CDTF">2024-02-22T08:03:02Z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2024-02-22T16:03:03Z</dcterms:created>
  <dcterms:modified xsi:type="dcterms:W3CDTF">2024-02-22T08:03:03Z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2024-02-22T16:02:59Z</dcterms:created>
  <dcterms:modified xsi:type="dcterms:W3CDTF">2024-02-22T08:02:59Z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2024-02-22T16:03:04Z</dcterms:created>
  <dcterms:modified xsi:type="dcterms:W3CDTF">2024-02-22T08:03:04Z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2024-02-22T16:03:02Z</dcterms:created>
  <dcterms:modified xsi:type="dcterms:W3CDTF">2024-02-22T08:03:02Z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Props1.xml><?xml version="1.0" encoding="utf-8"?>
<ds:datastoreItem xmlns:ds="http://schemas.openxmlformats.org/officeDocument/2006/customXml" ds:itemID="{38FACBD8-0277-44D1-AE35-8F1CCEBC08D6}">
  <ds:schemaRefs/>
</ds:datastoreItem>
</file>

<file path=customXml/itemProps10.xml><?xml version="1.0" encoding="utf-8"?>
<ds:datastoreItem xmlns:ds="http://schemas.openxmlformats.org/officeDocument/2006/customXml" ds:itemID="{BB6494A2-521F-4A63-9EA7-A639748C4E60}">
  <ds:schemaRefs/>
</ds:datastoreItem>
</file>

<file path=customXml/itemProps11.xml><?xml version="1.0" encoding="utf-8"?>
<ds:datastoreItem xmlns:ds="http://schemas.openxmlformats.org/officeDocument/2006/customXml" ds:itemID="{4F6CB67D-A0DD-43AC-A9A2-4CB00C309D46}">
  <ds:schemaRefs/>
</ds:datastoreItem>
</file>

<file path=customXml/itemProps12.xml><?xml version="1.0" encoding="utf-8"?>
<ds:datastoreItem xmlns:ds="http://schemas.openxmlformats.org/officeDocument/2006/customXml" ds:itemID="{164D9D35-D3C1-4982-8301-6AD0F37A075F}">
  <ds:schemaRefs/>
</ds:datastoreItem>
</file>

<file path=customXml/itemProps13.xml><?xml version="1.0" encoding="utf-8"?>
<ds:datastoreItem xmlns:ds="http://schemas.openxmlformats.org/officeDocument/2006/customXml" ds:itemID="{D14B8832-6E18-4888-82E7-8FA013FE42D1}">
  <ds:schemaRefs/>
</ds:datastoreItem>
</file>

<file path=customXml/itemProps14.xml><?xml version="1.0" encoding="utf-8"?>
<ds:datastoreItem xmlns:ds="http://schemas.openxmlformats.org/officeDocument/2006/customXml" ds:itemID="{19BE725D-3661-4DB3-BAA6-8BFE7D4DB73B}">
  <ds:schemaRefs/>
</ds:datastoreItem>
</file>

<file path=customXml/itemProps15.xml><?xml version="1.0" encoding="utf-8"?>
<ds:datastoreItem xmlns:ds="http://schemas.openxmlformats.org/officeDocument/2006/customXml" ds:itemID="{D2E49A27-E98E-47CB-8A98-D03FC623F505}">
  <ds:schemaRefs/>
</ds:datastoreItem>
</file>

<file path=customXml/itemProps16.xml><?xml version="1.0" encoding="utf-8"?>
<ds:datastoreItem xmlns:ds="http://schemas.openxmlformats.org/officeDocument/2006/customXml" ds:itemID="{360FCF11-20D0-4E49-967F-38E4052ECCA1}">
  <ds:schemaRefs/>
</ds:datastoreItem>
</file>

<file path=customXml/itemProps17.xml><?xml version="1.0" encoding="utf-8"?>
<ds:datastoreItem xmlns:ds="http://schemas.openxmlformats.org/officeDocument/2006/customXml" ds:itemID="{95CF7BE5-4D98-47B8-9DEA-8F74D94C7351}">
  <ds:schemaRefs/>
</ds:datastoreItem>
</file>

<file path=customXml/itemProps18.xml><?xml version="1.0" encoding="utf-8"?>
<ds:datastoreItem xmlns:ds="http://schemas.openxmlformats.org/officeDocument/2006/customXml" ds:itemID="{A775C0B0-4911-411F-B302-8CEFF9C4347C}">
  <ds:schemaRefs/>
</ds:datastoreItem>
</file>

<file path=customXml/itemProps19.xml><?xml version="1.0" encoding="utf-8"?>
<ds:datastoreItem xmlns:ds="http://schemas.openxmlformats.org/officeDocument/2006/customXml" ds:itemID="{F7AF144E-B05B-46A8-A3C3-24DB16BB2944}">
  <ds:schemaRefs/>
</ds:datastoreItem>
</file>

<file path=customXml/itemProps2.xml><?xml version="1.0" encoding="utf-8"?>
<ds:datastoreItem xmlns:ds="http://schemas.openxmlformats.org/officeDocument/2006/customXml" ds:itemID="{2D0AE941-92F0-45D3-82A2-DE18A0DE2F9B}">
  <ds:schemaRefs/>
</ds:datastoreItem>
</file>

<file path=customXml/itemProps20.xml><?xml version="1.0" encoding="utf-8"?>
<ds:datastoreItem xmlns:ds="http://schemas.openxmlformats.org/officeDocument/2006/customXml" ds:itemID="{8E03F7F9-0ABF-4953-972B-FFC291BD7CF2}">
  <ds:schemaRefs/>
</ds:datastoreItem>
</file>

<file path=customXml/itemProps21.xml><?xml version="1.0" encoding="utf-8"?>
<ds:datastoreItem xmlns:ds="http://schemas.openxmlformats.org/officeDocument/2006/customXml" ds:itemID="{E525312B-A8DC-485D-8D09-31FB5297BA18}">
  <ds:schemaRefs/>
</ds:datastoreItem>
</file>

<file path=customXml/itemProps22.xml><?xml version="1.0" encoding="utf-8"?>
<ds:datastoreItem xmlns:ds="http://schemas.openxmlformats.org/officeDocument/2006/customXml" ds:itemID="{B27C4272-D92D-4701-B739-41D120CC5CA0}">
  <ds:schemaRefs/>
</ds:datastoreItem>
</file>

<file path=customXml/itemProps23.xml><?xml version="1.0" encoding="utf-8"?>
<ds:datastoreItem xmlns:ds="http://schemas.openxmlformats.org/officeDocument/2006/customXml" ds:itemID="{42DE5712-35B5-44E9-A882-B6256AB8AF32}">
  <ds:schemaRefs/>
</ds:datastoreItem>
</file>

<file path=customXml/itemProps24.xml><?xml version="1.0" encoding="utf-8"?>
<ds:datastoreItem xmlns:ds="http://schemas.openxmlformats.org/officeDocument/2006/customXml" ds:itemID="{04A6B1CF-6CB5-4C76-900A-DC1B09D0D5A2}">
  <ds:schemaRefs/>
</ds:datastoreItem>
</file>

<file path=customXml/itemProps25.xml><?xml version="1.0" encoding="utf-8"?>
<ds:datastoreItem xmlns:ds="http://schemas.openxmlformats.org/officeDocument/2006/customXml" ds:itemID="{75141369-8358-4BB5-9479-F892920D95E6}">
  <ds:schemaRefs/>
</ds:datastoreItem>
</file>

<file path=customXml/itemProps26.xml><?xml version="1.0" encoding="utf-8"?>
<ds:datastoreItem xmlns:ds="http://schemas.openxmlformats.org/officeDocument/2006/customXml" ds:itemID="{7C2533D8-E11E-4E38-B898-183DD7EF2899}">
  <ds:schemaRefs/>
</ds:datastoreItem>
</file>

<file path=customXml/itemProps27.xml><?xml version="1.0" encoding="utf-8"?>
<ds:datastoreItem xmlns:ds="http://schemas.openxmlformats.org/officeDocument/2006/customXml" ds:itemID="{AAC03A8A-0309-4376-90CE-34D8BF1864C0}">
  <ds:schemaRefs/>
</ds:datastoreItem>
</file>

<file path=customXml/itemProps28.xml><?xml version="1.0" encoding="utf-8"?>
<ds:datastoreItem xmlns:ds="http://schemas.openxmlformats.org/officeDocument/2006/customXml" ds:itemID="{3FECD727-4F53-4161-BAB8-66B138A2D023}">
  <ds:schemaRefs/>
</ds:datastoreItem>
</file>

<file path=customXml/itemProps29.xml><?xml version="1.0" encoding="utf-8"?>
<ds:datastoreItem xmlns:ds="http://schemas.openxmlformats.org/officeDocument/2006/customXml" ds:itemID="{09D506D9-C859-4372-A856-43C46054DC3C}">
  <ds:schemaRefs/>
</ds:datastoreItem>
</file>

<file path=customXml/itemProps3.xml><?xml version="1.0" encoding="utf-8"?>
<ds:datastoreItem xmlns:ds="http://schemas.openxmlformats.org/officeDocument/2006/customXml" ds:itemID="{17F54C73-5DEE-44D6-B825-5109C017C8D0}">
  <ds:schemaRefs/>
</ds:datastoreItem>
</file>

<file path=customXml/itemProps30.xml><?xml version="1.0" encoding="utf-8"?>
<ds:datastoreItem xmlns:ds="http://schemas.openxmlformats.org/officeDocument/2006/customXml" ds:itemID="{209605A8-1FE9-49AF-8B18-5393DF73FADF}">
  <ds:schemaRefs/>
</ds:datastoreItem>
</file>

<file path=customXml/itemProps31.xml><?xml version="1.0" encoding="utf-8"?>
<ds:datastoreItem xmlns:ds="http://schemas.openxmlformats.org/officeDocument/2006/customXml" ds:itemID="{9CA072DE-2E12-41AD-A123-195310679F85}">
  <ds:schemaRefs/>
</ds:datastoreItem>
</file>

<file path=customXml/itemProps32.xml><?xml version="1.0" encoding="utf-8"?>
<ds:datastoreItem xmlns:ds="http://schemas.openxmlformats.org/officeDocument/2006/customXml" ds:itemID="{5CBBDF2F-30F5-47D8-ABB6-E03AE73486CC}">
  <ds:schemaRefs/>
</ds:datastoreItem>
</file>

<file path=customXml/itemProps33.xml><?xml version="1.0" encoding="utf-8"?>
<ds:datastoreItem xmlns:ds="http://schemas.openxmlformats.org/officeDocument/2006/customXml" ds:itemID="{DEC7DA56-D4DB-4AE5-89A9-F0C20D4BDCA1}">
  <ds:schemaRefs/>
</ds:datastoreItem>
</file>

<file path=customXml/itemProps34.xml><?xml version="1.0" encoding="utf-8"?>
<ds:datastoreItem xmlns:ds="http://schemas.openxmlformats.org/officeDocument/2006/customXml" ds:itemID="{CC585503-1021-4861-BD03-1470BB11B33D}">
  <ds:schemaRefs/>
</ds:datastoreItem>
</file>

<file path=customXml/itemProps35.xml><?xml version="1.0" encoding="utf-8"?>
<ds:datastoreItem xmlns:ds="http://schemas.openxmlformats.org/officeDocument/2006/customXml" ds:itemID="{70712076-9C0B-493A-A292-3D782AA8E569}">
  <ds:schemaRefs/>
</ds:datastoreItem>
</file>

<file path=customXml/itemProps36.xml><?xml version="1.0" encoding="utf-8"?>
<ds:datastoreItem xmlns:ds="http://schemas.openxmlformats.org/officeDocument/2006/customXml" ds:itemID="{9D209942-3798-4648-A91F-7C1435934E0E}">
  <ds:schemaRefs/>
</ds:datastoreItem>
</file>

<file path=customXml/itemProps37.xml><?xml version="1.0" encoding="utf-8"?>
<ds:datastoreItem xmlns:ds="http://schemas.openxmlformats.org/officeDocument/2006/customXml" ds:itemID="{171F8B8F-74ED-479F-A098-72218A428B71}">
  <ds:schemaRefs/>
</ds:datastoreItem>
</file>

<file path=customXml/itemProps38.xml><?xml version="1.0" encoding="utf-8"?>
<ds:datastoreItem xmlns:ds="http://schemas.openxmlformats.org/officeDocument/2006/customXml" ds:itemID="{F4E40683-B332-4075-910C-DD577D33E1C4}">
  <ds:schemaRefs/>
</ds:datastoreItem>
</file>

<file path=customXml/itemProps4.xml><?xml version="1.0" encoding="utf-8"?>
<ds:datastoreItem xmlns:ds="http://schemas.openxmlformats.org/officeDocument/2006/customXml" ds:itemID="{566BE616-D957-49AB-A31C-7D1F2650783B}">
  <ds:schemaRefs/>
</ds:datastoreItem>
</file>

<file path=customXml/itemProps5.xml><?xml version="1.0" encoding="utf-8"?>
<ds:datastoreItem xmlns:ds="http://schemas.openxmlformats.org/officeDocument/2006/customXml" ds:itemID="{D3B64E5B-CCC9-48AB-BDA4-8C39549BD8D9}">
  <ds:schemaRefs/>
</ds:datastoreItem>
</file>

<file path=customXml/itemProps6.xml><?xml version="1.0" encoding="utf-8"?>
<ds:datastoreItem xmlns:ds="http://schemas.openxmlformats.org/officeDocument/2006/customXml" ds:itemID="{91FED31A-875D-48AD-87A1-00A3FEECD9AD}">
  <ds:schemaRefs/>
</ds:datastoreItem>
</file>

<file path=customXml/itemProps7.xml><?xml version="1.0" encoding="utf-8"?>
<ds:datastoreItem xmlns:ds="http://schemas.openxmlformats.org/officeDocument/2006/customXml" ds:itemID="{76416EB9-BF2F-4B0B-8DED-7C1985DF388A}">
  <ds:schemaRefs/>
</ds:datastoreItem>
</file>

<file path=customXml/itemProps8.xml><?xml version="1.0" encoding="utf-8"?>
<ds:datastoreItem xmlns:ds="http://schemas.openxmlformats.org/officeDocument/2006/customXml" ds:itemID="{C8D82EB0-18E5-4AEF-B770-EC8CDD6F820F}">
  <ds:schemaRefs/>
</ds:datastoreItem>
</file>

<file path=customXml/itemProps9.xml><?xml version="1.0" encoding="utf-8"?>
<ds:datastoreItem xmlns:ds="http://schemas.openxmlformats.org/officeDocument/2006/customXml" ds:itemID="{1D38E5A2-0D94-4D5B-A1B5-974406D0C132}">
  <ds:schemaRefs/>
</ds:datastoreItem>
</file>

<file path=docProps/app.xml><?xml version="1.0" encoding="utf-8"?>
<Properties xmlns="http://schemas.openxmlformats.org/officeDocument/2006/extended-properties" xmlns:vt="http://schemas.openxmlformats.org/officeDocument/2006/docPropsVTypes">
  <Template>Normal</Template>
  <Pages>39</Pages>
  <Words>2737</Words>
  <Characters>15602</Characters>
  <Lines>130</Lines>
  <Paragraphs>36</Paragraphs>
  <TotalTime>15</TotalTime>
  <ScaleCrop>false</ScaleCrop>
  <LinksUpToDate>false</LinksUpToDate>
  <CharactersWithSpaces>18303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2024-02-22T08:09:00Z</dcterms:created>
  <dc:creator>Administrator</dc:creator>
  <cp:lastModifiedBy>彧倾冰</cp:lastModifiedBy>
  <dcterms:modified xsi:type="dcterms:W3CDTF">2024-02-23T09:07:54Z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876A27929B264F0A94A2FB4684253129_13</vt:lpwstr>
  </property>
</Properties>
</file>