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outlineLvl w:val="9"/>
        <w:rPr>
          <w:rFonts w:ascii="仿宋_GB2312" w:hAnsi="仿宋_GB2312" w:eastAsia="仿宋_GB2312" w:cs="仿宋_GB2312"/>
          <w:color w:val="auto"/>
          <w:sz w:val="36"/>
          <w:szCs w:val="36"/>
        </w:rPr>
      </w:pPr>
    </w:p>
    <w:p>
      <w:pPr>
        <w:outlineLvl w:val="9"/>
        <w:rPr>
          <w:rFonts w:ascii="仿宋_GB2312" w:hAnsi="仿宋_GB2312" w:eastAsia="仿宋_GB2312" w:cs="仿宋_GB2312"/>
          <w:color w:val="auto"/>
          <w:sz w:val="36"/>
          <w:szCs w:val="36"/>
        </w:rPr>
      </w:pPr>
    </w:p>
    <w:p>
      <w:pPr>
        <w:outlineLvl w:val="9"/>
        <w:rPr>
          <w:rFonts w:hint="eastAsia" w:ascii="仿宋_GB2312" w:hAnsi="仿宋_GB2312" w:eastAsia="仿宋_GB2312" w:cs="仿宋_GB2312"/>
          <w:color w:val="auto"/>
          <w:sz w:val="36"/>
          <w:szCs w:val="36"/>
        </w:rPr>
      </w:pPr>
    </w:p>
    <w:p>
      <w:pPr>
        <w:adjustRightInd w:val="0"/>
        <w:snapToGrid w:val="0"/>
        <w:jc w:val="center"/>
        <w:outlineLvl w:val="9"/>
        <w:rPr>
          <w:rFonts w:hint="eastAsia" w:ascii="方正小标宋_GBK" w:eastAsia="方正小标宋_GBK"/>
          <w:bCs/>
          <w:color w:val="auto"/>
          <w:sz w:val="72"/>
          <w:szCs w:val="72"/>
        </w:rPr>
      </w:pPr>
      <w:r>
        <w:rPr>
          <w:rFonts w:hint="eastAsia" w:ascii="方正小标宋_GBK" w:eastAsia="方正小标宋_GBK"/>
          <w:bCs/>
          <w:color w:val="auto"/>
          <w:sz w:val="72"/>
          <w:szCs w:val="72"/>
        </w:rPr>
        <w:t>建设项目环境影响报告表</w:t>
      </w:r>
    </w:p>
    <w:p>
      <w:pPr>
        <w:adjustRightInd w:val="0"/>
        <w:snapToGrid w:val="0"/>
        <w:spacing w:before="192" w:beforeLines="80"/>
        <w:jc w:val="center"/>
        <w:outlineLvl w:val="9"/>
        <w:rPr>
          <w:rFonts w:hint="eastAsia" w:ascii="楷体_GB2312" w:eastAsia="楷体_GB2312"/>
          <w:bCs/>
          <w:color w:val="auto"/>
          <w:sz w:val="48"/>
          <w:szCs w:val="48"/>
        </w:rPr>
      </w:pPr>
      <w:r>
        <w:rPr>
          <w:rFonts w:hint="eastAsia" w:ascii="楷体_GB2312" w:eastAsia="楷体_GB2312"/>
          <w:bCs/>
          <w:color w:val="auto"/>
          <w:sz w:val="48"/>
          <w:szCs w:val="48"/>
        </w:rPr>
        <w:t>（</w:t>
      </w:r>
      <w:r>
        <w:rPr>
          <w:rFonts w:hint="eastAsia" w:ascii="楷体_GB2312" w:eastAsia="楷体_GB2312"/>
          <w:bCs/>
          <w:color w:val="auto"/>
          <w:sz w:val="48"/>
          <w:szCs w:val="48"/>
          <w:lang w:eastAsia="zh-CN"/>
        </w:rPr>
        <w:t>生态影响</w:t>
      </w:r>
      <w:r>
        <w:rPr>
          <w:rFonts w:hint="eastAsia" w:ascii="楷体_GB2312" w:eastAsia="楷体_GB2312"/>
          <w:bCs/>
          <w:color w:val="auto"/>
          <w:sz w:val="48"/>
          <w:szCs w:val="48"/>
        </w:rPr>
        <w:t>类）</w:t>
      </w:r>
    </w:p>
    <w:p>
      <w:pPr>
        <w:ind w:firstLine="1040"/>
        <w:outlineLvl w:val="9"/>
        <w:rPr>
          <w:rFonts w:eastAsia="仿宋"/>
          <w:color w:val="auto"/>
          <w:sz w:val="44"/>
          <w:szCs w:val="44"/>
        </w:rPr>
      </w:pPr>
    </w:p>
    <w:p>
      <w:pPr>
        <w:ind w:firstLine="1040"/>
        <w:outlineLvl w:val="9"/>
        <w:rPr>
          <w:rFonts w:eastAsia="仿宋"/>
          <w:color w:val="auto"/>
          <w:sz w:val="44"/>
          <w:szCs w:val="44"/>
        </w:rPr>
      </w:pPr>
    </w:p>
    <w:p>
      <w:pPr>
        <w:pStyle w:val="26"/>
        <w:outlineLvl w:val="9"/>
        <w:rPr>
          <w:rFonts w:eastAsia="仿宋"/>
          <w:color w:val="auto"/>
          <w:sz w:val="44"/>
          <w:szCs w:val="44"/>
        </w:rPr>
      </w:pPr>
    </w:p>
    <w:p>
      <w:pPr>
        <w:pStyle w:val="47"/>
        <w:outlineLvl w:val="9"/>
        <w:rPr>
          <w:rFonts w:eastAsia="仿宋"/>
          <w:color w:val="auto"/>
          <w:sz w:val="44"/>
          <w:szCs w:val="44"/>
        </w:rPr>
      </w:pPr>
    </w:p>
    <w:p>
      <w:pPr>
        <w:pStyle w:val="47"/>
        <w:outlineLvl w:val="9"/>
        <w:rPr>
          <w:rFonts w:eastAsia="仿宋"/>
          <w:color w:val="auto"/>
          <w:sz w:val="44"/>
          <w:szCs w:val="44"/>
        </w:rPr>
      </w:pPr>
    </w:p>
    <w:p>
      <w:pPr>
        <w:pStyle w:val="47"/>
        <w:outlineLvl w:val="9"/>
        <w:rPr>
          <w:rFonts w:eastAsia="仿宋"/>
          <w:color w:val="auto"/>
          <w:sz w:val="44"/>
          <w:szCs w:val="44"/>
        </w:rPr>
      </w:pPr>
    </w:p>
    <w:p>
      <w:pPr>
        <w:ind w:firstLine="1040"/>
        <w:outlineLvl w:val="9"/>
        <w:rPr>
          <w:rFonts w:eastAsia="仿宋"/>
          <w:color w:val="auto"/>
          <w:sz w:val="44"/>
          <w:szCs w:val="44"/>
        </w:rPr>
      </w:pPr>
    </w:p>
    <w:p>
      <w:pPr>
        <w:ind w:firstLine="1040"/>
        <w:outlineLvl w:val="9"/>
        <w:rPr>
          <w:rFonts w:eastAsia="仿宋"/>
          <w:color w:val="auto"/>
          <w:sz w:val="44"/>
          <w:szCs w:val="44"/>
        </w:rPr>
      </w:pPr>
    </w:p>
    <w:p>
      <w:pPr>
        <w:adjustRightInd w:val="0"/>
        <w:snapToGrid w:val="0"/>
        <w:spacing w:line="288" w:lineRule="auto"/>
        <w:ind w:firstLine="1040"/>
        <w:outlineLvl w:val="9"/>
        <w:rPr>
          <w:rFonts w:hint="eastAsia" w:ascii="仿宋_GB2312" w:eastAsia="仿宋_GB2312"/>
          <w:color w:val="auto"/>
          <w:sz w:val="36"/>
          <w:szCs w:val="36"/>
        </w:rPr>
      </w:pPr>
    </w:p>
    <w:p>
      <w:pPr>
        <w:adjustRightInd w:val="0"/>
        <w:snapToGrid w:val="0"/>
        <w:spacing w:line="288" w:lineRule="auto"/>
        <w:ind w:firstLine="1040"/>
        <w:outlineLvl w:val="9"/>
        <w:rPr>
          <w:rFonts w:hint="eastAsia" w:ascii="仿宋_GB2312" w:eastAsia="仿宋_GB2312"/>
          <w:color w:val="auto"/>
          <w:sz w:val="36"/>
          <w:szCs w:val="36"/>
        </w:rPr>
      </w:pPr>
    </w:p>
    <w:p>
      <w:pPr>
        <w:adjustRightInd w:val="0"/>
        <w:snapToGrid w:val="0"/>
        <w:spacing w:line="288" w:lineRule="auto"/>
        <w:ind w:firstLine="1040"/>
        <w:outlineLvl w:val="9"/>
        <w:rPr>
          <w:rFonts w:hint="eastAsia" w:ascii="仿宋_GB2312" w:eastAsia="仿宋_GB2312"/>
          <w:color w:val="auto"/>
          <w:sz w:val="36"/>
          <w:szCs w:val="36"/>
          <w:u w:val="single"/>
          <w:lang w:eastAsia="zh-CN"/>
        </w:rPr>
      </w:pPr>
      <w:r>
        <w:rPr>
          <w:rFonts w:hint="eastAsia" w:ascii="仿宋_GB2312" w:eastAsia="仿宋_GB2312"/>
          <w:color w:val="auto"/>
          <w:sz w:val="36"/>
          <w:szCs w:val="36"/>
        </w:rPr>
        <w:t>项目名称：</w:t>
      </w:r>
      <w:r>
        <w:rPr>
          <w:rFonts w:hint="eastAsia" w:ascii="仿宋_GB2312" w:eastAsia="仿宋_GB2312"/>
          <w:color w:val="auto"/>
          <w:sz w:val="36"/>
          <w:szCs w:val="36"/>
          <w:u w:val="single"/>
          <w:lang w:eastAsia="zh-CN"/>
        </w:rPr>
        <w:t>唐山环港廊道港区连接线项目</w:t>
      </w:r>
    </w:p>
    <w:p>
      <w:pPr>
        <w:adjustRightInd w:val="0"/>
        <w:snapToGrid w:val="0"/>
        <w:spacing w:line="288" w:lineRule="auto"/>
        <w:ind w:firstLine="1040"/>
        <w:outlineLvl w:val="9"/>
        <w:rPr>
          <w:rFonts w:hint="eastAsia" w:ascii="仿宋_GB2312" w:eastAsia="仿宋_GB2312"/>
          <w:color w:val="auto"/>
          <w:sz w:val="36"/>
          <w:szCs w:val="36"/>
          <w:u w:val="single"/>
          <w:lang w:eastAsia="zh-CN"/>
        </w:rPr>
      </w:pPr>
      <w:r>
        <w:rPr>
          <w:rFonts w:hint="eastAsia" w:ascii="仿宋_GB2312" w:eastAsia="仿宋_GB2312"/>
          <w:color w:val="auto"/>
          <w:sz w:val="36"/>
          <w:szCs w:val="36"/>
        </w:rPr>
        <w:t>建设单位（盖章）：</w:t>
      </w:r>
      <w:r>
        <w:rPr>
          <w:rFonts w:hint="eastAsia" w:ascii="仿宋_GB2312" w:eastAsia="仿宋_GB2312"/>
          <w:color w:val="auto"/>
          <w:sz w:val="36"/>
          <w:szCs w:val="36"/>
          <w:u w:val="single"/>
          <w:lang w:eastAsia="zh-CN"/>
        </w:rPr>
        <w:t>唐山环港廊道运输有限公司</w:t>
      </w:r>
    </w:p>
    <w:p>
      <w:pPr>
        <w:adjustRightInd w:val="0"/>
        <w:snapToGrid w:val="0"/>
        <w:spacing w:line="288" w:lineRule="auto"/>
        <w:ind w:firstLine="1040"/>
        <w:outlineLvl w:val="9"/>
        <w:rPr>
          <w:rFonts w:ascii="仿宋_GB2312" w:eastAsia="仿宋_GB2312"/>
          <w:color w:val="auto"/>
          <w:sz w:val="36"/>
          <w:szCs w:val="36"/>
        </w:rPr>
      </w:pPr>
      <w:r>
        <w:rPr>
          <w:rFonts w:hint="eastAsia" w:ascii="仿宋_GB2312" w:eastAsia="仿宋_GB2312"/>
          <w:color w:val="auto"/>
          <w:sz w:val="36"/>
          <w:szCs w:val="36"/>
        </w:rPr>
        <w:t>编制日期：</w:t>
      </w:r>
      <w:r>
        <w:rPr>
          <w:rFonts w:hint="eastAsia" w:ascii="仿宋_GB2312" w:eastAsia="仿宋_GB2312"/>
          <w:color w:val="auto"/>
          <w:sz w:val="36"/>
          <w:szCs w:val="36"/>
          <w:u w:val="single"/>
        </w:rPr>
        <w:t>202</w:t>
      </w:r>
      <w:r>
        <w:rPr>
          <w:rFonts w:hint="eastAsia" w:ascii="仿宋_GB2312" w:eastAsia="仿宋_GB2312"/>
          <w:color w:val="auto"/>
          <w:sz w:val="36"/>
          <w:szCs w:val="36"/>
          <w:u w:val="single"/>
          <w:lang w:val="en-US" w:eastAsia="zh-CN"/>
        </w:rPr>
        <w:t>4</w:t>
      </w:r>
      <w:r>
        <w:rPr>
          <w:rFonts w:hint="eastAsia" w:ascii="仿宋_GB2312" w:eastAsia="仿宋_GB2312"/>
          <w:color w:val="auto"/>
          <w:sz w:val="36"/>
          <w:szCs w:val="36"/>
          <w:u w:val="single"/>
        </w:rPr>
        <w:t>年</w:t>
      </w:r>
      <w:r>
        <w:rPr>
          <w:rFonts w:hint="eastAsia" w:ascii="仿宋_GB2312" w:eastAsia="仿宋_GB2312"/>
          <w:color w:val="auto"/>
          <w:sz w:val="36"/>
          <w:szCs w:val="36"/>
          <w:u w:val="single"/>
          <w:lang w:val="en-US" w:eastAsia="zh-CN"/>
        </w:rPr>
        <w:t>6</w:t>
      </w:r>
      <w:r>
        <w:rPr>
          <w:rFonts w:hint="eastAsia" w:ascii="仿宋_GB2312" w:eastAsia="仿宋_GB2312"/>
          <w:color w:val="auto"/>
          <w:sz w:val="36"/>
          <w:szCs w:val="36"/>
          <w:u w:val="single"/>
        </w:rPr>
        <w:t>月</w:t>
      </w:r>
      <w:bookmarkStart w:id="0" w:name="_Hlk57884087"/>
    </w:p>
    <w:p>
      <w:pPr>
        <w:adjustRightInd w:val="0"/>
        <w:snapToGrid w:val="0"/>
        <w:spacing w:line="288" w:lineRule="auto"/>
        <w:ind w:firstLine="1040"/>
        <w:outlineLvl w:val="9"/>
        <w:rPr>
          <w:rFonts w:hint="eastAsia" w:ascii="仿宋_GB2312" w:eastAsia="仿宋_GB2312"/>
          <w:color w:val="auto"/>
          <w:sz w:val="36"/>
          <w:szCs w:val="36"/>
        </w:rPr>
      </w:pPr>
    </w:p>
    <w:bookmarkEnd w:id="0"/>
    <w:p>
      <w:pPr>
        <w:adjustRightInd w:val="0"/>
        <w:snapToGrid w:val="0"/>
        <w:spacing w:line="288" w:lineRule="auto"/>
        <w:jc w:val="center"/>
        <w:outlineLvl w:val="9"/>
        <w:rPr>
          <w:rFonts w:hint="eastAsia" w:ascii="楷体_GB2312" w:eastAsia="楷体_GB2312"/>
          <w:color w:val="auto"/>
          <w:sz w:val="36"/>
          <w:szCs w:val="36"/>
        </w:rPr>
      </w:pPr>
      <w:r>
        <w:rPr>
          <w:rFonts w:hint="eastAsia" w:ascii="楷体_GB2312" w:eastAsia="楷体_GB2312"/>
          <w:color w:val="auto"/>
          <w:sz w:val="36"/>
          <w:szCs w:val="36"/>
        </w:rPr>
        <w:t>中华人民共和国生态环境部制</w:t>
      </w:r>
    </w:p>
    <w:p>
      <w:pPr>
        <w:adjustRightInd w:val="0"/>
        <w:snapToGrid w:val="0"/>
        <w:spacing w:line="288" w:lineRule="auto"/>
        <w:ind w:firstLine="1040"/>
        <w:outlineLvl w:val="9"/>
        <w:rPr>
          <w:rFonts w:hint="eastAsia" w:ascii="黑体" w:hAnsi="黑体" w:eastAsia="黑体"/>
          <w:snapToGrid w:val="0"/>
          <w:color w:val="auto"/>
          <w:sz w:val="30"/>
          <w:szCs w:val="30"/>
        </w:rPr>
        <w:sectPr>
          <w:footerReference r:id="rId3" w:type="default"/>
          <w:pgSz w:w="11906" w:h="16838"/>
          <w:pgMar w:top="1701" w:right="1531" w:bottom="1701" w:left="1531" w:header="851" w:footer="1077" w:gutter="0"/>
          <w:pgBorders>
            <w:top w:val="none" w:sz="0" w:space="0"/>
            <w:left w:val="none" w:sz="0" w:space="0"/>
            <w:bottom w:val="none" w:sz="0" w:space="0"/>
            <w:right w:val="none" w:sz="0" w:space="0"/>
          </w:pgBorders>
          <w:pgNumType w:fmt="decimal"/>
          <w:cols w:space="720" w:num="1"/>
          <w:docGrid w:linePitch="312" w:charSpace="0"/>
        </w:sectPr>
      </w:pPr>
    </w:p>
    <w:p>
      <w:pPr>
        <w:pStyle w:val="2"/>
        <w:rPr>
          <w:rFonts w:hint="eastAsia"/>
        </w:rPr>
        <w:sectPr>
          <w:pgSz w:w="11906" w:h="16838"/>
          <w:pgMar w:top="1701" w:right="1531" w:bottom="1701" w:left="1531" w:header="851" w:footer="1077" w:gutter="0"/>
          <w:pgBorders>
            <w:top w:val="none" w:sz="0" w:space="0"/>
            <w:left w:val="none" w:sz="0" w:space="0"/>
            <w:bottom w:val="none" w:sz="0" w:space="0"/>
            <w:right w:val="none" w:sz="0" w:space="0"/>
          </w:pgBorders>
          <w:pgNumType w:fmt="decimal"/>
          <w:cols w:space="720" w:num="1"/>
          <w:docGrid w:linePitch="312" w:charSpace="0"/>
        </w:sectPr>
      </w:pPr>
    </w:p>
    <w:p>
      <w:pPr>
        <w:keepNext w:val="0"/>
        <w:keepLines w:val="0"/>
        <w:pageBreakBefore w:val="0"/>
        <w:widowControl w:val="0"/>
        <w:kinsoku/>
        <w:wordWrap/>
        <w:overflowPunct/>
        <w:topLinePunct w:val="0"/>
        <w:autoSpaceDE/>
        <w:autoSpaceDN/>
        <w:bidi w:val="0"/>
        <w:adjustRightInd/>
        <w:snapToGrid/>
        <w:spacing w:before="0" w:after="0" w:line="480" w:lineRule="auto"/>
        <w:ind w:left="0" w:leftChars="0" w:right="0" w:rightChars="0" w:firstLine="0" w:firstLineChars="0"/>
        <w:jc w:val="center"/>
        <w:textAlignment w:val="auto"/>
        <w:rPr>
          <w:rFonts w:ascii="Times New Roman" w:hAnsi="Times New Roman" w:eastAsia="宋体"/>
          <w:sz w:val="32"/>
          <w:szCs w:val="40"/>
        </w:rPr>
      </w:pPr>
    </w:p>
    <w:p>
      <w:pPr>
        <w:keepNext w:val="0"/>
        <w:keepLines w:val="0"/>
        <w:pageBreakBefore w:val="0"/>
        <w:widowControl w:val="0"/>
        <w:kinsoku/>
        <w:wordWrap/>
        <w:overflowPunct/>
        <w:topLinePunct w:val="0"/>
        <w:autoSpaceDE/>
        <w:autoSpaceDN/>
        <w:bidi w:val="0"/>
        <w:adjustRightInd/>
        <w:snapToGrid/>
        <w:spacing w:before="0" w:after="0" w:line="480" w:lineRule="auto"/>
        <w:ind w:left="0" w:leftChars="0" w:right="0" w:rightChars="0" w:firstLine="0" w:firstLineChars="0"/>
        <w:jc w:val="center"/>
        <w:textAlignment w:val="auto"/>
        <w:rPr>
          <w:rFonts w:ascii="Times New Roman" w:hAnsi="Times New Roman" w:eastAsia="宋体"/>
          <w:sz w:val="32"/>
          <w:szCs w:val="40"/>
        </w:rPr>
      </w:pPr>
      <w:r>
        <w:rPr>
          <w:rFonts w:ascii="Times New Roman" w:hAnsi="Times New Roman" w:eastAsia="宋体"/>
          <w:sz w:val="32"/>
          <w:szCs w:val="40"/>
        </w:rPr>
        <w:t>目</w:t>
      </w:r>
      <w:r>
        <w:rPr>
          <w:rFonts w:hint="eastAsia" w:ascii="Times New Roman" w:hAnsi="Times New Roman" w:eastAsia="宋体"/>
          <w:sz w:val="32"/>
          <w:szCs w:val="40"/>
          <w:lang w:val="en-US" w:eastAsia="zh-CN"/>
        </w:rPr>
        <w:t xml:space="preserve">  </w:t>
      </w:r>
      <w:r>
        <w:rPr>
          <w:rFonts w:ascii="Times New Roman" w:hAnsi="Times New Roman" w:eastAsia="宋体"/>
          <w:sz w:val="32"/>
          <w:szCs w:val="40"/>
        </w:rPr>
        <w:t>录</w:t>
      </w:r>
    </w:p>
    <w:p>
      <w:pPr>
        <w:pStyle w:val="22"/>
        <w:tabs>
          <w:tab w:val="right" w:leader="dot" w:pos="8844"/>
        </w:tabs>
        <w:spacing w:line="480" w:lineRule="auto"/>
        <w:rPr>
          <w:rFonts w:ascii="Times New Roman" w:hAnsi="Times New Roman" w:eastAsia="宋体"/>
          <w:sz w:val="24"/>
          <w:szCs w:val="24"/>
        </w:rPr>
      </w:pP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TOC \o "1-1" \h \u </w:instrText>
      </w:r>
      <w:r>
        <w:rPr>
          <w:rFonts w:hint="eastAsia" w:ascii="Times New Roman" w:hAnsi="Times New Roman" w:eastAsia="宋体"/>
          <w:sz w:val="24"/>
          <w:szCs w:val="24"/>
        </w:rPr>
        <w:fldChar w:fldCharType="separate"/>
      </w: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 HYPERLINK \l _Toc15925 </w:instrText>
      </w:r>
      <w:r>
        <w:rPr>
          <w:rFonts w:hint="eastAsia" w:ascii="Times New Roman" w:hAnsi="Times New Roman" w:eastAsia="宋体"/>
          <w:sz w:val="24"/>
          <w:szCs w:val="24"/>
        </w:rPr>
        <w:fldChar w:fldCharType="separate"/>
      </w:r>
      <w:r>
        <w:rPr>
          <w:rFonts w:hint="eastAsia" w:ascii="Times New Roman" w:hAnsi="Times New Roman" w:eastAsia="宋体"/>
          <w:snapToGrid w:val="0"/>
          <w:sz w:val="24"/>
          <w:szCs w:val="24"/>
        </w:rPr>
        <w:t>一、建设项目基本情况</w:t>
      </w:r>
      <w:r>
        <w:rPr>
          <w:rFonts w:ascii="Times New Roman" w:hAnsi="Times New Roman" w:eastAsia="宋体"/>
          <w:sz w:val="24"/>
          <w:szCs w:val="24"/>
        </w:rPr>
        <w:tab/>
      </w:r>
      <w:r>
        <w:rPr>
          <w:rFonts w:ascii="Times New Roman" w:hAnsi="Times New Roman" w:eastAsia="宋体"/>
          <w:sz w:val="24"/>
          <w:szCs w:val="24"/>
        </w:rPr>
        <w:fldChar w:fldCharType="begin"/>
      </w:r>
      <w:r>
        <w:rPr>
          <w:rFonts w:ascii="Times New Roman" w:hAnsi="Times New Roman" w:eastAsia="宋体"/>
          <w:sz w:val="24"/>
          <w:szCs w:val="24"/>
        </w:rPr>
        <w:instrText xml:space="preserve"> PAGEREF _Toc15925 \h </w:instrText>
      </w:r>
      <w:r>
        <w:rPr>
          <w:rFonts w:ascii="Times New Roman" w:hAnsi="Times New Roman" w:eastAsia="宋体"/>
          <w:sz w:val="24"/>
          <w:szCs w:val="24"/>
        </w:rPr>
        <w:fldChar w:fldCharType="separate"/>
      </w:r>
      <w:r>
        <w:rPr>
          <w:rFonts w:ascii="Times New Roman" w:hAnsi="Times New Roman" w:eastAsia="宋体"/>
          <w:sz w:val="24"/>
          <w:szCs w:val="24"/>
        </w:rPr>
        <w:t>1</w:t>
      </w:r>
      <w:r>
        <w:rPr>
          <w:rFonts w:ascii="Times New Roman" w:hAnsi="Times New Roman" w:eastAsia="宋体"/>
          <w:sz w:val="24"/>
          <w:szCs w:val="24"/>
        </w:rPr>
        <w:fldChar w:fldCharType="end"/>
      </w:r>
      <w:r>
        <w:rPr>
          <w:rFonts w:hint="eastAsia" w:ascii="Times New Roman" w:hAnsi="Times New Roman" w:eastAsia="宋体"/>
          <w:sz w:val="24"/>
          <w:szCs w:val="24"/>
        </w:rPr>
        <w:fldChar w:fldCharType="end"/>
      </w:r>
    </w:p>
    <w:p>
      <w:pPr>
        <w:pStyle w:val="22"/>
        <w:tabs>
          <w:tab w:val="right" w:leader="dot" w:pos="8844"/>
        </w:tabs>
        <w:spacing w:line="480" w:lineRule="auto"/>
        <w:rPr>
          <w:rFonts w:ascii="Times New Roman" w:hAnsi="Times New Roman" w:eastAsia="宋体"/>
          <w:sz w:val="24"/>
          <w:szCs w:val="24"/>
        </w:rPr>
      </w:pP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 HYPERLINK \l _Toc10540 </w:instrText>
      </w:r>
      <w:r>
        <w:rPr>
          <w:rFonts w:hint="eastAsia" w:ascii="Times New Roman" w:hAnsi="Times New Roman" w:eastAsia="宋体"/>
          <w:sz w:val="24"/>
          <w:szCs w:val="24"/>
        </w:rPr>
        <w:fldChar w:fldCharType="separate"/>
      </w:r>
      <w:r>
        <w:rPr>
          <w:rFonts w:hint="eastAsia" w:ascii="Times New Roman" w:hAnsi="Times New Roman" w:eastAsia="宋体"/>
          <w:snapToGrid w:val="0"/>
          <w:sz w:val="24"/>
          <w:szCs w:val="24"/>
        </w:rPr>
        <w:t>二、建设项目工程分析</w:t>
      </w:r>
      <w:r>
        <w:rPr>
          <w:rFonts w:ascii="Times New Roman" w:hAnsi="Times New Roman" w:eastAsia="宋体"/>
          <w:sz w:val="24"/>
          <w:szCs w:val="24"/>
        </w:rPr>
        <w:tab/>
      </w:r>
      <w:r>
        <w:rPr>
          <w:rFonts w:ascii="Times New Roman" w:hAnsi="Times New Roman" w:eastAsia="宋体"/>
          <w:sz w:val="24"/>
          <w:szCs w:val="24"/>
        </w:rPr>
        <w:fldChar w:fldCharType="begin"/>
      </w:r>
      <w:r>
        <w:rPr>
          <w:rFonts w:ascii="Times New Roman" w:hAnsi="Times New Roman" w:eastAsia="宋体"/>
          <w:sz w:val="24"/>
          <w:szCs w:val="24"/>
        </w:rPr>
        <w:instrText xml:space="preserve"> PAGEREF _Toc10540 \h </w:instrText>
      </w:r>
      <w:r>
        <w:rPr>
          <w:rFonts w:ascii="Times New Roman" w:hAnsi="Times New Roman" w:eastAsia="宋体"/>
          <w:sz w:val="24"/>
          <w:szCs w:val="24"/>
        </w:rPr>
        <w:fldChar w:fldCharType="separate"/>
      </w:r>
      <w:r>
        <w:rPr>
          <w:rFonts w:ascii="Times New Roman" w:hAnsi="Times New Roman" w:eastAsia="宋体"/>
          <w:sz w:val="24"/>
          <w:szCs w:val="24"/>
        </w:rPr>
        <w:t>18</w:t>
      </w:r>
      <w:r>
        <w:rPr>
          <w:rFonts w:ascii="Times New Roman" w:hAnsi="Times New Roman" w:eastAsia="宋体"/>
          <w:sz w:val="24"/>
          <w:szCs w:val="24"/>
        </w:rPr>
        <w:fldChar w:fldCharType="end"/>
      </w:r>
      <w:r>
        <w:rPr>
          <w:rFonts w:hint="eastAsia" w:ascii="Times New Roman" w:hAnsi="Times New Roman" w:eastAsia="宋体"/>
          <w:sz w:val="24"/>
          <w:szCs w:val="24"/>
        </w:rPr>
        <w:fldChar w:fldCharType="end"/>
      </w:r>
    </w:p>
    <w:p>
      <w:pPr>
        <w:pStyle w:val="22"/>
        <w:tabs>
          <w:tab w:val="right" w:leader="dot" w:pos="8844"/>
        </w:tabs>
        <w:spacing w:line="480" w:lineRule="auto"/>
        <w:rPr>
          <w:rFonts w:ascii="Times New Roman" w:hAnsi="Times New Roman" w:eastAsia="宋体"/>
          <w:sz w:val="24"/>
          <w:szCs w:val="24"/>
        </w:rPr>
      </w:pP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 HYPERLINK \l _Toc11505 </w:instrText>
      </w:r>
      <w:r>
        <w:rPr>
          <w:rFonts w:hint="eastAsia" w:ascii="Times New Roman" w:hAnsi="Times New Roman" w:eastAsia="宋体"/>
          <w:sz w:val="24"/>
          <w:szCs w:val="24"/>
        </w:rPr>
        <w:fldChar w:fldCharType="separate"/>
      </w:r>
      <w:r>
        <w:rPr>
          <w:rFonts w:hint="eastAsia" w:ascii="Times New Roman" w:hAnsi="Times New Roman" w:eastAsia="宋体"/>
          <w:snapToGrid w:val="0"/>
          <w:sz w:val="24"/>
          <w:szCs w:val="24"/>
        </w:rPr>
        <w:t>三、</w:t>
      </w:r>
      <w:r>
        <w:rPr>
          <w:rFonts w:hint="eastAsia" w:ascii="Times New Roman" w:hAnsi="Times New Roman" w:eastAsia="宋体"/>
          <w:snapToGrid w:val="0"/>
          <w:sz w:val="24"/>
          <w:szCs w:val="24"/>
          <w:lang w:eastAsia="zh-CN"/>
        </w:rPr>
        <w:t>生态环境现状、保护目标及评价标准</w:t>
      </w:r>
      <w:r>
        <w:rPr>
          <w:rFonts w:ascii="Times New Roman" w:hAnsi="Times New Roman" w:eastAsia="宋体"/>
          <w:sz w:val="24"/>
          <w:szCs w:val="24"/>
        </w:rPr>
        <w:tab/>
      </w:r>
      <w:r>
        <w:rPr>
          <w:rFonts w:ascii="Times New Roman" w:hAnsi="Times New Roman" w:eastAsia="宋体"/>
          <w:sz w:val="24"/>
          <w:szCs w:val="24"/>
        </w:rPr>
        <w:fldChar w:fldCharType="begin"/>
      </w:r>
      <w:r>
        <w:rPr>
          <w:rFonts w:ascii="Times New Roman" w:hAnsi="Times New Roman" w:eastAsia="宋体"/>
          <w:sz w:val="24"/>
          <w:szCs w:val="24"/>
        </w:rPr>
        <w:instrText xml:space="preserve"> PAGEREF _Toc11505 \h </w:instrText>
      </w:r>
      <w:r>
        <w:rPr>
          <w:rFonts w:ascii="Times New Roman" w:hAnsi="Times New Roman" w:eastAsia="宋体"/>
          <w:sz w:val="24"/>
          <w:szCs w:val="24"/>
        </w:rPr>
        <w:fldChar w:fldCharType="separate"/>
      </w:r>
      <w:r>
        <w:rPr>
          <w:rFonts w:ascii="Times New Roman" w:hAnsi="Times New Roman" w:eastAsia="宋体"/>
          <w:sz w:val="24"/>
          <w:szCs w:val="24"/>
        </w:rPr>
        <w:t>30</w:t>
      </w:r>
      <w:r>
        <w:rPr>
          <w:rFonts w:ascii="Times New Roman" w:hAnsi="Times New Roman" w:eastAsia="宋体"/>
          <w:sz w:val="24"/>
          <w:szCs w:val="24"/>
        </w:rPr>
        <w:fldChar w:fldCharType="end"/>
      </w:r>
      <w:r>
        <w:rPr>
          <w:rFonts w:hint="eastAsia" w:ascii="Times New Roman" w:hAnsi="Times New Roman" w:eastAsia="宋体"/>
          <w:sz w:val="24"/>
          <w:szCs w:val="24"/>
        </w:rPr>
        <w:fldChar w:fldCharType="end"/>
      </w:r>
    </w:p>
    <w:p>
      <w:pPr>
        <w:pStyle w:val="22"/>
        <w:tabs>
          <w:tab w:val="right" w:leader="dot" w:pos="8844"/>
        </w:tabs>
        <w:spacing w:line="480" w:lineRule="auto"/>
        <w:rPr>
          <w:rFonts w:ascii="Times New Roman" w:hAnsi="Times New Roman" w:eastAsia="宋体"/>
          <w:sz w:val="24"/>
          <w:szCs w:val="24"/>
        </w:rPr>
      </w:pP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 HYPERLINK \l _Toc10903 </w:instrText>
      </w:r>
      <w:r>
        <w:rPr>
          <w:rFonts w:hint="eastAsia" w:ascii="Times New Roman" w:hAnsi="Times New Roman" w:eastAsia="宋体"/>
          <w:sz w:val="24"/>
          <w:szCs w:val="24"/>
        </w:rPr>
        <w:fldChar w:fldCharType="separate"/>
      </w:r>
      <w:r>
        <w:rPr>
          <w:rFonts w:hint="eastAsia" w:ascii="Times New Roman" w:hAnsi="Times New Roman" w:eastAsia="宋体"/>
          <w:snapToGrid w:val="0"/>
          <w:sz w:val="24"/>
          <w:szCs w:val="24"/>
        </w:rPr>
        <w:t>四、</w:t>
      </w:r>
      <w:r>
        <w:rPr>
          <w:rFonts w:hint="eastAsia" w:ascii="Times New Roman" w:hAnsi="Times New Roman" w:eastAsia="宋体"/>
          <w:snapToGrid w:val="0"/>
          <w:sz w:val="24"/>
          <w:szCs w:val="24"/>
          <w:lang w:eastAsia="zh-CN"/>
        </w:rPr>
        <w:t>生态环境影响分析</w:t>
      </w:r>
      <w:r>
        <w:rPr>
          <w:rFonts w:ascii="Times New Roman" w:hAnsi="Times New Roman" w:eastAsia="宋体"/>
          <w:sz w:val="24"/>
          <w:szCs w:val="24"/>
        </w:rPr>
        <w:tab/>
      </w:r>
      <w:r>
        <w:rPr>
          <w:rFonts w:ascii="Times New Roman" w:hAnsi="Times New Roman" w:eastAsia="宋体"/>
          <w:sz w:val="24"/>
          <w:szCs w:val="24"/>
        </w:rPr>
        <w:fldChar w:fldCharType="begin"/>
      </w:r>
      <w:r>
        <w:rPr>
          <w:rFonts w:ascii="Times New Roman" w:hAnsi="Times New Roman" w:eastAsia="宋体"/>
          <w:sz w:val="24"/>
          <w:szCs w:val="24"/>
        </w:rPr>
        <w:instrText xml:space="preserve"> PAGEREF _Toc10903 \h </w:instrText>
      </w:r>
      <w:r>
        <w:rPr>
          <w:rFonts w:ascii="Times New Roman" w:hAnsi="Times New Roman" w:eastAsia="宋体"/>
          <w:sz w:val="24"/>
          <w:szCs w:val="24"/>
        </w:rPr>
        <w:fldChar w:fldCharType="separate"/>
      </w:r>
      <w:r>
        <w:rPr>
          <w:rFonts w:ascii="Times New Roman" w:hAnsi="Times New Roman" w:eastAsia="宋体"/>
          <w:sz w:val="24"/>
          <w:szCs w:val="24"/>
        </w:rPr>
        <w:t>36</w:t>
      </w:r>
      <w:r>
        <w:rPr>
          <w:rFonts w:ascii="Times New Roman" w:hAnsi="Times New Roman" w:eastAsia="宋体"/>
          <w:sz w:val="24"/>
          <w:szCs w:val="24"/>
        </w:rPr>
        <w:fldChar w:fldCharType="end"/>
      </w:r>
      <w:r>
        <w:rPr>
          <w:rFonts w:hint="eastAsia" w:ascii="Times New Roman" w:hAnsi="Times New Roman" w:eastAsia="宋体"/>
          <w:sz w:val="24"/>
          <w:szCs w:val="24"/>
        </w:rPr>
        <w:fldChar w:fldCharType="end"/>
      </w:r>
    </w:p>
    <w:p>
      <w:pPr>
        <w:pStyle w:val="22"/>
        <w:tabs>
          <w:tab w:val="right" w:leader="dot" w:pos="8844"/>
        </w:tabs>
        <w:spacing w:line="480" w:lineRule="auto"/>
        <w:rPr>
          <w:rFonts w:ascii="Times New Roman" w:hAnsi="Times New Roman" w:eastAsia="宋体"/>
          <w:sz w:val="24"/>
          <w:szCs w:val="24"/>
        </w:rPr>
      </w:pP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 HYPERLINK \l _Toc20980 </w:instrText>
      </w:r>
      <w:r>
        <w:rPr>
          <w:rFonts w:hint="eastAsia" w:ascii="Times New Roman" w:hAnsi="Times New Roman" w:eastAsia="宋体"/>
          <w:sz w:val="24"/>
          <w:szCs w:val="24"/>
        </w:rPr>
        <w:fldChar w:fldCharType="separate"/>
      </w:r>
      <w:r>
        <w:rPr>
          <w:rFonts w:hint="eastAsia" w:ascii="Times New Roman" w:hAnsi="Times New Roman" w:eastAsia="宋体" w:cs="Times New Roman"/>
          <w:snapToGrid w:val="0"/>
          <w:kern w:val="0"/>
          <w:sz w:val="24"/>
          <w:szCs w:val="24"/>
          <w:lang w:val="en-US" w:eastAsia="zh-CN" w:bidi="ar-SA"/>
        </w:rPr>
        <w:t>五、主要生态环境保护措施</w:t>
      </w:r>
      <w:r>
        <w:rPr>
          <w:rFonts w:ascii="Times New Roman" w:hAnsi="Times New Roman" w:eastAsia="宋体"/>
          <w:sz w:val="24"/>
          <w:szCs w:val="24"/>
        </w:rPr>
        <w:tab/>
      </w:r>
      <w:r>
        <w:rPr>
          <w:rFonts w:ascii="Times New Roman" w:hAnsi="Times New Roman" w:eastAsia="宋体"/>
          <w:sz w:val="24"/>
          <w:szCs w:val="24"/>
        </w:rPr>
        <w:fldChar w:fldCharType="begin"/>
      </w:r>
      <w:r>
        <w:rPr>
          <w:rFonts w:ascii="Times New Roman" w:hAnsi="Times New Roman" w:eastAsia="宋体"/>
          <w:sz w:val="24"/>
          <w:szCs w:val="24"/>
        </w:rPr>
        <w:instrText xml:space="preserve"> PAGEREF _Toc20980 \h </w:instrText>
      </w:r>
      <w:r>
        <w:rPr>
          <w:rFonts w:ascii="Times New Roman" w:hAnsi="Times New Roman" w:eastAsia="宋体"/>
          <w:sz w:val="24"/>
          <w:szCs w:val="24"/>
        </w:rPr>
        <w:fldChar w:fldCharType="separate"/>
      </w:r>
      <w:r>
        <w:rPr>
          <w:rFonts w:ascii="Times New Roman" w:hAnsi="Times New Roman" w:eastAsia="宋体"/>
          <w:sz w:val="24"/>
          <w:szCs w:val="24"/>
        </w:rPr>
        <w:t>53</w:t>
      </w:r>
      <w:r>
        <w:rPr>
          <w:rFonts w:ascii="Times New Roman" w:hAnsi="Times New Roman" w:eastAsia="宋体"/>
          <w:sz w:val="24"/>
          <w:szCs w:val="24"/>
        </w:rPr>
        <w:fldChar w:fldCharType="end"/>
      </w:r>
      <w:r>
        <w:rPr>
          <w:rFonts w:hint="eastAsia" w:ascii="Times New Roman" w:hAnsi="Times New Roman" w:eastAsia="宋体"/>
          <w:sz w:val="24"/>
          <w:szCs w:val="24"/>
        </w:rPr>
        <w:fldChar w:fldCharType="end"/>
      </w:r>
    </w:p>
    <w:p>
      <w:pPr>
        <w:pStyle w:val="22"/>
        <w:tabs>
          <w:tab w:val="right" w:leader="dot" w:pos="8844"/>
        </w:tabs>
        <w:spacing w:line="480" w:lineRule="auto"/>
        <w:rPr>
          <w:rFonts w:ascii="Times New Roman" w:hAnsi="Times New Roman" w:eastAsia="宋体"/>
          <w:sz w:val="24"/>
          <w:szCs w:val="24"/>
        </w:rPr>
      </w:pP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 HYPERLINK \l _Toc2396 </w:instrText>
      </w:r>
      <w:r>
        <w:rPr>
          <w:rFonts w:hint="eastAsia" w:ascii="Times New Roman" w:hAnsi="Times New Roman" w:eastAsia="宋体"/>
          <w:sz w:val="24"/>
          <w:szCs w:val="24"/>
        </w:rPr>
        <w:fldChar w:fldCharType="separate"/>
      </w:r>
      <w:r>
        <w:rPr>
          <w:rFonts w:hint="eastAsia" w:ascii="Times New Roman" w:hAnsi="Times New Roman" w:eastAsia="宋体"/>
          <w:snapToGrid w:val="0"/>
          <w:sz w:val="24"/>
          <w:szCs w:val="24"/>
          <w:lang w:eastAsia="zh-CN"/>
        </w:rPr>
        <w:t>六</w:t>
      </w:r>
      <w:r>
        <w:rPr>
          <w:rFonts w:hint="eastAsia" w:ascii="Times New Roman" w:hAnsi="Times New Roman" w:eastAsia="宋体"/>
          <w:snapToGrid w:val="0"/>
          <w:sz w:val="24"/>
          <w:szCs w:val="24"/>
        </w:rPr>
        <w:t>、</w:t>
      </w:r>
      <w:r>
        <w:rPr>
          <w:rFonts w:hint="eastAsia" w:ascii="Times New Roman" w:hAnsi="Times New Roman" w:eastAsia="宋体"/>
          <w:snapToGrid w:val="0"/>
          <w:sz w:val="24"/>
          <w:szCs w:val="24"/>
          <w:lang w:eastAsia="zh-CN"/>
        </w:rPr>
        <w:t>生态</w:t>
      </w:r>
      <w:r>
        <w:rPr>
          <w:rFonts w:hint="eastAsia" w:ascii="Times New Roman" w:hAnsi="Times New Roman" w:eastAsia="宋体"/>
          <w:snapToGrid w:val="0"/>
          <w:sz w:val="24"/>
          <w:szCs w:val="24"/>
        </w:rPr>
        <w:t>环境保护措施监督检查清单</w:t>
      </w:r>
      <w:r>
        <w:rPr>
          <w:rFonts w:ascii="Times New Roman" w:hAnsi="Times New Roman" w:eastAsia="宋体"/>
          <w:sz w:val="24"/>
          <w:szCs w:val="24"/>
        </w:rPr>
        <w:tab/>
      </w:r>
      <w:r>
        <w:rPr>
          <w:rFonts w:ascii="Times New Roman" w:hAnsi="Times New Roman" w:eastAsia="宋体"/>
          <w:sz w:val="24"/>
          <w:szCs w:val="24"/>
        </w:rPr>
        <w:fldChar w:fldCharType="begin"/>
      </w:r>
      <w:r>
        <w:rPr>
          <w:rFonts w:ascii="Times New Roman" w:hAnsi="Times New Roman" w:eastAsia="宋体"/>
          <w:sz w:val="24"/>
          <w:szCs w:val="24"/>
        </w:rPr>
        <w:instrText xml:space="preserve"> PAGEREF _Toc2396 \h </w:instrText>
      </w:r>
      <w:r>
        <w:rPr>
          <w:rFonts w:ascii="Times New Roman" w:hAnsi="Times New Roman" w:eastAsia="宋体"/>
          <w:sz w:val="24"/>
          <w:szCs w:val="24"/>
        </w:rPr>
        <w:fldChar w:fldCharType="separate"/>
      </w:r>
      <w:r>
        <w:rPr>
          <w:rFonts w:ascii="Times New Roman" w:hAnsi="Times New Roman" w:eastAsia="宋体"/>
          <w:sz w:val="24"/>
          <w:szCs w:val="24"/>
        </w:rPr>
        <w:t>62</w:t>
      </w:r>
      <w:r>
        <w:rPr>
          <w:rFonts w:ascii="Times New Roman" w:hAnsi="Times New Roman" w:eastAsia="宋体"/>
          <w:sz w:val="24"/>
          <w:szCs w:val="24"/>
        </w:rPr>
        <w:fldChar w:fldCharType="end"/>
      </w:r>
      <w:r>
        <w:rPr>
          <w:rFonts w:hint="eastAsia" w:ascii="Times New Roman" w:hAnsi="Times New Roman" w:eastAsia="宋体"/>
          <w:sz w:val="24"/>
          <w:szCs w:val="24"/>
        </w:rPr>
        <w:fldChar w:fldCharType="end"/>
      </w:r>
    </w:p>
    <w:p>
      <w:pPr>
        <w:pStyle w:val="22"/>
        <w:tabs>
          <w:tab w:val="right" w:leader="dot" w:pos="8844"/>
        </w:tabs>
        <w:spacing w:line="480" w:lineRule="auto"/>
        <w:rPr>
          <w:rFonts w:ascii="Times New Roman" w:hAnsi="Times New Roman" w:eastAsia="宋体"/>
          <w:sz w:val="24"/>
          <w:szCs w:val="24"/>
        </w:rPr>
      </w:pPr>
      <w:r>
        <w:rPr>
          <w:rFonts w:hint="eastAsia" w:ascii="Times New Roman" w:hAnsi="Times New Roman" w:eastAsia="宋体"/>
          <w:sz w:val="24"/>
          <w:szCs w:val="24"/>
        </w:rPr>
        <w:fldChar w:fldCharType="begin"/>
      </w:r>
      <w:r>
        <w:rPr>
          <w:rFonts w:hint="eastAsia" w:ascii="Times New Roman" w:hAnsi="Times New Roman" w:eastAsia="宋体"/>
          <w:sz w:val="24"/>
          <w:szCs w:val="24"/>
        </w:rPr>
        <w:instrText xml:space="preserve"> HYPERLINK \l _Toc28508 </w:instrText>
      </w:r>
      <w:r>
        <w:rPr>
          <w:rFonts w:hint="eastAsia" w:ascii="Times New Roman" w:hAnsi="Times New Roman" w:eastAsia="宋体"/>
          <w:sz w:val="24"/>
          <w:szCs w:val="24"/>
        </w:rPr>
        <w:fldChar w:fldCharType="separate"/>
      </w:r>
      <w:r>
        <w:rPr>
          <w:rFonts w:hint="eastAsia" w:ascii="Times New Roman" w:hAnsi="Times New Roman" w:eastAsia="宋体"/>
          <w:snapToGrid w:val="0"/>
          <w:sz w:val="24"/>
          <w:szCs w:val="24"/>
          <w:lang w:eastAsia="zh-CN"/>
        </w:rPr>
        <w:t>七</w:t>
      </w:r>
      <w:r>
        <w:rPr>
          <w:rFonts w:hint="eastAsia" w:ascii="Times New Roman" w:hAnsi="Times New Roman" w:eastAsia="宋体"/>
          <w:snapToGrid w:val="0"/>
          <w:sz w:val="24"/>
          <w:szCs w:val="24"/>
        </w:rPr>
        <w:t>、结论</w:t>
      </w:r>
      <w:r>
        <w:rPr>
          <w:rFonts w:ascii="Times New Roman" w:hAnsi="Times New Roman" w:eastAsia="宋体"/>
          <w:sz w:val="24"/>
          <w:szCs w:val="24"/>
        </w:rPr>
        <w:tab/>
      </w:r>
      <w:r>
        <w:rPr>
          <w:rFonts w:ascii="Times New Roman" w:hAnsi="Times New Roman" w:eastAsia="宋体"/>
          <w:sz w:val="24"/>
          <w:szCs w:val="24"/>
        </w:rPr>
        <w:fldChar w:fldCharType="begin"/>
      </w:r>
      <w:r>
        <w:rPr>
          <w:rFonts w:ascii="Times New Roman" w:hAnsi="Times New Roman" w:eastAsia="宋体"/>
          <w:sz w:val="24"/>
          <w:szCs w:val="24"/>
        </w:rPr>
        <w:instrText xml:space="preserve"> PAGEREF _Toc28508 \h </w:instrText>
      </w:r>
      <w:r>
        <w:rPr>
          <w:rFonts w:ascii="Times New Roman" w:hAnsi="Times New Roman" w:eastAsia="宋体"/>
          <w:sz w:val="24"/>
          <w:szCs w:val="24"/>
        </w:rPr>
        <w:fldChar w:fldCharType="separate"/>
      </w:r>
      <w:r>
        <w:rPr>
          <w:rFonts w:ascii="Times New Roman" w:hAnsi="Times New Roman" w:eastAsia="宋体"/>
          <w:sz w:val="24"/>
          <w:szCs w:val="24"/>
        </w:rPr>
        <w:t>69</w:t>
      </w:r>
      <w:r>
        <w:rPr>
          <w:rFonts w:ascii="Times New Roman" w:hAnsi="Times New Roman" w:eastAsia="宋体"/>
          <w:sz w:val="24"/>
          <w:szCs w:val="24"/>
        </w:rPr>
        <w:fldChar w:fldCharType="end"/>
      </w:r>
      <w:r>
        <w:rPr>
          <w:rFonts w:hint="eastAsia" w:ascii="Times New Roman" w:hAnsi="Times New Roman" w:eastAsia="宋体"/>
          <w:sz w:val="24"/>
          <w:szCs w:val="24"/>
        </w:rPr>
        <w:fldChar w:fldCharType="end"/>
      </w:r>
    </w:p>
    <w:p>
      <w:pPr>
        <w:keepNext w:val="0"/>
        <w:keepLines w:val="0"/>
        <w:pageBreakBefore w:val="0"/>
        <w:widowControl w:val="0"/>
        <w:kinsoku/>
        <w:wordWrap/>
        <w:overflowPunct/>
        <w:topLinePunct w:val="0"/>
        <w:autoSpaceDE/>
        <w:autoSpaceDN/>
        <w:bidi w:val="0"/>
        <w:adjustRightInd/>
        <w:snapToGrid/>
        <w:spacing w:line="480" w:lineRule="auto"/>
        <w:textAlignment w:val="auto"/>
        <w:rPr>
          <w:rFonts w:hint="eastAsia" w:ascii="Times New Roman" w:hAnsi="Times New Roman" w:eastAsia="宋体"/>
        </w:rPr>
        <w:sectPr>
          <w:pgSz w:w="11906" w:h="16838"/>
          <w:pgMar w:top="1701" w:right="1531" w:bottom="1701" w:left="1531" w:header="851" w:footer="1077" w:gutter="0"/>
          <w:pgBorders>
            <w:top w:val="none" w:sz="0" w:space="0"/>
            <w:left w:val="none" w:sz="0" w:space="0"/>
            <w:bottom w:val="none" w:sz="0" w:space="0"/>
            <w:right w:val="none" w:sz="0" w:space="0"/>
          </w:pgBorders>
          <w:pgNumType w:fmt="decimal"/>
          <w:cols w:space="720" w:num="1"/>
          <w:docGrid w:linePitch="312" w:charSpace="0"/>
        </w:sectPr>
      </w:pPr>
      <w:r>
        <w:rPr>
          <w:rFonts w:hint="eastAsia" w:ascii="Times New Roman" w:hAnsi="Times New Roman" w:eastAsia="宋体"/>
          <w:sz w:val="24"/>
          <w:szCs w:val="24"/>
        </w:rPr>
        <w:fldChar w:fldCharType="end"/>
      </w:r>
    </w:p>
    <w:p>
      <w:pPr>
        <w:pStyle w:val="2"/>
        <w:rPr>
          <w:rFonts w:hint="eastAsia"/>
        </w:rPr>
        <w:sectPr>
          <w:pgSz w:w="11906" w:h="16838"/>
          <w:pgMar w:top="1701" w:right="1531" w:bottom="1701" w:left="1531" w:header="851" w:footer="1077" w:gutter="0"/>
          <w:pgBorders>
            <w:top w:val="none" w:sz="0" w:space="0"/>
            <w:left w:val="none" w:sz="0" w:space="0"/>
            <w:bottom w:val="none" w:sz="0" w:space="0"/>
            <w:right w:val="none" w:sz="0" w:space="0"/>
          </w:pgBorders>
          <w:pgNumType w:fmt="decimal"/>
          <w:cols w:space="720" w:num="1"/>
          <w:docGrid w:linePitch="312" w:charSpace="0"/>
        </w:sectPr>
      </w:pPr>
    </w:p>
    <w:p>
      <w:pPr>
        <w:adjustRightInd w:val="0"/>
        <w:snapToGrid w:val="0"/>
        <w:spacing w:line="288" w:lineRule="auto"/>
        <w:jc w:val="center"/>
        <w:outlineLvl w:val="0"/>
        <w:rPr>
          <w:rFonts w:hint="eastAsia" w:ascii="黑体" w:hAnsi="黑体" w:eastAsia="黑体"/>
          <w:snapToGrid w:val="0"/>
          <w:color w:val="auto"/>
          <w:sz w:val="30"/>
          <w:szCs w:val="30"/>
        </w:rPr>
      </w:pPr>
      <w:bookmarkStart w:id="1" w:name="_Toc15925"/>
      <w:r>
        <w:rPr>
          <w:rFonts w:hint="eastAsia" w:ascii="黑体" w:hAnsi="黑体" w:eastAsia="黑体"/>
          <w:snapToGrid w:val="0"/>
          <w:color w:val="auto"/>
          <w:sz w:val="30"/>
          <w:szCs w:val="30"/>
        </w:rPr>
        <w:t>一、建设项目基本情况</w:t>
      </w:r>
      <w:bookmarkEnd w:id="1"/>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1668"/>
        <w:gridCol w:w="2324"/>
        <w:gridCol w:w="2191"/>
        <w:gridCol w:w="268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建设项目名称</w:t>
            </w:r>
          </w:p>
        </w:tc>
        <w:tc>
          <w:tcPr>
            <w:tcW w:w="7202" w:type="dxa"/>
            <w:gridSpan w:val="3"/>
            <w:noWrap w:val="0"/>
            <w:vAlign w:val="center"/>
          </w:tcPr>
          <w:p>
            <w:pPr>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唐山环港廊道港区连接线项目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项目代码</w:t>
            </w:r>
          </w:p>
        </w:tc>
        <w:tc>
          <w:tcPr>
            <w:tcW w:w="7202" w:type="dxa"/>
            <w:gridSpan w:val="3"/>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2308-130274-89-01-302867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建设单位联系人</w:t>
            </w:r>
          </w:p>
        </w:tc>
        <w:tc>
          <w:tcPr>
            <w:tcW w:w="2324" w:type="dxa"/>
            <w:noWrap w:val="0"/>
            <w:vAlign w:val="center"/>
          </w:tcPr>
          <w:p>
            <w:pPr>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szCs w:val="21"/>
                <w:highlight w:val="none"/>
                <w:lang w:eastAsia="zh-CN"/>
              </w:rPr>
            </w:pPr>
            <w:r>
              <w:rPr>
                <w:rFonts w:hint="eastAsia" w:ascii="Times New Roman" w:hAnsi="Times New Roman" w:eastAsia="宋体" w:cs="Times New Roman"/>
                <w:color w:val="auto"/>
                <w:szCs w:val="21"/>
                <w:highlight w:val="none"/>
                <w:lang w:eastAsia="zh-CN"/>
              </w:rPr>
              <w:t>李冉</w:t>
            </w:r>
          </w:p>
        </w:tc>
        <w:tc>
          <w:tcPr>
            <w:tcW w:w="2191" w:type="dxa"/>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联系方式</w:t>
            </w:r>
          </w:p>
        </w:tc>
        <w:tc>
          <w:tcPr>
            <w:tcW w:w="2687" w:type="dxa"/>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zCs w:val="21"/>
                <w:highlight w:val="none"/>
                <w:lang w:val="en-US" w:eastAsia="zh-CN"/>
              </w:rPr>
            </w:pPr>
            <w:r>
              <w:rPr>
                <w:rFonts w:hint="eastAsia" w:ascii="Times New Roman" w:hAnsi="Times New Roman" w:eastAsia="宋体" w:cs="Times New Roman"/>
                <w:color w:val="auto"/>
                <w:szCs w:val="21"/>
                <w:highlight w:val="none"/>
                <w:lang w:val="en-US" w:eastAsia="zh-CN"/>
              </w:rPr>
              <w:t>18733350526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建设地点</w:t>
            </w:r>
          </w:p>
        </w:tc>
        <w:tc>
          <w:tcPr>
            <w:tcW w:w="7202" w:type="dxa"/>
            <w:gridSpan w:val="3"/>
            <w:noWrap w:val="0"/>
            <w:vAlign w:val="center"/>
          </w:tcPr>
          <w:p>
            <w:pPr>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唐山市海港开发区港兴大街西南约605米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地理坐标</w:t>
            </w:r>
          </w:p>
        </w:tc>
        <w:tc>
          <w:tcPr>
            <w:tcW w:w="7202" w:type="dxa"/>
            <w:gridSpan w:val="3"/>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起点坐标为</w:t>
            </w:r>
            <w:r>
              <w:rPr>
                <w:rFonts w:ascii="Times New Roman" w:hAnsi="Times New Roman" w:eastAsia="宋体" w:cs="Times New Roman"/>
                <w:color w:val="auto"/>
                <w:szCs w:val="21"/>
              </w:rPr>
              <w:t>11</w:t>
            </w:r>
            <w:r>
              <w:rPr>
                <w:rFonts w:hint="eastAsia" w:ascii="Times New Roman" w:hAnsi="Times New Roman" w:eastAsia="宋体" w:cs="Times New Roman"/>
                <w:color w:val="auto"/>
                <w:szCs w:val="21"/>
                <w:lang w:val="en-US" w:eastAsia="zh-CN"/>
              </w:rPr>
              <w:t>9</w:t>
            </w:r>
            <w:r>
              <w:rPr>
                <w:rFonts w:ascii="Times New Roman" w:hAnsi="Times New Roman" w:eastAsia="宋体" w:cs="Times New Roman"/>
                <w:color w:val="auto"/>
                <w:szCs w:val="21"/>
              </w:rPr>
              <w:t>度</w:t>
            </w:r>
            <w:r>
              <w:rPr>
                <w:rFonts w:hint="eastAsia" w:ascii="Times New Roman" w:hAnsi="Times New Roman" w:eastAsia="宋体" w:cs="Times New Roman"/>
                <w:color w:val="auto"/>
                <w:szCs w:val="21"/>
                <w:lang w:val="en-US" w:eastAsia="zh-CN"/>
              </w:rPr>
              <w:t>1</w:t>
            </w:r>
            <w:r>
              <w:rPr>
                <w:rFonts w:ascii="Times New Roman" w:hAnsi="Times New Roman" w:eastAsia="宋体" w:cs="Times New Roman"/>
                <w:color w:val="auto"/>
                <w:szCs w:val="21"/>
              </w:rPr>
              <w:t>分</w:t>
            </w:r>
            <w:r>
              <w:rPr>
                <w:rFonts w:hint="eastAsia" w:ascii="Times New Roman" w:hAnsi="Times New Roman" w:eastAsia="宋体" w:cs="Times New Roman"/>
                <w:color w:val="auto"/>
                <w:szCs w:val="21"/>
                <w:lang w:val="en-US" w:eastAsia="zh-CN"/>
              </w:rPr>
              <w:t>43.13</w:t>
            </w:r>
            <w:r>
              <w:rPr>
                <w:rFonts w:ascii="Times New Roman" w:hAnsi="Times New Roman" w:eastAsia="宋体" w:cs="Times New Roman"/>
                <w:color w:val="auto"/>
                <w:szCs w:val="21"/>
              </w:rPr>
              <w:t>秒，</w:t>
            </w:r>
            <w:r>
              <w:rPr>
                <w:rFonts w:hint="eastAsia" w:ascii="Times New Roman" w:hAnsi="Times New Roman" w:eastAsia="宋体" w:cs="Times New Roman"/>
                <w:color w:val="auto"/>
                <w:szCs w:val="21"/>
              </w:rPr>
              <w:t>39</w:t>
            </w:r>
            <w:r>
              <w:rPr>
                <w:rFonts w:ascii="Times New Roman" w:hAnsi="Times New Roman" w:eastAsia="宋体" w:cs="Times New Roman"/>
                <w:color w:val="auto"/>
                <w:szCs w:val="21"/>
              </w:rPr>
              <w:t>度</w:t>
            </w:r>
            <w:r>
              <w:rPr>
                <w:rFonts w:hint="eastAsia" w:ascii="Times New Roman" w:hAnsi="Times New Roman" w:eastAsia="宋体" w:cs="Times New Roman"/>
                <w:color w:val="auto"/>
                <w:szCs w:val="21"/>
                <w:lang w:val="en-US" w:eastAsia="zh-CN"/>
              </w:rPr>
              <w:t>13</w:t>
            </w:r>
            <w:r>
              <w:rPr>
                <w:rFonts w:ascii="Times New Roman" w:hAnsi="Times New Roman" w:eastAsia="宋体" w:cs="Times New Roman"/>
                <w:color w:val="auto"/>
                <w:szCs w:val="21"/>
              </w:rPr>
              <w:t>分</w:t>
            </w:r>
            <w:r>
              <w:rPr>
                <w:rFonts w:hint="eastAsia" w:ascii="Times New Roman" w:hAnsi="Times New Roman" w:eastAsia="宋体" w:cs="Times New Roman"/>
                <w:color w:val="auto"/>
                <w:szCs w:val="21"/>
                <w:lang w:val="en-US" w:eastAsia="zh-CN"/>
              </w:rPr>
              <w:t>32.57</w:t>
            </w:r>
            <w:r>
              <w:rPr>
                <w:rFonts w:ascii="Times New Roman" w:hAnsi="Times New Roman" w:eastAsia="宋体" w:cs="Times New Roman"/>
                <w:color w:val="auto"/>
                <w:szCs w:val="21"/>
              </w:rPr>
              <w:t>秒</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终点坐标为</w:t>
            </w:r>
            <w:r>
              <w:rPr>
                <w:rFonts w:ascii="Times New Roman" w:hAnsi="Times New Roman" w:eastAsia="宋体" w:cs="Times New Roman"/>
                <w:color w:val="auto"/>
                <w:szCs w:val="21"/>
              </w:rPr>
              <w:t>11</w:t>
            </w:r>
            <w:r>
              <w:rPr>
                <w:rFonts w:hint="eastAsia" w:ascii="Times New Roman" w:hAnsi="Times New Roman" w:eastAsia="宋体" w:cs="Times New Roman"/>
                <w:color w:val="auto"/>
                <w:szCs w:val="21"/>
                <w:lang w:val="en-US" w:eastAsia="zh-CN"/>
              </w:rPr>
              <w:t>9</w:t>
            </w:r>
            <w:r>
              <w:rPr>
                <w:rFonts w:ascii="Times New Roman" w:hAnsi="Times New Roman" w:eastAsia="宋体" w:cs="Times New Roman"/>
                <w:color w:val="auto"/>
                <w:szCs w:val="21"/>
              </w:rPr>
              <w:t>度</w:t>
            </w:r>
            <w:r>
              <w:rPr>
                <w:rFonts w:hint="eastAsia" w:ascii="Times New Roman" w:hAnsi="Times New Roman" w:eastAsia="宋体" w:cs="Times New Roman"/>
                <w:color w:val="auto"/>
                <w:szCs w:val="21"/>
                <w:lang w:val="en-US" w:eastAsia="zh-CN"/>
              </w:rPr>
              <w:t>4</w:t>
            </w:r>
            <w:r>
              <w:rPr>
                <w:rFonts w:ascii="Times New Roman" w:hAnsi="Times New Roman" w:eastAsia="宋体" w:cs="Times New Roman"/>
                <w:color w:val="auto"/>
                <w:szCs w:val="21"/>
              </w:rPr>
              <w:t>分</w:t>
            </w:r>
            <w:r>
              <w:rPr>
                <w:rFonts w:hint="eastAsia" w:ascii="Times New Roman" w:hAnsi="Times New Roman" w:eastAsia="宋体" w:cs="Times New Roman"/>
                <w:color w:val="auto"/>
                <w:szCs w:val="21"/>
                <w:lang w:val="en-US" w:eastAsia="zh-CN"/>
              </w:rPr>
              <w:t>18.09</w:t>
            </w:r>
            <w:r>
              <w:rPr>
                <w:rFonts w:ascii="Times New Roman" w:hAnsi="Times New Roman" w:eastAsia="宋体" w:cs="Times New Roman"/>
                <w:color w:val="auto"/>
                <w:szCs w:val="21"/>
              </w:rPr>
              <w:t>秒，</w:t>
            </w:r>
            <w:r>
              <w:rPr>
                <w:rFonts w:hint="eastAsia" w:ascii="Times New Roman" w:hAnsi="Times New Roman" w:eastAsia="宋体" w:cs="Times New Roman"/>
                <w:color w:val="auto"/>
                <w:szCs w:val="21"/>
              </w:rPr>
              <w:t>39</w:t>
            </w:r>
            <w:r>
              <w:rPr>
                <w:rFonts w:ascii="Times New Roman" w:hAnsi="Times New Roman" w:eastAsia="宋体" w:cs="Times New Roman"/>
                <w:color w:val="auto"/>
                <w:szCs w:val="21"/>
              </w:rPr>
              <w:t>度</w:t>
            </w:r>
            <w:r>
              <w:rPr>
                <w:rFonts w:hint="eastAsia" w:ascii="Times New Roman" w:hAnsi="Times New Roman" w:eastAsia="宋体" w:cs="Times New Roman"/>
                <w:color w:val="auto"/>
                <w:szCs w:val="21"/>
                <w:lang w:val="en-US" w:eastAsia="zh-CN"/>
              </w:rPr>
              <w:t>14</w:t>
            </w:r>
            <w:r>
              <w:rPr>
                <w:rFonts w:ascii="Times New Roman" w:hAnsi="Times New Roman" w:eastAsia="宋体" w:cs="Times New Roman"/>
                <w:color w:val="auto"/>
                <w:szCs w:val="21"/>
              </w:rPr>
              <w:t>分</w:t>
            </w:r>
            <w:r>
              <w:rPr>
                <w:rFonts w:hint="eastAsia" w:ascii="Times New Roman" w:hAnsi="Times New Roman" w:eastAsia="宋体" w:cs="Times New Roman"/>
                <w:color w:val="auto"/>
                <w:szCs w:val="21"/>
                <w:lang w:val="en-US" w:eastAsia="zh-CN"/>
              </w:rPr>
              <w:t>55.10</w:t>
            </w:r>
            <w:r>
              <w:rPr>
                <w:rFonts w:ascii="Times New Roman" w:hAnsi="Times New Roman" w:eastAsia="宋体" w:cs="Times New Roman"/>
                <w:color w:val="auto"/>
                <w:szCs w:val="21"/>
              </w:rPr>
              <w:t>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561"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建设项目</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2"/>
                <w:sz w:val="21"/>
                <w:szCs w:val="21"/>
                <w:lang w:val="en-US" w:eastAsia="zh-CN" w:bidi="ar-SA"/>
              </w:rPr>
            </w:pPr>
            <w:r>
              <w:rPr>
                <w:rFonts w:ascii="Times New Roman" w:hAnsi="Times New Roman" w:eastAsia="宋体" w:cs="Times New Roman"/>
                <w:color w:val="auto"/>
                <w:szCs w:val="21"/>
              </w:rPr>
              <w:t>行业类别</w:t>
            </w:r>
          </w:p>
        </w:tc>
        <w:tc>
          <w:tcPr>
            <w:tcW w:w="2324" w:type="dxa"/>
            <w:noWrap w:val="0"/>
            <w:vAlign w:val="center"/>
          </w:tcPr>
          <w:p>
            <w:pPr>
              <w:keepNext w:val="0"/>
              <w:keepLines w:val="0"/>
              <w:suppressLineNumbers w:val="0"/>
              <w:adjustRightInd w:val="0"/>
              <w:snapToGrid w:val="0"/>
              <w:spacing w:before="0" w:beforeAutospacing="0" w:after="0" w:afterAutospacing="0"/>
              <w:ind w:left="0" w:right="0"/>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四、煤炭开采和洗选业、6 烟煤和无烟煤开采洗选061</w:t>
            </w:r>
            <w:r>
              <w:rPr>
                <w:rFonts w:hint="eastAsia" w:cs="Times New Roman"/>
                <w:color w:val="auto"/>
                <w:szCs w:val="21"/>
                <w:lang w:val="en-US" w:eastAsia="zh-CN"/>
              </w:rPr>
              <w:t xml:space="preserve"> </w:t>
            </w:r>
            <w:r>
              <w:rPr>
                <w:rFonts w:hint="eastAsia" w:ascii="Times New Roman" w:hAnsi="Times New Roman" w:eastAsia="宋体" w:cs="Times New Roman"/>
                <w:color w:val="auto"/>
                <w:szCs w:val="21"/>
                <w:lang w:val="en-US" w:eastAsia="zh-CN"/>
              </w:rPr>
              <w:t>煤炭洗选、配煤；煤炭储存、集运；</w:t>
            </w:r>
          </w:p>
          <w:p>
            <w:pPr>
              <w:keepNext w:val="0"/>
              <w:keepLines w:val="0"/>
              <w:suppressLineNumbers w:val="0"/>
              <w:adjustRightInd w:val="0"/>
              <w:snapToGrid w:val="0"/>
              <w:spacing w:before="0" w:beforeAutospacing="0" w:after="0" w:afterAutospacing="0"/>
              <w:ind w:left="0" w:right="0"/>
              <w:rPr>
                <w:rFonts w:hint="eastAsia" w:ascii="Times New Roman" w:hAnsi="Times New Roman" w:eastAsia="宋体" w:cs="Times New Roman"/>
                <w:color w:val="auto"/>
                <w:szCs w:val="21"/>
                <w:lang w:val="en-US" w:eastAsia="zh-CN"/>
              </w:rPr>
            </w:pPr>
            <w:r>
              <w:rPr>
                <w:rFonts w:hint="eastAsia"/>
                <w:lang w:eastAsia="zh-CN"/>
              </w:rPr>
              <w:t>六</w:t>
            </w:r>
            <w:r>
              <w:rPr>
                <w:rFonts w:hint="eastAsia" w:ascii="Times New Roman" w:hAnsi="Times New Roman" w:eastAsia="宋体" w:cs="Times New Roman"/>
                <w:color w:val="auto"/>
                <w:szCs w:val="21"/>
                <w:lang w:val="en-US" w:eastAsia="zh-CN"/>
              </w:rPr>
              <w:t>、黑色金属矿采选业、9 铁矿采选 081 单独的矿石破碎、集运；</w:t>
            </w:r>
          </w:p>
          <w:p>
            <w:pPr>
              <w:keepNext w:val="0"/>
              <w:keepLines w:val="0"/>
              <w:suppressLineNumbers w:val="0"/>
              <w:adjustRightInd w:val="0"/>
              <w:snapToGrid w:val="0"/>
              <w:spacing w:before="0" w:beforeAutospacing="0" w:after="0" w:afterAutospacing="0"/>
              <w:ind w:left="0" w:right="0"/>
              <w:rPr>
                <w:rFonts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五十二、146 交通运输业、管道运输业</w:t>
            </w:r>
          </w:p>
        </w:tc>
        <w:tc>
          <w:tcPr>
            <w:tcW w:w="2191" w:type="dxa"/>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eastAsia="zh-CN"/>
              </w:rPr>
              <w:t>用地（用海）面积（</w:t>
            </w:r>
            <w:r>
              <w:rPr>
                <w:rFonts w:hint="eastAsia" w:ascii="Times New Roman" w:hAnsi="Times New Roman" w:eastAsia="宋体" w:cs="Times New Roman"/>
                <w:color w:val="auto"/>
                <w:szCs w:val="21"/>
                <w:lang w:val="en-US" w:eastAsia="zh-CN"/>
              </w:rPr>
              <w:t>m</w:t>
            </w:r>
            <w:r>
              <w:rPr>
                <w:rFonts w:hint="eastAsia" w:ascii="Times New Roman" w:hAnsi="Times New Roman" w:eastAsia="宋体" w:cs="Times New Roman"/>
                <w:color w:val="auto"/>
                <w:szCs w:val="21"/>
                <w:vertAlign w:val="superscript"/>
                <w:lang w:val="en-US" w:eastAsia="zh-CN"/>
              </w:rPr>
              <w:t>2</w:t>
            </w:r>
            <w:r>
              <w:rPr>
                <w:rFonts w:hint="eastAsia" w:ascii="Times New Roman" w:hAnsi="Times New Roman" w:eastAsia="宋体" w:cs="Times New Roman"/>
                <w:color w:val="auto"/>
                <w:szCs w:val="21"/>
                <w:lang w:eastAsia="zh-CN"/>
              </w:rPr>
              <w:t>）</w:t>
            </w:r>
            <w:r>
              <w:rPr>
                <w:rFonts w:hint="eastAsia" w:ascii="Times New Roman" w:hAnsi="Times New Roman" w:eastAsia="宋体" w:cs="Times New Roman"/>
                <w:color w:val="auto"/>
                <w:szCs w:val="21"/>
                <w:lang w:val="en-US" w:eastAsia="zh-CN"/>
              </w:rPr>
              <w:t>/长度（km）</w:t>
            </w:r>
          </w:p>
        </w:tc>
        <w:tc>
          <w:tcPr>
            <w:tcW w:w="2687" w:type="dxa"/>
            <w:noWrap w:val="0"/>
            <w:vAlign w:val="center"/>
          </w:tcPr>
          <w:p>
            <w:pPr>
              <w:keepNext w:val="0"/>
              <w:keepLines w:val="0"/>
              <w:widowControl/>
              <w:suppressLineNumbers w:val="0"/>
              <w:spacing w:before="0" w:beforeAutospacing="0" w:after="0" w:afterAutospacing="0"/>
              <w:ind w:left="0" w:right="0"/>
              <w:jc w:val="center"/>
              <w:rPr>
                <w:rFonts w:hint="default" w:ascii="Calibri" w:hAnsi="Calibri" w:eastAsia="宋体" w:cs="Times New Roman"/>
                <w:sz w:val="21"/>
                <w:szCs w:val="21"/>
                <w:highlight w:val="none"/>
                <w:lang w:val="en-US"/>
              </w:rPr>
            </w:pPr>
            <w:r>
              <w:rPr>
                <w:rFonts w:hint="eastAsia" w:ascii="宋体" w:hAnsi="宋体" w:eastAsia="宋体" w:cs="宋体"/>
                <w:color w:val="000000"/>
                <w:kern w:val="0"/>
                <w:sz w:val="21"/>
                <w:szCs w:val="21"/>
                <w:highlight w:val="none"/>
                <w:lang w:val="en-US" w:eastAsia="zh-CN" w:bidi="ar"/>
              </w:rPr>
              <w:t>用地面积</w:t>
            </w:r>
            <w:r>
              <w:rPr>
                <w:rFonts w:hint="eastAsia" w:ascii="Times New Roman" w:hAnsi="Times New Roman" w:eastAsia="宋体" w:cs="Times New Roman"/>
                <w:color w:val="000000"/>
                <w:kern w:val="0"/>
                <w:sz w:val="21"/>
                <w:szCs w:val="21"/>
                <w:highlight w:val="none"/>
                <w:lang w:val="en-US" w:eastAsia="zh-CN" w:bidi="ar"/>
              </w:rPr>
              <w:t>90359m</w:t>
            </w:r>
            <w:r>
              <w:rPr>
                <w:rFonts w:hint="eastAsia" w:ascii="Times New Roman" w:hAnsi="Times New Roman" w:eastAsia="宋体" w:cs="Times New Roman"/>
                <w:color w:val="000000"/>
                <w:kern w:val="0"/>
                <w:sz w:val="21"/>
                <w:szCs w:val="21"/>
                <w:highlight w:val="none"/>
                <w:vertAlign w:val="superscript"/>
                <w:lang w:val="en-US" w:eastAsia="zh-CN" w:bidi="ar"/>
              </w:rPr>
              <w:t>2</w:t>
            </w:r>
          </w:p>
          <w:p>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szCs w:val="21"/>
                <w:lang w:val="en-US"/>
              </w:rPr>
            </w:pPr>
            <w:r>
              <w:rPr>
                <w:rFonts w:hint="eastAsia" w:ascii="宋体" w:hAnsi="宋体" w:eastAsia="宋体" w:cs="宋体"/>
                <w:color w:val="000000"/>
                <w:kern w:val="0"/>
                <w:sz w:val="21"/>
                <w:szCs w:val="21"/>
                <w:highlight w:val="none"/>
                <w:lang w:val="en-US" w:eastAsia="zh-CN" w:bidi="ar"/>
              </w:rPr>
              <w:t>线路长度</w:t>
            </w:r>
            <w:r>
              <w:rPr>
                <w:rFonts w:hint="eastAsia" w:ascii="Times New Roman" w:hAnsi="Times New Roman" w:eastAsia="宋体" w:cs="Times New Roman"/>
                <w:color w:val="000000"/>
                <w:kern w:val="0"/>
                <w:sz w:val="21"/>
                <w:szCs w:val="21"/>
                <w:highlight w:val="none"/>
                <w:lang w:val="en-US" w:eastAsia="zh-CN" w:bidi="ar"/>
              </w:rPr>
              <w:t>5</w:t>
            </w:r>
            <w:r>
              <w:rPr>
                <w:rFonts w:hint="default" w:ascii="Times New Roman" w:hAnsi="Times New Roman" w:eastAsia="宋体" w:cs="Times New Roman"/>
                <w:color w:val="000000"/>
                <w:kern w:val="0"/>
                <w:sz w:val="21"/>
                <w:szCs w:val="21"/>
                <w:highlight w:val="none"/>
                <w:lang w:val="en-US" w:eastAsia="zh-CN" w:bidi="ar"/>
              </w:rPr>
              <w:t>km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1219"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建设性质</w:t>
            </w:r>
          </w:p>
        </w:tc>
        <w:tc>
          <w:tcPr>
            <w:tcW w:w="2324" w:type="dxa"/>
            <w:noWrap w:val="0"/>
            <w:vAlign w:val="center"/>
          </w:tcPr>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ascii="Times New Roman" w:hAnsi="Times New Roman" w:eastAsia="宋体" w:cs="Times New Roman"/>
                <w:color w:val="auto"/>
                <w:szCs w:val="21"/>
              </w:rPr>
              <w:sym w:font="Wingdings 2" w:char="0052"/>
            </w:r>
            <w:r>
              <w:rPr>
                <w:rFonts w:ascii="Times New Roman" w:hAnsi="Times New Roman" w:eastAsia="宋体" w:cs="Times New Roman"/>
                <w:color w:val="auto"/>
                <w:szCs w:val="21"/>
              </w:rPr>
              <w:t>新建（迁建）</w:t>
            </w:r>
          </w:p>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ascii="Times New Roman" w:hAnsi="Times New Roman" w:eastAsia="宋体" w:cs="Times New Roman"/>
                <w:color w:val="auto"/>
                <w:szCs w:val="21"/>
              </w:rPr>
              <w:sym w:font="Wingdings 2" w:char="00A3"/>
            </w:r>
            <w:r>
              <w:rPr>
                <w:rFonts w:ascii="Times New Roman" w:hAnsi="Times New Roman" w:eastAsia="宋体" w:cs="Times New Roman"/>
                <w:color w:val="auto"/>
                <w:szCs w:val="21"/>
              </w:rPr>
              <w:t>改建</w:t>
            </w:r>
          </w:p>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w:t>
            </w:r>
            <w:r>
              <w:rPr>
                <w:rFonts w:ascii="Times New Roman" w:hAnsi="Times New Roman" w:eastAsia="宋体" w:cs="Times New Roman"/>
                <w:color w:val="auto"/>
                <w:szCs w:val="21"/>
              </w:rPr>
              <w:t>扩建</w:t>
            </w:r>
          </w:p>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w:t>
            </w:r>
            <w:r>
              <w:rPr>
                <w:rFonts w:ascii="Times New Roman" w:hAnsi="Times New Roman" w:eastAsia="宋体" w:cs="Times New Roman"/>
                <w:color w:val="auto"/>
                <w:szCs w:val="21"/>
              </w:rPr>
              <w:t>技术改造</w:t>
            </w:r>
          </w:p>
        </w:tc>
        <w:tc>
          <w:tcPr>
            <w:tcW w:w="2191" w:type="dxa"/>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建设项目</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申报情形</w:t>
            </w:r>
          </w:p>
        </w:tc>
        <w:tc>
          <w:tcPr>
            <w:tcW w:w="2687" w:type="dxa"/>
            <w:noWrap w:val="0"/>
            <w:vAlign w:val="center"/>
          </w:tcPr>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ascii="Times New Roman" w:hAnsi="Times New Roman" w:eastAsia="宋体" w:cs="Times New Roman"/>
                <w:color w:val="auto"/>
                <w:szCs w:val="21"/>
              </w:rPr>
              <w:sym w:font="Wingdings 2" w:char="0052"/>
            </w:r>
            <w:r>
              <w:rPr>
                <w:rFonts w:ascii="Times New Roman" w:hAnsi="Times New Roman" w:eastAsia="宋体" w:cs="Times New Roman"/>
                <w:color w:val="auto"/>
                <w:szCs w:val="21"/>
              </w:rPr>
              <w:t xml:space="preserve">首次申报项目             </w:t>
            </w:r>
          </w:p>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w:t>
            </w:r>
            <w:r>
              <w:rPr>
                <w:rFonts w:ascii="Times New Roman" w:hAnsi="Times New Roman" w:eastAsia="宋体" w:cs="Times New Roman"/>
                <w:color w:val="auto"/>
                <w:szCs w:val="21"/>
              </w:rPr>
              <w:t>不予批准后再次申报项目</w:t>
            </w:r>
          </w:p>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w:t>
            </w:r>
            <w:r>
              <w:rPr>
                <w:rFonts w:ascii="Times New Roman" w:hAnsi="Times New Roman" w:eastAsia="宋体" w:cs="Times New Roman"/>
                <w:color w:val="auto"/>
                <w:szCs w:val="21"/>
              </w:rPr>
              <w:t xml:space="preserve">超五年重新审核项目     </w:t>
            </w:r>
          </w:p>
          <w:p>
            <w:pPr>
              <w:keepNext w:val="0"/>
              <w:keepLines w:val="0"/>
              <w:suppressLineNumbers w:val="0"/>
              <w:spacing w:before="0" w:beforeAutospacing="0" w:after="0" w:afterAutospacing="0"/>
              <w:ind w:left="0" w:right="0"/>
              <w:jc w:val="left"/>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w:t>
            </w:r>
            <w:r>
              <w:rPr>
                <w:rFonts w:ascii="Times New Roman" w:hAnsi="Times New Roman" w:eastAsia="宋体" w:cs="Times New Roman"/>
                <w:color w:val="auto"/>
                <w:szCs w:val="21"/>
              </w:rPr>
              <w:t>重大变动重新报批项目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851"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项目审批（核准/</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备案）部门（选填）</w:t>
            </w:r>
          </w:p>
        </w:tc>
        <w:tc>
          <w:tcPr>
            <w:tcW w:w="2324" w:type="dxa"/>
            <w:noWrap w:val="0"/>
            <w:vAlign w:val="center"/>
          </w:tcPr>
          <w:p>
            <w:pPr>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唐山海港经济开发区行政审批局</w:t>
            </w:r>
          </w:p>
        </w:tc>
        <w:tc>
          <w:tcPr>
            <w:tcW w:w="2191" w:type="dxa"/>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项目审批（核准/</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备案）文号（选填）</w:t>
            </w:r>
          </w:p>
        </w:tc>
        <w:tc>
          <w:tcPr>
            <w:tcW w:w="2687" w:type="dxa"/>
            <w:noWrap w:val="0"/>
            <w:vAlign w:val="center"/>
          </w:tcPr>
          <w:p>
            <w:pPr>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海审批投资备字</w:t>
            </w:r>
            <w:r>
              <w:rPr>
                <w:rFonts w:hint="eastAsia" w:ascii="Times New Roman" w:hAnsi="Times New Roman" w:eastAsia="宋体" w:cs="Times New Roman"/>
                <w:color w:val="auto"/>
                <w:szCs w:val="21"/>
                <w:lang w:val="en-US" w:eastAsia="zh-CN"/>
              </w:rPr>
              <w:t>[2024]47号</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总投资（万元）</w:t>
            </w:r>
          </w:p>
        </w:tc>
        <w:tc>
          <w:tcPr>
            <w:tcW w:w="2324" w:type="dxa"/>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 w:val="21"/>
                <w:szCs w:val="21"/>
                <w:lang w:val="en-US" w:eastAsia="zh-CN"/>
              </w:rPr>
              <w:t>70780.63</w:t>
            </w:r>
          </w:p>
        </w:tc>
        <w:tc>
          <w:tcPr>
            <w:tcW w:w="2191"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环保投资（万元）</w:t>
            </w:r>
          </w:p>
        </w:tc>
        <w:tc>
          <w:tcPr>
            <w:tcW w:w="2687" w:type="dxa"/>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42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环保投资占比（%）</w:t>
            </w:r>
          </w:p>
        </w:tc>
        <w:tc>
          <w:tcPr>
            <w:tcW w:w="2324" w:type="dxa"/>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auto"/>
                <w:szCs w:val="21"/>
                <w:lang w:val="en-US" w:eastAsia="zh-CN"/>
              </w:rPr>
            </w:pPr>
            <w:r>
              <w:rPr>
                <w:rFonts w:hint="eastAsia" w:cs="Times New Roman"/>
                <w:color w:val="auto"/>
                <w:szCs w:val="21"/>
                <w:lang w:val="en-US" w:eastAsia="zh-CN"/>
              </w:rPr>
              <w:t>0.059</w:t>
            </w:r>
          </w:p>
        </w:tc>
        <w:tc>
          <w:tcPr>
            <w:tcW w:w="2191"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施工工期</w:t>
            </w:r>
          </w:p>
        </w:tc>
        <w:tc>
          <w:tcPr>
            <w:tcW w:w="2687" w:type="dxa"/>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hint="eastAsia" w:ascii="Times New Roman" w:hAnsi="Times New Roman" w:eastAsia="宋体" w:cs="Times New Roman"/>
                <w:color w:val="auto"/>
                <w:szCs w:val="21"/>
                <w:lang w:val="en-US" w:eastAsia="zh-CN"/>
              </w:rPr>
              <w:t>18</w:t>
            </w:r>
            <w:r>
              <w:rPr>
                <w:rFonts w:ascii="Times New Roman" w:hAnsi="Times New Roman" w:eastAsia="宋体" w:cs="Times New Roman"/>
                <w:color w:val="auto"/>
                <w:szCs w:val="21"/>
              </w:rPr>
              <w:t>个月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497" w:hRule="atLeast"/>
          <w:jc w:val="center"/>
        </w:trPr>
        <w:tc>
          <w:tcPr>
            <w:tcW w:w="1668" w:type="dxa"/>
            <w:noWrap w:val="0"/>
            <w:tcMar>
              <w:top w:w="16" w:type="dxa"/>
              <w:left w:w="16" w:type="dxa"/>
              <w:right w:w="16"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是否开工建设</w:t>
            </w:r>
          </w:p>
        </w:tc>
        <w:tc>
          <w:tcPr>
            <w:tcW w:w="7202" w:type="dxa"/>
            <w:gridSpan w:val="3"/>
            <w:noWrap w:val="0"/>
            <w:vAlign w:val="center"/>
          </w:tcPr>
          <w:p>
            <w:pPr>
              <w:keepNext w:val="0"/>
              <w:keepLines w:val="0"/>
              <w:suppressLineNumbers w:val="0"/>
              <w:adjustRightInd w:val="0"/>
              <w:snapToGrid w:val="0"/>
              <w:spacing w:before="0" w:beforeAutospacing="0" w:after="0" w:afterAutospacing="0"/>
              <w:ind w:left="0" w:right="0"/>
              <w:rPr>
                <w:rFonts w:ascii="Times New Roman" w:hAnsi="Times New Roman" w:eastAsia="宋体" w:cs="Times New Roman"/>
                <w:color w:val="auto"/>
                <w:szCs w:val="21"/>
              </w:rPr>
            </w:pPr>
            <w:r>
              <w:rPr>
                <w:rFonts w:ascii="Times New Roman" w:hAnsi="Times New Roman" w:eastAsia="宋体" w:cs="Times New Roman"/>
                <w:color w:val="auto"/>
                <w:szCs w:val="21"/>
              </w:rPr>
              <w:sym w:font="Wingdings 2" w:char="0052"/>
            </w:r>
            <w:r>
              <w:rPr>
                <w:rFonts w:ascii="Times New Roman" w:hAnsi="Times New Roman" w:eastAsia="宋体" w:cs="Times New Roman"/>
                <w:color w:val="auto"/>
                <w:szCs w:val="21"/>
              </w:rPr>
              <w:t>否</w:t>
            </w:r>
          </w:p>
          <w:p>
            <w:pPr>
              <w:keepNext w:val="0"/>
              <w:keepLines w:val="0"/>
              <w:suppressLineNumbers w:val="0"/>
              <w:adjustRightInd w:val="0"/>
              <w:snapToGrid w:val="0"/>
              <w:spacing w:before="0" w:beforeAutospacing="0" w:after="0" w:afterAutospacing="0"/>
              <w:ind w:left="0" w:right="0"/>
              <w:jc w:val="both"/>
              <w:rPr>
                <w:rFonts w:hint="default" w:ascii="Times New Roman" w:hAnsi="Times New Roman" w:eastAsia="宋体" w:cs="Times New Roman"/>
                <w:color w:val="auto"/>
                <w:szCs w:val="21"/>
                <w:lang w:val="en-US" w:eastAsia="zh-CN"/>
              </w:rPr>
            </w:pPr>
            <w:r>
              <w:rPr>
                <w:rFonts w:ascii="Times New Roman" w:hAnsi="Times New Roman" w:eastAsia="宋体" w:cs="Times New Roman"/>
                <w:color w:val="auto"/>
                <w:szCs w:val="21"/>
              </w:rPr>
              <w:sym w:font="Wingdings 2" w:char="00A3"/>
            </w:r>
            <w:r>
              <w:rPr>
                <w:rFonts w:ascii="Times New Roman" w:hAnsi="Times New Roman" w:eastAsia="宋体" w:cs="Times New Roman"/>
                <w:color w:val="auto"/>
                <w:szCs w:val="21"/>
              </w:rPr>
              <w:t>是：</w:t>
            </w:r>
            <w:r>
              <w:rPr>
                <w:rFonts w:ascii="Times New Roman" w:hAnsi="Times New Roman" w:eastAsia="宋体" w:cs="Times New Roman"/>
                <w:color w:val="auto"/>
                <w:szCs w:val="21"/>
                <w:u w:val="single"/>
              </w:rPr>
              <w:t xml:space="preserve">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1668" w:type="dxa"/>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专项评价设置情况</w:t>
            </w:r>
          </w:p>
        </w:tc>
        <w:tc>
          <w:tcPr>
            <w:tcW w:w="7202" w:type="dxa"/>
            <w:gridSpan w:val="3"/>
            <w:noWrap w:val="0"/>
            <w:vAlign w:val="center"/>
          </w:tcPr>
          <w:p>
            <w:pPr>
              <w:keepNext w:val="0"/>
              <w:keepLines w:val="0"/>
              <w:suppressLineNumbers w:val="0"/>
              <w:autoSpaceDE w:val="0"/>
              <w:autoSpaceDN w:val="0"/>
              <w:adjustRightInd w:val="0"/>
              <w:snapToGrid w:val="0"/>
              <w:spacing w:before="0" w:beforeAutospacing="0" w:after="0" w:afterAutospacing="0" w:line="288" w:lineRule="auto"/>
              <w:ind w:left="0" w:right="0" w:firstLine="480" w:firstLineChars="200"/>
              <w:jc w:val="left"/>
              <w:rPr>
                <w:rFonts w:ascii="Times New Roman" w:hAnsi="Times New Roman" w:eastAsia="宋体" w:cs="Times New Roman"/>
                <w:color w:val="auto"/>
                <w:kern w:val="0"/>
                <w:sz w:val="24"/>
                <w:szCs w:val="24"/>
                <w:highlight w:val="none"/>
              </w:rPr>
            </w:pPr>
            <w:r>
              <w:rPr>
                <w:rFonts w:ascii="Times New Roman" w:hAnsi="宋体" w:eastAsia="宋体" w:cs="Times New Roman"/>
                <w:color w:val="auto"/>
                <w:kern w:val="0"/>
                <w:sz w:val="24"/>
                <w:szCs w:val="24"/>
                <w:highlight w:val="none"/>
              </w:rPr>
              <w:t>根据《建设项目环境影响报告表编制技术指南》（</w:t>
            </w:r>
            <w:r>
              <w:rPr>
                <w:rFonts w:hint="eastAsia" w:ascii="Times New Roman" w:hAnsi="宋体" w:eastAsia="宋体" w:cs="Times New Roman"/>
                <w:color w:val="auto"/>
                <w:kern w:val="0"/>
                <w:sz w:val="24"/>
                <w:szCs w:val="24"/>
                <w:highlight w:val="none"/>
                <w:lang w:eastAsia="zh-CN"/>
              </w:rPr>
              <w:t>生态影响类</w:t>
            </w:r>
            <w:r>
              <w:rPr>
                <w:rFonts w:ascii="Times New Roman" w:hAnsi="宋体" w:eastAsia="宋体" w:cs="Times New Roman"/>
                <w:color w:val="auto"/>
                <w:kern w:val="0"/>
                <w:sz w:val="24"/>
                <w:szCs w:val="24"/>
                <w:highlight w:val="none"/>
              </w:rPr>
              <w:t>）（试行），本项目专项评价</w:t>
            </w:r>
            <w:r>
              <w:rPr>
                <w:rFonts w:hint="eastAsia" w:ascii="Times New Roman" w:hAnsi="宋体" w:eastAsia="宋体" w:cs="Times New Roman"/>
                <w:color w:val="auto"/>
                <w:kern w:val="0"/>
                <w:sz w:val="24"/>
                <w:szCs w:val="24"/>
                <w:highlight w:val="none"/>
                <w:lang w:eastAsia="zh-CN"/>
              </w:rPr>
              <w:t>设置</w:t>
            </w:r>
            <w:r>
              <w:rPr>
                <w:rFonts w:ascii="Times New Roman" w:hAnsi="宋体" w:eastAsia="宋体" w:cs="Times New Roman"/>
                <w:color w:val="auto"/>
                <w:kern w:val="0"/>
                <w:sz w:val="24"/>
                <w:szCs w:val="24"/>
                <w:highlight w:val="none"/>
              </w:rPr>
              <w:t>情况如下。</w:t>
            </w:r>
          </w:p>
          <w:p>
            <w:pPr>
              <w:keepNext w:val="0"/>
              <w:keepLines w:val="0"/>
              <w:suppressLineNumbers w:val="0"/>
              <w:autoSpaceDE w:val="0"/>
              <w:autoSpaceDN w:val="0"/>
              <w:adjustRightInd w:val="0"/>
              <w:snapToGrid w:val="0"/>
              <w:spacing w:before="0" w:beforeAutospacing="0" w:after="0" w:afterAutospacing="0" w:line="288" w:lineRule="auto"/>
              <w:ind w:left="0" w:right="0"/>
              <w:jc w:val="center"/>
              <w:rPr>
                <w:rFonts w:ascii="Times New Roman" w:hAnsi="Times New Roman" w:eastAsia="宋体" w:cs="Times New Roman"/>
                <w:b/>
                <w:bCs/>
                <w:color w:val="auto"/>
                <w:kern w:val="0"/>
                <w:sz w:val="21"/>
                <w:szCs w:val="21"/>
                <w:highlight w:val="none"/>
              </w:rPr>
            </w:pPr>
            <w:r>
              <w:rPr>
                <w:rFonts w:ascii="Times New Roman" w:hAnsi="宋体" w:eastAsia="宋体" w:cs="Times New Roman"/>
                <w:b/>
                <w:bCs/>
                <w:color w:val="auto"/>
                <w:kern w:val="0"/>
                <w:sz w:val="21"/>
                <w:szCs w:val="21"/>
                <w:highlight w:val="none"/>
              </w:rPr>
              <w:t>表</w:t>
            </w:r>
            <w:r>
              <w:rPr>
                <w:rFonts w:ascii="Times New Roman" w:hAnsi="Times New Roman" w:eastAsia="宋体" w:cs="Times New Roman"/>
                <w:b/>
                <w:bCs/>
                <w:color w:val="auto"/>
                <w:kern w:val="0"/>
                <w:sz w:val="21"/>
                <w:szCs w:val="21"/>
                <w:highlight w:val="none"/>
              </w:rPr>
              <w:t xml:space="preserve">1-1   </w:t>
            </w:r>
            <w:r>
              <w:rPr>
                <w:rFonts w:ascii="Times New Roman" w:hAnsi="宋体" w:eastAsia="宋体" w:cs="Times New Roman"/>
                <w:b/>
                <w:bCs/>
                <w:color w:val="auto"/>
                <w:kern w:val="0"/>
                <w:sz w:val="21"/>
                <w:szCs w:val="21"/>
                <w:highlight w:val="none"/>
              </w:rPr>
              <w:t>专项评价设置原则对照情况分析表</w:t>
            </w:r>
          </w:p>
          <w:tbl>
            <w:tblPr>
              <w:tblStyle w:val="27"/>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08"/>
              <w:gridCol w:w="3203"/>
              <w:gridCol w:w="1509"/>
              <w:gridCol w:w="9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8"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b/>
                      <w:bCs/>
                      <w:color w:val="auto"/>
                      <w:kern w:val="0"/>
                      <w:sz w:val="21"/>
                      <w:szCs w:val="21"/>
                      <w:highlight w:val="none"/>
                    </w:rPr>
                  </w:pPr>
                  <w:r>
                    <w:rPr>
                      <w:rFonts w:ascii="Times New Roman" w:hAnsi="宋体" w:eastAsia="宋体" w:cs="Times New Roman"/>
                      <w:b/>
                      <w:bCs/>
                      <w:color w:val="auto"/>
                      <w:kern w:val="0"/>
                      <w:sz w:val="21"/>
                      <w:szCs w:val="21"/>
                      <w:highlight w:val="none"/>
                    </w:rPr>
                    <w:t>专项评价的类别</w:t>
                  </w:r>
                </w:p>
              </w:tc>
              <w:tc>
                <w:tcPr>
                  <w:tcW w:w="2295"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b/>
                      <w:bCs/>
                      <w:color w:val="auto"/>
                      <w:kern w:val="0"/>
                      <w:sz w:val="21"/>
                      <w:szCs w:val="21"/>
                      <w:highlight w:val="none"/>
                    </w:rPr>
                  </w:pPr>
                  <w:r>
                    <w:rPr>
                      <w:rFonts w:ascii="Times New Roman" w:hAnsi="宋体" w:eastAsia="宋体" w:cs="Times New Roman"/>
                      <w:b/>
                      <w:bCs/>
                      <w:color w:val="auto"/>
                      <w:kern w:val="0"/>
                      <w:sz w:val="21"/>
                      <w:szCs w:val="21"/>
                      <w:highlight w:val="none"/>
                    </w:rPr>
                    <w:t>设置原则</w:t>
                  </w:r>
                </w:p>
              </w:tc>
              <w:tc>
                <w:tcPr>
                  <w:tcW w:w="1081"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b/>
                      <w:bCs/>
                      <w:color w:val="auto"/>
                      <w:kern w:val="0"/>
                      <w:sz w:val="21"/>
                      <w:szCs w:val="21"/>
                      <w:highlight w:val="none"/>
                    </w:rPr>
                  </w:pPr>
                  <w:r>
                    <w:rPr>
                      <w:rFonts w:ascii="Times New Roman" w:hAnsi="宋体" w:eastAsia="宋体" w:cs="Times New Roman"/>
                      <w:b/>
                      <w:bCs/>
                      <w:color w:val="auto"/>
                      <w:kern w:val="0"/>
                      <w:sz w:val="21"/>
                      <w:szCs w:val="21"/>
                      <w:highlight w:val="none"/>
                    </w:rPr>
                    <w:t>本项目情况</w:t>
                  </w:r>
                </w:p>
              </w:tc>
              <w:tc>
                <w:tcPr>
                  <w:tcW w:w="684"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b/>
                      <w:bCs/>
                      <w:color w:val="auto"/>
                      <w:kern w:val="0"/>
                      <w:sz w:val="21"/>
                      <w:szCs w:val="21"/>
                      <w:highlight w:val="none"/>
                    </w:rPr>
                  </w:pPr>
                  <w:r>
                    <w:rPr>
                      <w:rFonts w:ascii="Times New Roman" w:hAnsi="宋体" w:eastAsia="宋体" w:cs="Times New Roman"/>
                      <w:b/>
                      <w:bCs/>
                      <w:color w:val="auto"/>
                      <w:kern w:val="0"/>
                      <w:sz w:val="21"/>
                      <w:szCs w:val="21"/>
                      <w:highlight w:val="none"/>
                    </w:rPr>
                    <w:t>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8"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地表水</w:t>
                  </w:r>
                </w:p>
              </w:tc>
              <w:tc>
                <w:tcPr>
                  <w:tcW w:w="2295"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水力发电：引水式发电、涉及调峰发电的项目；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人工湖、人工湿地：全部；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水库：全部；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引水工程：全部（配套的管线工程等除外）；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防洪除涝工程：包含水库的项目；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Times New Roman" w:eastAsia="宋体" w:cs="Times New Roman"/>
                      <w:color w:val="auto"/>
                      <w:kern w:val="0"/>
                      <w:sz w:val="21"/>
                      <w:szCs w:val="21"/>
                      <w:highlight w:val="yellow"/>
                      <w:lang w:val="en-US" w:eastAsia="zh-CN" w:bidi="ar-SA"/>
                    </w:rPr>
                  </w:pPr>
                  <w:r>
                    <w:rPr>
                      <w:rFonts w:hint="eastAsia" w:ascii="Times New Roman" w:hAnsi="宋体" w:eastAsia="宋体" w:cs="Times New Roman"/>
                      <w:color w:val="auto"/>
                      <w:kern w:val="0"/>
                      <w:sz w:val="21"/>
                      <w:szCs w:val="21"/>
                      <w:highlight w:val="none"/>
                      <w:lang w:val="en-US" w:eastAsia="zh-CN"/>
                    </w:rPr>
                    <w:t>河湖整治：涉及清淤且底泥存在重金属污染的项目</w:t>
                  </w:r>
                </w:p>
              </w:tc>
              <w:tc>
                <w:tcPr>
                  <w:tcW w:w="1081"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kern w:val="0"/>
                      <w:sz w:val="21"/>
                      <w:szCs w:val="21"/>
                      <w:highlight w:val="yellow"/>
                      <w:lang w:val="en-US" w:eastAsia="zh-CN" w:bidi="ar-SA"/>
                    </w:rPr>
                  </w:pPr>
                  <w:r>
                    <w:rPr>
                      <w:rFonts w:ascii="Times New Roman" w:hAnsi="宋体" w:eastAsia="宋体" w:cs="Times New Roman"/>
                      <w:color w:val="auto"/>
                      <w:kern w:val="0"/>
                      <w:sz w:val="21"/>
                      <w:szCs w:val="21"/>
                      <w:highlight w:val="none"/>
                    </w:rPr>
                    <w:t>不涉及</w:t>
                  </w:r>
                </w:p>
              </w:tc>
              <w:tc>
                <w:tcPr>
                  <w:tcW w:w="684"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不开展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8"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hint="eastAsia" w:ascii="Times New Roman" w:hAnsi="宋体" w:eastAsia="宋体" w:cs="Times New Roman"/>
                      <w:color w:val="auto"/>
                      <w:kern w:val="0"/>
                      <w:sz w:val="21"/>
                      <w:szCs w:val="21"/>
                      <w:highlight w:val="none"/>
                      <w:lang w:val="en-US" w:eastAsia="zh-CN" w:bidi="ar-SA"/>
                    </w:rPr>
                  </w:pPr>
                  <w:r>
                    <w:rPr>
                      <w:rFonts w:hint="eastAsia" w:ascii="Times New Roman" w:hAnsi="宋体" w:eastAsia="宋体" w:cs="Times New Roman"/>
                      <w:color w:val="auto"/>
                      <w:kern w:val="0"/>
                      <w:sz w:val="21"/>
                      <w:szCs w:val="21"/>
                      <w:highlight w:val="none"/>
                      <w:lang w:eastAsia="zh-CN"/>
                    </w:rPr>
                    <w:t>地下水</w:t>
                  </w:r>
                </w:p>
              </w:tc>
              <w:tc>
                <w:tcPr>
                  <w:tcW w:w="2295" w:type="pct"/>
                  <w:noWrap w:val="0"/>
                  <w:vAlign w:val="center"/>
                </w:tcPr>
                <w:p>
                  <w:pPr>
                    <w:keepNext w:val="0"/>
                    <w:keepLines w:val="0"/>
                    <w:widowControl/>
                    <w:suppressLineNumbers w:val="0"/>
                    <w:spacing w:before="0" w:beforeAutospacing="0" w:after="0" w:afterAutospacing="0"/>
                    <w:ind w:left="0" w:right="0"/>
                    <w:jc w:val="left"/>
                    <w:rPr>
                      <w:rFonts w:ascii="Calibri" w:hAnsi="Calibri" w:eastAsia="宋体" w:cs="Times New Roman"/>
                      <w:sz w:val="21"/>
                      <w:szCs w:val="21"/>
                    </w:rPr>
                  </w:pPr>
                  <w:r>
                    <w:rPr>
                      <w:rFonts w:hint="eastAsia" w:ascii="宋体" w:hAnsi="宋体" w:eastAsia="宋体" w:cs="宋体"/>
                      <w:color w:val="000000"/>
                      <w:kern w:val="0"/>
                      <w:sz w:val="21"/>
                      <w:szCs w:val="21"/>
                      <w:lang w:val="en-US" w:eastAsia="zh-CN" w:bidi="ar"/>
                    </w:rPr>
                    <w:t xml:space="preserve">陆地石油和天然气开采：全部； </w:t>
                  </w:r>
                </w:p>
                <w:p>
                  <w:pPr>
                    <w:keepNext w:val="0"/>
                    <w:keepLines w:val="0"/>
                    <w:widowControl/>
                    <w:suppressLineNumbers w:val="0"/>
                    <w:spacing w:before="0" w:beforeAutospacing="0" w:after="0" w:afterAutospacing="0"/>
                    <w:ind w:left="0" w:right="0"/>
                    <w:jc w:val="left"/>
                    <w:rPr>
                      <w:rFonts w:ascii="Calibri" w:hAnsi="Calibri" w:eastAsia="宋体" w:cs="Times New Roman"/>
                      <w:sz w:val="21"/>
                      <w:szCs w:val="21"/>
                    </w:rPr>
                  </w:pPr>
                  <w:r>
                    <w:rPr>
                      <w:rFonts w:hint="eastAsia" w:ascii="宋体" w:hAnsi="宋体" w:eastAsia="宋体" w:cs="宋体"/>
                      <w:color w:val="000000"/>
                      <w:kern w:val="0"/>
                      <w:sz w:val="21"/>
                      <w:szCs w:val="21"/>
                      <w:lang w:val="en-US" w:eastAsia="zh-CN" w:bidi="ar"/>
                    </w:rPr>
                    <w:t xml:space="preserve">地下水（含矿泉水）开采：全部； </w:t>
                  </w:r>
                </w:p>
                <w:p>
                  <w:pPr>
                    <w:keepNext w:val="0"/>
                    <w:keepLines w:val="0"/>
                    <w:widowControl/>
                    <w:suppressLineNumbers w:val="0"/>
                    <w:spacing w:before="0" w:beforeAutospacing="0" w:after="0" w:afterAutospacing="0"/>
                    <w:ind w:left="0" w:right="0"/>
                    <w:jc w:val="left"/>
                    <w:rPr>
                      <w:rFonts w:hint="eastAsia" w:ascii="Times New Roman" w:hAnsi="宋体" w:eastAsia="宋体" w:cs="Times New Roman"/>
                      <w:color w:val="auto"/>
                      <w:kern w:val="0"/>
                      <w:sz w:val="21"/>
                      <w:szCs w:val="21"/>
                      <w:highlight w:val="none"/>
                      <w:lang w:val="en-US" w:eastAsia="zh-CN" w:bidi="ar-SA"/>
                    </w:rPr>
                  </w:pPr>
                  <w:r>
                    <w:rPr>
                      <w:rFonts w:hint="eastAsia" w:ascii="宋体" w:hAnsi="宋体" w:eastAsia="宋体" w:cs="宋体"/>
                      <w:color w:val="000000"/>
                      <w:kern w:val="0"/>
                      <w:sz w:val="21"/>
                      <w:szCs w:val="21"/>
                      <w:lang w:val="en-US" w:eastAsia="zh-CN" w:bidi="ar"/>
                    </w:rPr>
                    <w:t>水利、水电、交通等：含穿越可溶岩地层隧道的项目</w:t>
                  </w:r>
                </w:p>
              </w:tc>
              <w:tc>
                <w:tcPr>
                  <w:tcW w:w="1081"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hint="eastAsia" w:ascii="Times New Roman" w:hAnsi="宋体"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不涉及</w:t>
                  </w:r>
                </w:p>
              </w:tc>
              <w:tc>
                <w:tcPr>
                  <w:tcW w:w="684"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宋体"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不开展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8"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生态</w:t>
                  </w:r>
                </w:p>
              </w:tc>
              <w:tc>
                <w:tcPr>
                  <w:tcW w:w="2295" w:type="pct"/>
                  <w:noWrap w:val="0"/>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color w:val="auto"/>
                      <w:kern w:val="0"/>
                      <w:sz w:val="21"/>
                      <w:szCs w:val="21"/>
                      <w:highlight w:val="none"/>
                      <w:lang w:val="en-US" w:eastAsia="zh-CN" w:bidi="ar-SA"/>
                    </w:rPr>
                  </w:pPr>
                  <w:r>
                    <w:rPr>
                      <w:rFonts w:hint="eastAsia" w:ascii="宋体" w:hAnsi="宋体" w:eastAsia="宋体" w:cs="宋体"/>
                      <w:color w:val="000000"/>
                      <w:kern w:val="0"/>
                      <w:sz w:val="21"/>
                      <w:szCs w:val="21"/>
                      <w:lang w:val="en-US" w:eastAsia="zh-CN" w:bidi="ar"/>
                    </w:rPr>
                    <w:t>涉及环境敏感区（不包括饮用水水源保护区，以居住、医疗卫生、文化教育、科研、行政办公为主要功能的区域，以及文物保护单位）的项目</w:t>
                  </w:r>
                </w:p>
              </w:tc>
              <w:tc>
                <w:tcPr>
                  <w:tcW w:w="1081"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不涉及</w:t>
                  </w:r>
                </w:p>
              </w:tc>
              <w:tc>
                <w:tcPr>
                  <w:tcW w:w="684"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不开展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8"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大气</w:t>
                  </w:r>
                </w:p>
              </w:tc>
              <w:tc>
                <w:tcPr>
                  <w:tcW w:w="2295"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油气、液体化工码头：全部；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Times New Roman" w:eastAsia="宋体" w:cs="Times New Roman"/>
                      <w:color w:val="auto"/>
                      <w:kern w:val="0"/>
                      <w:sz w:val="21"/>
                      <w:szCs w:val="21"/>
                      <w:highlight w:val="none"/>
                      <w:lang w:val="en-US" w:eastAsia="zh-CN" w:bidi="ar-SA"/>
                    </w:rPr>
                  </w:pPr>
                  <w:r>
                    <w:rPr>
                      <w:rFonts w:hint="eastAsia" w:ascii="Times New Roman" w:hAnsi="宋体" w:eastAsia="宋体" w:cs="Times New Roman"/>
                      <w:color w:val="auto"/>
                      <w:kern w:val="0"/>
                      <w:sz w:val="21"/>
                      <w:szCs w:val="21"/>
                      <w:highlight w:val="none"/>
                      <w:lang w:val="en-US" w:eastAsia="zh-CN"/>
                    </w:rPr>
                    <w:t>干散货（含煤炭、矿石）、件杂、多用途、通用码头：涉及粉尘、挥发性有机物排放的项目</w:t>
                  </w:r>
                </w:p>
              </w:tc>
              <w:tc>
                <w:tcPr>
                  <w:tcW w:w="1081"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不涉及</w:t>
                  </w:r>
                </w:p>
              </w:tc>
              <w:tc>
                <w:tcPr>
                  <w:tcW w:w="684"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不开展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8"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kern w:val="0"/>
                      <w:sz w:val="21"/>
                      <w:szCs w:val="21"/>
                      <w:highlight w:val="none"/>
                      <w:lang w:val="en-US" w:eastAsia="zh-CN" w:bidi="ar-SA"/>
                    </w:rPr>
                  </w:pPr>
                  <w:r>
                    <w:rPr>
                      <w:rFonts w:hint="eastAsia" w:ascii="Times New Roman" w:hAnsi="宋体" w:eastAsia="宋体" w:cs="Times New Roman"/>
                      <w:color w:val="auto"/>
                      <w:kern w:val="0"/>
                      <w:sz w:val="21"/>
                      <w:szCs w:val="21"/>
                      <w:highlight w:val="none"/>
                      <w:lang w:eastAsia="zh-CN"/>
                    </w:rPr>
                    <w:t>噪声</w:t>
                  </w:r>
                </w:p>
              </w:tc>
              <w:tc>
                <w:tcPr>
                  <w:tcW w:w="2295"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公路、铁路、机场等交通运输业涉及环境敏感区（以居住、医疗卫生、文化教育、科研、行政办公为主要功能的区域）的项目； </w:t>
                  </w:r>
                </w:p>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hint="eastAsia" w:ascii="Times New Roman" w:hAnsi="宋体" w:eastAsia="宋体" w:cs="Times New Roman"/>
                      <w:color w:val="auto"/>
                      <w:kern w:val="0"/>
                      <w:sz w:val="21"/>
                      <w:szCs w:val="21"/>
                      <w:highlight w:val="none"/>
                      <w:lang w:val="en-US" w:eastAsia="zh-CN"/>
                    </w:rPr>
                    <w:t>城市道路（不含维护，不含支路、人行天桥、人行地道）：全部</w:t>
                  </w:r>
                </w:p>
              </w:tc>
              <w:tc>
                <w:tcPr>
                  <w:tcW w:w="1081"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不涉及</w:t>
                  </w:r>
                </w:p>
              </w:tc>
              <w:tc>
                <w:tcPr>
                  <w:tcW w:w="684"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不开展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8"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环境风险</w:t>
                  </w:r>
                </w:p>
              </w:tc>
              <w:tc>
                <w:tcPr>
                  <w:tcW w:w="2295"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石油和天然气开采：全部；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宋体" w:eastAsia="宋体" w:cs="Times New Roman"/>
                      <w:color w:val="auto"/>
                      <w:kern w:val="0"/>
                      <w:sz w:val="21"/>
                      <w:szCs w:val="21"/>
                      <w:highlight w:val="none"/>
                    </w:rPr>
                  </w:pPr>
                  <w:r>
                    <w:rPr>
                      <w:rFonts w:hint="eastAsia" w:ascii="Times New Roman" w:hAnsi="宋体" w:eastAsia="宋体" w:cs="Times New Roman"/>
                      <w:color w:val="auto"/>
                      <w:kern w:val="0"/>
                      <w:sz w:val="21"/>
                      <w:szCs w:val="21"/>
                      <w:highlight w:val="none"/>
                      <w:lang w:val="en-US" w:eastAsia="zh-CN"/>
                    </w:rPr>
                    <w:t xml:space="preserve">油气、液体化工码头：全部； </w:t>
                  </w:r>
                </w:p>
                <w:p>
                  <w:pPr>
                    <w:keepNext w:val="0"/>
                    <w:keepLines w:val="0"/>
                    <w:suppressLineNumbers w:val="0"/>
                    <w:autoSpaceDE w:val="0"/>
                    <w:autoSpaceDN w:val="0"/>
                    <w:adjustRightInd w:val="0"/>
                    <w:snapToGrid w:val="0"/>
                    <w:spacing w:before="0" w:beforeAutospacing="0" w:after="0" w:afterAutospacing="0" w:line="0" w:lineRule="atLeast"/>
                    <w:ind w:left="0" w:right="0"/>
                    <w:jc w:val="left"/>
                    <w:rPr>
                      <w:rFonts w:ascii="Times New Roman" w:hAnsi="Times New Roman" w:eastAsia="宋体" w:cs="Times New Roman"/>
                      <w:color w:val="auto"/>
                      <w:kern w:val="0"/>
                      <w:sz w:val="21"/>
                      <w:szCs w:val="21"/>
                      <w:highlight w:val="none"/>
                      <w:lang w:val="en-US" w:eastAsia="zh-CN" w:bidi="ar-SA"/>
                    </w:rPr>
                  </w:pPr>
                  <w:r>
                    <w:rPr>
                      <w:rFonts w:hint="eastAsia" w:ascii="Times New Roman" w:hAnsi="宋体" w:eastAsia="宋体" w:cs="Times New Roman"/>
                      <w:color w:val="auto"/>
                      <w:kern w:val="0"/>
                      <w:sz w:val="21"/>
                      <w:szCs w:val="21"/>
                      <w:highlight w:val="none"/>
                      <w:lang w:val="en-US" w:eastAsia="zh-CN"/>
                    </w:rPr>
                    <w:t>原油、成品油、天然气管线（不含城镇天然气管线、企业厂区内管线），危险化学品输送管线（不含企业厂区内管线）：全部</w:t>
                  </w:r>
                </w:p>
              </w:tc>
              <w:tc>
                <w:tcPr>
                  <w:tcW w:w="1081"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不涉及</w:t>
                  </w:r>
                </w:p>
              </w:tc>
              <w:tc>
                <w:tcPr>
                  <w:tcW w:w="684" w:type="pct"/>
                  <w:noWrap w:val="0"/>
                  <w:vAlign w:val="center"/>
                </w:tcPr>
                <w:p>
                  <w:pPr>
                    <w:keepNext w:val="0"/>
                    <w:keepLines w:val="0"/>
                    <w:suppressLineNumbers w:val="0"/>
                    <w:autoSpaceDE w:val="0"/>
                    <w:autoSpaceDN w:val="0"/>
                    <w:adjustRightInd w:val="0"/>
                    <w:snapToGrid w:val="0"/>
                    <w:spacing w:before="0" w:beforeAutospacing="0" w:after="0" w:afterAutospacing="0" w:line="0" w:lineRule="atLeast"/>
                    <w:ind w:left="0" w:right="0"/>
                    <w:jc w:val="center"/>
                    <w:rPr>
                      <w:rFonts w:ascii="Times New Roman" w:hAnsi="Times New Roman" w:eastAsia="宋体" w:cs="Times New Roman"/>
                      <w:color w:val="auto"/>
                      <w:kern w:val="0"/>
                      <w:sz w:val="21"/>
                      <w:szCs w:val="21"/>
                      <w:highlight w:val="none"/>
                      <w:lang w:val="en-US" w:eastAsia="zh-CN" w:bidi="ar-SA"/>
                    </w:rPr>
                  </w:pPr>
                  <w:r>
                    <w:rPr>
                      <w:rFonts w:ascii="Times New Roman" w:hAnsi="宋体" w:eastAsia="宋体" w:cs="Times New Roman"/>
                      <w:color w:val="auto"/>
                      <w:kern w:val="0"/>
                      <w:sz w:val="21"/>
                      <w:szCs w:val="21"/>
                      <w:highlight w:val="none"/>
                    </w:rPr>
                    <w:t>不开展</w:t>
                  </w:r>
                </w:p>
              </w:tc>
            </w:tr>
          </w:tbl>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ind w:left="0" w:right="0" w:firstLine="0" w:firstLineChars="0"/>
              <w:jc w:val="left"/>
              <w:textAlignment w:val="auto"/>
              <w:rPr>
                <w:rFonts w:hint="eastAsia" w:ascii="Times New Roman" w:hAnsi="Times New Roman" w:eastAsia="宋体" w:cs="Times New Roman"/>
                <w:color w:val="auto"/>
                <w:kern w:val="0"/>
                <w:szCs w:val="21"/>
                <w:lang w:eastAsia="zh-CN"/>
              </w:rPr>
            </w:pPr>
            <w:r>
              <w:rPr>
                <w:rFonts w:hint="eastAsia" w:ascii="Times New Roman" w:hAnsi="宋体" w:eastAsia="宋体" w:cs="Times New Roman"/>
                <w:color w:val="auto"/>
                <w:kern w:val="0"/>
                <w:szCs w:val="21"/>
                <w:highlight w:val="none"/>
                <w:lang w:val="en-US" w:eastAsia="zh-CN"/>
              </w:rPr>
              <w:t>注：“涉及环境敏感区”是指建设项目位于、穿（跨）越（无害化通过的除外）环境敏感区，或环境影响范围涵盖环境敏感区。环境敏感区是指《建设项目环境影响评价分类管理名录》中针对该类项目所列的敏感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09" w:hRule="atLeast"/>
          <w:jc w:val="center"/>
        </w:trPr>
        <w:tc>
          <w:tcPr>
            <w:tcW w:w="1668" w:type="dxa"/>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szCs w:val="21"/>
              </w:rPr>
              <w:t>规划情况</w:t>
            </w:r>
          </w:p>
        </w:tc>
        <w:tc>
          <w:tcPr>
            <w:tcW w:w="7202" w:type="dxa"/>
            <w:gridSpan w:val="3"/>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hint="eastAsia" w:ascii="Times New Roman" w:hAnsi="Times New Roman" w:eastAsia="宋体" w:cs="Times New Roman"/>
                <w:color w:val="auto"/>
                <w:kern w:val="0"/>
                <w:szCs w:val="21"/>
                <w:lang w:eastAsia="zh-CN"/>
              </w:rPr>
            </w:pPr>
            <w:r>
              <w:rPr>
                <w:rFonts w:hint="eastAsia" w:ascii="Times New Roman" w:hAnsi="Times New Roman" w:eastAsia="宋体" w:cs="Times New Roman"/>
                <w:color w:val="auto"/>
                <w:kern w:val="0"/>
                <w:sz w:val="24"/>
                <w:szCs w:val="24"/>
                <w:lang w:eastAsia="zh-CN"/>
              </w:rPr>
              <w:t>《河北唐山海港经济开发区总体规划（2018-2030）》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1668" w:type="dxa"/>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color w:val="auto"/>
                <w:szCs w:val="21"/>
              </w:rPr>
              <w:t>规划环境影响</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szCs w:val="21"/>
              </w:rPr>
              <w:t>评价情况</w:t>
            </w:r>
          </w:p>
        </w:tc>
        <w:tc>
          <w:tcPr>
            <w:tcW w:w="7202" w:type="dxa"/>
            <w:gridSpan w:val="3"/>
            <w:noWrap w:val="0"/>
            <w:vAlign w:val="center"/>
          </w:tcPr>
          <w:p>
            <w:pPr>
              <w:keepNext w:val="0"/>
              <w:keepLines w:val="0"/>
              <w:suppressLineNumbers w:val="0"/>
              <w:autoSpaceDE w:val="0"/>
              <w:autoSpaceDN w:val="0"/>
              <w:adjustRightInd w:val="0"/>
              <w:snapToGrid w:val="0"/>
              <w:spacing w:before="0" w:beforeAutospacing="0" w:after="0" w:afterAutospacing="0" w:line="360" w:lineRule="exact"/>
              <w:ind w:left="0" w:right="0"/>
              <w:jc w:val="center"/>
              <w:rPr>
                <w:rFonts w:hint="default" w:ascii="Times New Roman" w:hAnsi="Times New Roman" w:eastAsia="宋体" w:cs="Times New Roman"/>
                <w:b/>
                <w:bCs/>
                <w:color w:val="auto"/>
                <w:kern w:val="0"/>
                <w:szCs w:val="21"/>
                <w:lang w:val="en-US" w:eastAsia="zh-CN"/>
              </w:rPr>
            </w:pPr>
            <w:r>
              <w:rPr>
                <w:rFonts w:hint="eastAsia" w:ascii="Times New Roman" w:hAnsi="Times New Roman" w:eastAsia="宋体" w:cs="Times New Roman"/>
                <w:b/>
                <w:bCs/>
                <w:color w:val="auto"/>
                <w:kern w:val="0"/>
                <w:szCs w:val="21"/>
                <w:lang w:eastAsia="zh-CN"/>
              </w:rPr>
              <w:t>表</w:t>
            </w:r>
            <w:r>
              <w:rPr>
                <w:rFonts w:hint="eastAsia" w:ascii="Times New Roman" w:hAnsi="Times New Roman" w:eastAsia="宋体" w:cs="Times New Roman"/>
                <w:b/>
                <w:bCs/>
                <w:color w:val="auto"/>
                <w:kern w:val="0"/>
                <w:szCs w:val="21"/>
                <w:lang w:val="en-US" w:eastAsia="zh-CN"/>
              </w:rPr>
              <w:t>1-2  规划环境影响评价情况</w:t>
            </w:r>
          </w:p>
          <w:tbl>
            <w:tblPr>
              <w:tblStyle w:val="2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2"/>
              <w:gridCol w:w="2986"/>
              <w:gridCol w:w="1214"/>
              <w:gridCol w:w="149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2"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eastAsia" w:ascii="Times New Roman" w:hAnsi="Times New Roman" w:eastAsia="宋体" w:cs="Times New Roman"/>
                      <w:b/>
                      <w:bCs/>
                      <w:color w:val="auto"/>
                      <w:kern w:val="0"/>
                      <w:szCs w:val="21"/>
                      <w:vertAlign w:val="baseline"/>
                      <w:lang w:eastAsia="zh-CN"/>
                    </w:rPr>
                  </w:pPr>
                  <w:r>
                    <w:rPr>
                      <w:rFonts w:hint="eastAsia" w:ascii="Times New Roman" w:hAnsi="Times New Roman" w:eastAsia="宋体" w:cs="Times New Roman"/>
                      <w:b/>
                      <w:bCs/>
                      <w:color w:val="auto"/>
                      <w:kern w:val="0"/>
                      <w:szCs w:val="21"/>
                      <w:vertAlign w:val="baseline"/>
                      <w:lang w:eastAsia="zh-CN"/>
                    </w:rPr>
                    <w:t>序号</w:t>
                  </w:r>
                </w:p>
              </w:tc>
              <w:tc>
                <w:tcPr>
                  <w:tcW w:w="2986"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eastAsia"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Cs w:val="21"/>
                      <w:vertAlign w:val="baseline"/>
                      <w:lang w:eastAsia="zh-CN"/>
                    </w:rPr>
                    <w:t>规划环评文件</w:t>
                  </w:r>
                </w:p>
              </w:tc>
              <w:tc>
                <w:tcPr>
                  <w:tcW w:w="1214"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eastAsia"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Cs w:val="21"/>
                      <w:vertAlign w:val="baseline"/>
                      <w:lang w:eastAsia="zh-CN"/>
                    </w:rPr>
                    <w:t>审查机关</w:t>
                  </w:r>
                </w:p>
              </w:tc>
              <w:tc>
                <w:tcPr>
                  <w:tcW w:w="1492"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eastAsia" w:ascii="Times New Roman" w:hAnsi="Times New Roman" w:eastAsia="宋体" w:cs="Times New Roman"/>
                      <w:b/>
                      <w:bCs/>
                      <w:color w:val="auto"/>
                      <w:kern w:val="0"/>
                      <w:sz w:val="21"/>
                      <w:szCs w:val="21"/>
                      <w:vertAlign w:val="baseline"/>
                      <w:lang w:val="en-US" w:eastAsia="zh-CN" w:bidi="ar-SA"/>
                    </w:rPr>
                  </w:pPr>
                  <w:r>
                    <w:rPr>
                      <w:rFonts w:hint="eastAsia" w:ascii="Times New Roman" w:hAnsi="Times New Roman" w:eastAsia="宋体" w:cs="Times New Roman"/>
                      <w:b/>
                      <w:bCs/>
                      <w:color w:val="auto"/>
                      <w:kern w:val="0"/>
                      <w:szCs w:val="21"/>
                      <w:vertAlign w:val="baseline"/>
                      <w:lang w:eastAsia="zh-CN"/>
                    </w:rPr>
                    <w:t>审查意见文号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2"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Cs w:val="21"/>
                      <w:vertAlign w:val="baseline"/>
                      <w:lang w:val="en-US" w:eastAsia="zh-CN"/>
                    </w:rPr>
                  </w:pPr>
                  <w:r>
                    <w:rPr>
                      <w:rFonts w:hint="eastAsia" w:ascii="Times New Roman" w:hAnsi="Times New Roman" w:eastAsia="宋体" w:cs="Times New Roman"/>
                      <w:color w:val="auto"/>
                      <w:kern w:val="0"/>
                      <w:szCs w:val="21"/>
                      <w:vertAlign w:val="baseline"/>
                      <w:lang w:val="en-US" w:eastAsia="zh-CN"/>
                    </w:rPr>
                    <w:t>1</w:t>
                  </w:r>
                </w:p>
              </w:tc>
              <w:tc>
                <w:tcPr>
                  <w:tcW w:w="2986"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0"/>
                      <w:szCs w:val="21"/>
                      <w:vertAlign w:val="baseline"/>
                      <w:lang w:eastAsia="zh-CN"/>
                    </w:rPr>
                  </w:pPr>
                  <w:r>
                    <w:rPr>
                      <w:rFonts w:hint="eastAsia" w:ascii="Times New Roman" w:hAnsi="Times New Roman" w:eastAsia="宋体" w:cs="Times New Roman"/>
                      <w:color w:val="auto"/>
                      <w:kern w:val="0"/>
                      <w:szCs w:val="21"/>
                      <w:lang w:eastAsia="zh-CN"/>
                    </w:rPr>
                    <w:t>《河北唐山海港经济开发区总体规划环境影响报告书》</w:t>
                  </w:r>
                </w:p>
              </w:tc>
              <w:tc>
                <w:tcPr>
                  <w:tcW w:w="1214"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0"/>
                      <w:szCs w:val="21"/>
                      <w:vertAlign w:val="baseline"/>
                      <w:lang w:eastAsia="zh-CN"/>
                    </w:rPr>
                  </w:pPr>
                  <w:r>
                    <w:rPr>
                      <w:rFonts w:hint="eastAsia" w:ascii="Times New Roman" w:hAnsi="Times New Roman" w:eastAsia="宋体" w:cs="Times New Roman"/>
                      <w:color w:val="auto"/>
                      <w:kern w:val="0"/>
                      <w:szCs w:val="21"/>
                      <w:vertAlign w:val="baseline"/>
                      <w:lang w:val="en-US" w:eastAsia="zh-CN"/>
                    </w:rPr>
                    <w:t>河北省生态环境厅</w:t>
                  </w:r>
                </w:p>
              </w:tc>
              <w:tc>
                <w:tcPr>
                  <w:tcW w:w="1492" w:type="dxa"/>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Cs w:val="21"/>
                      <w:vertAlign w:val="baseline"/>
                      <w:lang w:val="en-US" w:eastAsia="zh-CN"/>
                    </w:rPr>
                  </w:pPr>
                  <w:r>
                    <w:rPr>
                      <w:rFonts w:hint="default" w:ascii="Times New Roman" w:hAnsi="Times New Roman" w:eastAsia="宋体" w:cs="Times New Roman"/>
                      <w:color w:val="auto"/>
                      <w:kern w:val="0"/>
                      <w:szCs w:val="21"/>
                      <w:vertAlign w:val="baseline"/>
                      <w:lang w:val="en-US" w:eastAsia="zh-CN"/>
                    </w:rPr>
                    <w:t>冀环环评函[2019]1012号</w:t>
                  </w:r>
                </w:p>
              </w:tc>
            </w:tr>
          </w:tbl>
          <w:p>
            <w:pPr>
              <w:keepNext w:val="0"/>
              <w:keepLines w:val="0"/>
              <w:suppressLineNumbers w:val="0"/>
              <w:autoSpaceDE w:val="0"/>
              <w:autoSpaceDN w:val="0"/>
              <w:adjustRightInd w:val="0"/>
              <w:snapToGrid w:val="0"/>
              <w:spacing w:before="0" w:beforeAutospacing="0" w:after="0" w:afterAutospacing="0" w:line="360" w:lineRule="exact"/>
              <w:ind w:left="0" w:right="0"/>
              <w:jc w:val="center"/>
              <w:rPr>
                <w:rFonts w:ascii="Times New Roman" w:hAnsi="Times New Roman" w:eastAsia="宋体" w:cs="Times New Roman"/>
                <w:color w:val="auto"/>
                <w:kern w:val="0"/>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1668" w:type="dxa"/>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规划及规划环境</w:t>
            </w:r>
          </w:p>
          <w:p>
            <w:pPr>
              <w:keepNext w:val="0"/>
              <w:keepLines w:val="0"/>
              <w:suppressLineNumbers w:val="0"/>
              <w:autoSpaceDE w:val="0"/>
              <w:autoSpaceDN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影响评价符合性分析</w:t>
            </w:r>
          </w:p>
        </w:tc>
        <w:tc>
          <w:tcPr>
            <w:tcW w:w="7202" w:type="dxa"/>
            <w:gridSpan w:val="3"/>
            <w:noWrap w:val="0"/>
            <w:vAlign w:val="center"/>
          </w:tcPr>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400" w:lineRule="exact"/>
              <w:ind w:left="0" w:right="0" w:firstLine="480" w:firstLineChars="200"/>
              <w:jc w:val="left"/>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1、</w:t>
            </w:r>
            <w:r>
              <w:rPr>
                <w:rFonts w:hint="eastAsia" w:ascii="Calibri" w:hAnsi="Calibri" w:eastAsia="宋体" w:cs="Times New Roman"/>
                <w:color w:val="auto"/>
                <w:sz w:val="24"/>
                <w:szCs w:val="24"/>
                <w:lang w:val="en-US" w:eastAsia="zh-CN"/>
              </w:rPr>
              <w:t>园区规划符合性分析</w:t>
            </w:r>
          </w:p>
          <w:p>
            <w:pPr>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480" w:firstLineChars="200"/>
              <w:jc w:val="left"/>
              <w:textAlignment w:val="auto"/>
              <w:rPr>
                <w:rFonts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lang w:val="en-US" w:eastAsia="zh-CN"/>
              </w:rPr>
              <w:t>唐山海港经济开发区</w:t>
            </w:r>
            <w:r>
              <w:rPr>
                <w:rFonts w:ascii="Times New Roman" w:hAnsi="Times New Roman" w:eastAsia="宋体" w:cs="Times New Roman"/>
                <w:color w:val="auto"/>
                <w:sz w:val="24"/>
                <w:szCs w:val="24"/>
                <w:highlight w:val="none"/>
              </w:rPr>
              <w:t>规划期限为2018-2030年</w:t>
            </w:r>
            <w:r>
              <w:rPr>
                <w:rFonts w:hint="eastAsia" w:ascii="Times New Roman" w:hAnsi="Times New Roman" w:eastAsia="宋体" w:cs="Times New Roman"/>
                <w:color w:val="auto"/>
                <w:sz w:val="24"/>
                <w:szCs w:val="24"/>
                <w:highlight w:val="none"/>
                <w:lang w:eastAsia="zh-CN"/>
              </w:rPr>
              <w:t>，</w:t>
            </w:r>
            <w:r>
              <w:rPr>
                <w:rFonts w:ascii="Times New Roman" w:hAnsi="Times New Roman" w:eastAsia="宋体" w:cs="Times New Roman"/>
                <w:color w:val="auto"/>
                <w:sz w:val="24"/>
                <w:szCs w:val="24"/>
                <w:highlight w:val="none"/>
              </w:rPr>
              <w:t>其中基准年为2017年，近期2018-2022年，远期为2023-2030年。规划范围北至沿海公路新线，东至唐港高速公路及延长线，西至小河子，南至9号路及渤海，规划总面积69.49平方公里。</w:t>
            </w:r>
          </w:p>
          <w:p>
            <w:pPr>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480" w:firstLineChars="200"/>
              <w:jc w:val="left"/>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规划</w:t>
            </w:r>
            <w:r>
              <w:rPr>
                <w:rFonts w:hint="default" w:ascii="Times New Roman" w:hAnsi="Times New Roman" w:eastAsia="宋体" w:cs="Times New Roman"/>
                <w:color w:val="auto"/>
                <w:sz w:val="24"/>
                <w:szCs w:val="24"/>
                <w:highlight w:val="none"/>
                <w:lang w:val="en-US" w:eastAsia="zh-CN"/>
              </w:rPr>
              <w:t>以化工（煤化工深加工及综合利用）、机械制造、钢材及钢材深加工为主导发展产业。其中化工产业是以焦化项目为基础，以清洁能源、有机原料和合成材料为主体，发展特色化工新材料；钢材及钢材深加工产业是在承接唐山市重点钢铁企业转型升级的基础上，发展钢焦一体产业及钢材新材料。</w:t>
            </w:r>
          </w:p>
          <w:p>
            <w:pPr>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480" w:firstLineChars="200"/>
              <w:jc w:val="left"/>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开发区总体布局：规划构筑“一心三区”的组团式空间布局结构。</w:t>
            </w:r>
          </w:p>
          <w:p>
            <w:pPr>
              <w:keepNext w:val="0"/>
              <w:keepLines w:val="0"/>
              <w:pageBreakBefore w:val="0"/>
              <w:widowControl w:val="0"/>
              <w:suppressLineNumbers w:val="0"/>
              <w:kinsoku/>
              <w:wordWrap/>
              <w:overflowPunct/>
              <w:topLinePunct w:val="0"/>
              <w:bidi w:val="0"/>
              <w:spacing w:before="0" w:beforeAutospacing="0" w:after="0" w:afterAutospacing="0" w:line="400" w:lineRule="exact"/>
              <w:ind w:left="0" w:right="0" w:firstLine="480" w:firstLineChars="200"/>
              <w:jc w:val="left"/>
              <w:textAlignment w:val="auto"/>
              <w:rPr>
                <w:rFonts w:hint="default" w:ascii="Times New Roman" w:hAnsi="Times New Roman" w:eastAsia="宋体" w:cs="Times New Roman"/>
                <w:color w:val="auto"/>
                <w:sz w:val="24"/>
                <w:szCs w:val="24"/>
                <w:highlight w:val="none"/>
              </w:rPr>
            </w:pPr>
            <w:r>
              <w:rPr>
                <w:rFonts w:hint="default" w:ascii="Times New Roman" w:hAnsi="Times New Roman" w:eastAsia="宋体" w:cs="Times New Roman"/>
                <w:color w:val="auto"/>
                <w:sz w:val="24"/>
                <w:szCs w:val="24"/>
                <w:highlight w:val="none"/>
              </w:rPr>
              <w:t>“一心”：指在港福街西段的湖林新河周边一带，充分利用湖林新河的良好自然景观，打造集行政、商业、文化、体育等功能的综合性公共服务中心，带动生活服务用地向西、向北发展，对接曹妃甸新城。</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rPr>
              <w:t>“三区”：指结合开发区发展特点、现状基础和区域功能格局，进一步构建功能较集中的组团式布局，形成三大片区：东部的工业片区、南部的物流片区和西部的办公金融服务区。海港开发区的工业用地，集中布置在海港大道（12号路）以东和港乐街以北的区域内，并以二排干和港乐街为界，形成东北部、东部和中部三个工业组团。东北部组团重点发展钢材及钢材深加工，以三类工业为主；东部组团重点发展化工产业，以三类工业为主；中部组团重点发展机械制造产业，以二类工业为主</w:t>
            </w:r>
            <w:r>
              <w:rPr>
                <w:rFonts w:hint="default" w:ascii="Times New Roman" w:hAnsi="Times New Roman" w:eastAsia="宋体" w:cs="Times New Roman"/>
                <w:color w:val="auto"/>
                <w:sz w:val="24"/>
                <w:szCs w:val="24"/>
                <w:highlight w:val="none"/>
                <w:lang w:eastAsia="zh-CN"/>
              </w:rPr>
              <w:t>。</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val="en-US" w:eastAsia="zh-CN"/>
              </w:rPr>
              <w:t>依据</w:t>
            </w:r>
            <w:r>
              <w:rPr>
                <w:rFonts w:hint="default" w:ascii="Times New Roman" w:hAnsi="Times New Roman" w:eastAsia="宋体" w:cs="Times New Roman"/>
                <w:color w:val="auto"/>
                <w:sz w:val="24"/>
                <w:szCs w:val="24"/>
                <w:highlight w:val="none"/>
                <w:lang w:eastAsia="zh-CN"/>
              </w:rPr>
              <w:t>《河北唐山海港经济开发区总体规划环境影响报告书》，按照循环经济要求，鼓励能够满足开发区发展的补链需要的企业入驻。进区企业生产的产品或副产品应当是区内其它企业的原材料或中间体等，或者上游企业的“废物”是下游企业的原材料，通过企业间副产物与“废物”的交换、能量和水的逐级利用等形成比较完整的闭合工业生态系统。</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eastAsia" w:ascii="Calibri" w:hAnsi="Calibri" w:eastAsia="宋体" w:cs="Times New Roman"/>
                <w:color w:val="auto"/>
                <w:sz w:val="24"/>
                <w:szCs w:val="24"/>
                <w:highlight w:val="none"/>
                <w:lang w:eastAsia="zh-CN"/>
              </w:rPr>
            </w:pPr>
            <w:r>
              <w:rPr>
                <w:rFonts w:hint="default" w:ascii="Times New Roman" w:hAnsi="Times New Roman" w:eastAsia="宋体" w:cs="Times New Roman"/>
                <w:color w:val="auto"/>
                <w:sz w:val="24"/>
                <w:szCs w:val="24"/>
                <w:highlight w:val="none"/>
                <w:lang w:eastAsia="zh-CN"/>
              </w:rPr>
              <w:t>本项目为煤炭、矿石廊道运输项目，本项目管带机输送线起点为京唐港首钢矿石码头、</w:t>
            </w:r>
            <w:r>
              <w:rPr>
                <w:rFonts w:hint="default" w:ascii="Times New Roman" w:hAnsi="Times New Roman" w:eastAsia="宋体" w:cs="Times New Roman"/>
                <w:color w:val="auto"/>
                <w:sz w:val="24"/>
                <w:szCs w:val="24"/>
                <w:highlight w:val="none"/>
                <w:lang w:val="en-US" w:eastAsia="zh-CN"/>
              </w:rPr>
              <w:t>36#、37#泊位</w:t>
            </w:r>
            <w:r>
              <w:rPr>
                <w:rFonts w:hint="default" w:ascii="Times New Roman" w:hAnsi="Times New Roman" w:eastAsia="宋体" w:cs="Times New Roman"/>
                <w:color w:val="auto"/>
                <w:sz w:val="24"/>
                <w:szCs w:val="24"/>
                <w:highlight w:val="none"/>
                <w:lang w:eastAsia="zh-CN"/>
              </w:rPr>
              <w:t>，终点为</w:t>
            </w:r>
            <w:r>
              <w:rPr>
                <w:rFonts w:hint="default" w:ascii="Times New Roman" w:hAnsi="Times New Roman" w:eastAsia="宋体" w:cs="Times New Roman"/>
                <w:color w:val="auto"/>
                <w:sz w:val="24"/>
                <w:szCs w:val="24"/>
                <w:highlight w:val="none"/>
                <w:lang w:val="en-US" w:eastAsia="zh-CN"/>
              </w:rPr>
              <w:t>管道机廊道项目</w:t>
            </w:r>
            <w:r>
              <w:rPr>
                <w:rFonts w:hint="default" w:ascii="Times New Roman" w:hAnsi="Times New Roman" w:eastAsia="宋体" w:cs="Times New Roman"/>
                <w:color w:val="auto"/>
                <w:sz w:val="24"/>
                <w:szCs w:val="24"/>
                <w:highlight w:val="none"/>
                <w:lang w:eastAsia="zh-CN"/>
              </w:rPr>
              <w:t>，总输送距离约</w:t>
            </w:r>
            <w:r>
              <w:rPr>
                <w:rFonts w:hint="eastAsia" w:ascii="Times New Roman" w:hAnsi="Times New Roman" w:cs="Times New Roman"/>
                <w:color w:val="auto"/>
                <w:sz w:val="24"/>
                <w:szCs w:val="24"/>
                <w:highlight w:val="none"/>
                <w:lang w:val="en-US" w:eastAsia="zh-CN"/>
              </w:rPr>
              <w:t>5</w:t>
            </w:r>
            <w:r>
              <w:rPr>
                <w:rFonts w:hint="default" w:ascii="Times New Roman" w:hAnsi="Times New Roman" w:eastAsia="宋体" w:cs="Times New Roman"/>
                <w:color w:val="auto"/>
                <w:sz w:val="24"/>
                <w:szCs w:val="24"/>
                <w:highlight w:val="none"/>
                <w:lang w:eastAsia="zh-CN"/>
              </w:rPr>
              <w:t>km，旨在保证搬迁至开发区的钢铁、焦化公司所需矿石、煤炭等大宗物料能够正常运输至各企业，符合产业布局要求。项目总占地面积为</w:t>
            </w:r>
            <w:r>
              <w:rPr>
                <w:rFonts w:hint="default" w:ascii="Times New Roman" w:hAnsi="Times New Roman" w:eastAsia="宋体" w:cs="Times New Roman"/>
                <w:color w:val="auto"/>
                <w:sz w:val="24"/>
                <w:szCs w:val="24"/>
                <w:highlight w:val="none"/>
                <w:lang w:val="en-US" w:eastAsia="zh-CN"/>
              </w:rPr>
              <w:t>90359</w:t>
            </w:r>
            <w:r>
              <w:rPr>
                <w:rFonts w:hint="default" w:ascii="Times New Roman" w:hAnsi="Times New Roman" w:eastAsia="宋体" w:cs="Times New Roman"/>
                <w:color w:val="auto"/>
                <w:sz w:val="24"/>
                <w:szCs w:val="24"/>
                <w:highlight w:val="none"/>
                <w:lang w:eastAsia="zh-CN"/>
              </w:rPr>
              <w:t>m</w:t>
            </w:r>
            <w:r>
              <w:rPr>
                <w:rFonts w:hint="default" w:ascii="Times New Roman" w:hAnsi="Times New Roman" w:eastAsia="宋体" w:cs="Times New Roman"/>
                <w:color w:val="auto"/>
                <w:sz w:val="24"/>
                <w:szCs w:val="24"/>
                <w:highlight w:val="none"/>
                <w:vertAlign w:val="superscript"/>
                <w:lang w:eastAsia="zh-CN"/>
              </w:rPr>
              <w:t>2</w:t>
            </w:r>
            <w:r>
              <w:rPr>
                <w:rFonts w:hint="default" w:ascii="Times New Roman" w:hAnsi="Times New Roman" w:eastAsia="宋体" w:cs="Times New Roman"/>
                <w:color w:val="auto"/>
                <w:sz w:val="24"/>
                <w:szCs w:val="24"/>
                <w:highlight w:val="none"/>
                <w:lang w:eastAsia="zh-CN"/>
              </w:rPr>
              <w:t>，根据唐山市自然资源和规划局海港经济开发区分局关于唐山环港廊道港区连接线项目用地情况说明可知，项目占地符合唐山海港经济开发区国土空间总体规划；项目满足规划环评提出的环境准入清单要求，且满足《产业结构调</w:t>
            </w:r>
            <w:r>
              <w:rPr>
                <w:rFonts w:hint="eastAsia" w:ascii="Calibri" w:hAnsi="Calibri" w:eastAsia="宋体" w:cs="Times New Roman"/>
                <w:color w:val="auto"/>
                <w:sz w:val="24"/>
                <w:szCs w:val="24"/>
                <w:highlight w:val="none"/>
                <w:lang w:eastAsia="zh-CN"/>
              </w:rPr>
              <w:t>整指导目录（20</w:t>
            </w:r>
            <w:r>
              <w:rPr>
                <w:rFonts w:hint="eastAsia" w:ascii="Calibri" w:hAnsi="Calibri" w:eastAsia="宋体" w:cs="Times New Roman"/>
                <w:color w:val="auto"/>
                <w:sz w:val="24"/>
                <w:szCs w:val="24"/>
                <w:highlight w:val="none"/>
                <w:lang w:val="en-US" w:eastAsia="zh-CN"/>
              </w:rPr>
              <w:t>24</w:t>
            </w:r>
            <w:r>
              <w:rPr>
                <w:rFonts w:hint="eastAsia" w:ascii="Calibri" w:hAnsi="Calibri" w:eastAsia="宋体" w:cs="Times New Roman"/>
                <w:color w:val="auto"/>
                <w:sz w:val="24"/>
                <w:szCs w:val="24"/>
                <w:highlight w:val="none"/>
                <w:lang w:eastAsia="zh-CN"/>
              </w:rPr>
              <w:t>年本）》等文件的规定要求，并取得唐山市自然资源和规划局海港经济开发区分局关于唐山环港廊道港区连接线项目用地情况说明。因此，项目选址符合河北唐山海港经济开发区总体规划和土地利用规划要求。</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color w:val="auto"/>
                <w:kern w:val="0"/>
                <w:sz w:val="24"/>
                <w:szCs w:val="24"/>
                <w:highlight w:val="none"/>
                <w:lang w:val="en-US" w:eastAsia="zh-CN"/>
              </w:rPr>
            </w:pPr>
            <w:r>
              <w:rPr>
                <w:rFonts w:hint="eastAsia" w:ascii="Times New Roman" w:hAnsi="Times New Roman" w:eastAsia="宋体" w:cs="Times New Roman"/>
                <w:color w:val="auto"/>
                <w:kern w:val="0"/>
                <w:sz w:val="24"/>
                <w:szCs w:val="24"/>
                <w:highlight w:val="none"/>
                <w:lang w:val="en-US" w:eastAsia="zh-CN"/>
              </w:rPr>
              <w:t>2、园区规划环评结论及审查意见符合性分析</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color w:val="auto"/>
                <w:kern w:val="0"/>
                <w:sz w:val="24"/>
                <w:szCs w:val="24"/>
              </w:rPr>
            </w:pPr>
            <w:r>
              <w:rPr>
                <w:rFonts w:hint="eastAsia" w:ascii="Times New Roman" w:hAnsi="Times New Roman" w:eastAsia="宋体" w:cs="Times New Roman"/>
                <w:color w:val="auto"/>
                <w:kern w:val="0"/>
                <w:sz w:val="24"/>
                <w:szCs w:val="24"/>
                <w:highlight w:val="none"/>
                <w:lang w:val="en-US" w:eastAsia="zh-CN"/>
              </w:rPr>
              <w:t>依据</w:t>
            </w:r>
            <w:r>
              <w:rPr>
                <w:rFonts w:hint="eastAsia" w:ascii="Times New Roman" w:hAnsi="Times New Roman" w:eastAsia="宋体" w:cs="Times New Roman"/>
                <w:color w:val="auto"/>
                <w:kern w:val="0"/>
                <w:sz w:val="24"/>
                <w:szCs w:val="24"/>
                <w:highlight w:val="none"/>
                <w:lang w:eastAsia="zh-CN"/>
              </w:rPr>
              <w:t>《河北唐山海港经济开发区总体规划环境影响报告书</w:t>
            </w:r>
            <w:r>
              <w:rPr>
                <w:rFonts w:hint="eastAsia" w:ascii="Times New Roman" w:hAnsi="Times New Roman" w:eastAsia="宋体" w:cs="Times New Roman"/>
                <w:color w:val="auto"/>
                <w:kern w:val="0"/>
                <w:sz w:val="24"/>
                <w:szCs w:val="24"/>
                <w:lang w:eastAsia="zh-CN"/>
              </w:rPr>
              <w:t>》及其</w:t>
            </w:r>
            <w:r>
              <w:rPr>
                <w:rFonts w:hint="default" w:ascii="Times New Roman" w:hAnsi="Times New Roman" w:eastAsia="宋体" w:cs="Times New Roman"/>
                <w:color w:val="auto"/>
                <w:kern w:val="0"/>
                <w:sz w:val="24"/>
                <w:szCs w:val="24"/>
              </w:rPr>
              <w:t>审</w:t>
            </w:r>
            <w:r>
              <w:rPr>
                <w:rFonts w:hint="default" w:ascii="Times New Roman" w:hAnsi="Times New Roman" w:eastAsia="宋体" w:cs="Times New Roman"/>
                <w:color w:val="auto"/>
                <w:kern w:val="0"/>
                <w:sz w:val="24"/>
                <w:szCs w:val="24"/>
                <w:highlight w:val="none"/>
              </w:rPr>
              <w:t>查意见（</w:t>
            </w:r>
            <w:r>
              <w:rPr>
                <w:rFonts w:hint="default" w:ascii="Times New Roman" w:hAnsi="Times New Roman" w:eastAsia="宋体" w:cs="Times New Roman"/>
                <w:color w:val="auto"/>
                <w:kern w:val="0"/>
                <w:sz w:val="24"/>
                <w:szCs w:val="24"/>
                <w:highlight w:val="none"/>
                <w:lang w:val="en-US" w:eastAsia="zh-CN"/>
              </w:rPr>
              <w:t>冀环环评函[2019]1012号</w:t>
            </w:r>
            <w:r>
              <w:rPr>
                <w:rFonts w:hint="default" w:ascii="Times New Roman" w:hAnsi="Times New Roman" w:eastAsia="宋体" w:cs="Times New Roman"/>
                <w:color w:val="auto"/>
                <w:kern w:val="0"/>
                <w:sz w:val="24"/>
                <w:szCs w:val="24"/>
                <w:highlight w:val="none"/>
              </w:rPr>
              <w:t>），</w:t>
            </w:r>
            <w:r>
              <w:rPr>
                <w:rFonts w:hint="default" w:ascii="Times New Roman" w:hAnsi="Times New Roman" w:eastAsia="宋体" w:cs="Times New Roman"/>
                <w:color w:val="auto"/>
                <w:kern w:val="0"/>
                <w:sz w:val="24"/>
                <w:szCs w:val="24"/>
              </w:rPr>
              <w:t>本项目</w:t>
            </w:r>
            <w:r>
              <w:rPr>
                <w:rFonts w:hint="eastAsia" w:ascii="Times New Roman" w:hAnsi="Times New Roman" w:eastAsia="宋体" w:cs="Times New Roman"/>
                <w:color w:val="auto"/>
                <w:kern w:val="0"/>
                <w:sz w:val="24"/>
                <w:szCs w:val="24"/>
                <w:lang w:eastAsia="zh-CN"/>
              </w:rPr>
              <w:t>与</w:t>
            </w:r>
            <w:r>
              <w:rPr>
                <w:rFonts w:hint="default" w:ascii="Times New Roman" w:hAnsi="Times New Roman" w:eastAsia="宋体" w:cs="Times New Roman"/>
                <w:color w:val="auto"/>
                <w:kern w:val="0"/>
                <w:sz w:val="24"/>
                <w:szCs w:val="24"/>
              </w:rPr>
              <w:t>规划环评相符性分析见</w:t>
            </w:r>
            <w:r>
              <w:rPr>
                <w:rFonts w:hint="eastAsia" w:ascii="Times New Roman" w:hAnsi="Times New Roman" w:eastAsia="宋体" w:cs="Times New Roman"/>
                <w:color w:val="auto"/>
                <w:kern w:val="0"/>
                <w:sz w:val="24"/>
                <w:szCs w:val="24"/>
                <w:lang w:eastAsia="zh-CN"/>
              </w:rPr>
              <w:t>下表</w:t>
            </w:r>
            <w:r>
              <w:rPr>
                <w:rFonts w:hint="default" w:ascii="Times New Roman" w:hAnsi="Times New Roman" w:eastAsia="宋体" w:cs="Times New Roman"/>
                <w:color w:val="auto"/>
                <w:kern w:val="0"/>
                <w:sz w:val="24"/>
                <w:szCs w:val="24"/>
              </w:rPr>
              <w:t>。</w:t>
            </w:r>
          </w:p>
          <w:p>
            <w:pPr>
              <w:keepNext w:val="0"/>
              <w:keepLines w:val="0"/>
              <w:suppressLineNumbers w:val="0"/>
              <w:autoSpaceDE w:val="0"/>
              <w:autoSpaceDN w:val="0"/>
              <w:adjustRightInd w:val="0"/>
              <w:snapToGrid w:val="0"/>
              <w:spacing w:before="0" w:beforeAutospacing="0" w:after="0" w:afterAutospacing="0" w:line="360" w:lineRule="exact"/>
              <w:ind w:left="0" w:right="0"/>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color w:val="auto"/>
                <w:szCs w:val="21"/>
              </w:rPr>
              <w:t>表1-</w:t>
            </w:r>
            <w:r>
              <w:rPr>
                <w:rFonts w:hint="eastAsia" w:ascii="Times New Roman" w:hAnsi="Times New Roman" w:eastAsia="宋体" w:cs="Times New Roman"/>
                <w:b/>
                <w:color w:val="auto"/>
                <w:szCs w:val="21"/>
                <w:lang w:val="en-US" w:eastAsia="zh-CN"/>
              </w:rPr>
              <w:t>3</w:t>
            </w:r>
            <w:r>
              <w:rPr>
                <w:rFonts w:hint="default" w:ascii="Times New Roman" w:hAnsi="Times New Roman" w:eastAsia="宋体" w:cs="Times New Roman"/>
                <w:b/>
                <w:color w:val="auto"/>
                <w:szCs w:val="21"/>
              </w:rPr>
              <w:t xml:space="preserve">   </w:t>
            </w:r>
            <w:r>
              <w:rPr>
                <w:rFonts w:hint="default" w:ascii="Times New Roman" w:hAnsi="Times New Roman" w:eastAsia="宋体" w:cs="Times New Roman"/>
                <w:b/>
                <w:color w:val="auto"/>
                <w:szCs w:val="21"/>
                <w:highlight w:val="none"/>
              </w:rPr>
              <w:t xml:space="preserve">  本项目与规划</w:t>
            </w:r>
            <w:r>
              <w:rPr>
                <w:rFonts w:hint="default" w:ascii="Times New Roman" w:hAnsi="Times New Roman" w:eastAsia="宋体" w:cs="Times New Roman"/>
                <w:b/>
                <w:bCs/>
                <w:color w:val="auto"/>
                <w:szCs w:val="21"/>
                <w:highlight w:val="none"/>
              </w:rPr>
              <w:t>环评</w:t>
            </w:r>
            <w:r>
              <w:rPr>
                <w:rFonts w:hint="eastAsia" w:ascii="Times New Roman" w:hAnsi="Times New Roman" w:eastAsia="宋体" w:cs="Times New Roman"/>
                <w:b/>
                <w:bCs/>
                <w:color w:val="auto"/>
                <w:szCs w:val="21"/>
                <w:highlight w:val="none"/>
                <w:lang w:eastAsia="zh-CN"/>
              </w:rPr>
              <w:t>结论</w:t>
            </w:r>
            <w:r>
              <w:rPr>
                <w:rFonts w:hint="default" w:ascii="Times New Roman" w:hAnsi="Times New Roman" w:eastAsia="宋体" w:cs="Times New Roman"/>
                <w:b/>
                <w:bCs/>
                <w:color w:val="auto"/>
                <w:szCs w:val="21"/>
                <w:highlight w:val="none"/>
              </w:rPr>
              <w:t>符合性分析</w:t>
            </w:r>
          </w:p>
          <w:tbl>
            <w:tblPr>
              <w:tblStyle w:val="27"/>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548"/>
              <w:gridCol w:w="900"/>
              <w:gridCol w:w="3367"/>
              <w:gridCol w:w="1246"/>
              <w:gridCol w:w="89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default" w:ascii="Times New Roman" w:hAnsi="Times New Roman" w:eastAsia="宋体" w:cs="Times New Roman"/>
                      <w:b/>
                      <w:bCs w:val="0"/>
                      <w:color w:val="auto"/>
                      <w:szCs w:val="21"/>
                    </w:rPr>
                    <w:t>序号</w:t>
                  </w:r>
                </w:p>
              </w:tc>
              <w:tc>
                <w:tcPr>
                  <w:tcW w:w="3068" w:type="pct"/>
                  <w:gridSpan w:val="2"/>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eastAsia" w:ascii="Times New Roman" w:hAnsi="Times New Roman" w:eastAsia="宋体" w:cs="Times New Roman"/>
                      <w:b/>
                      <w:bCs w:val="0"/>
                      <w:color w:val="auto"/>
                      <w:szCs w:val="21"/>
                      <w:lang w:eastAsia="zh-CN"/>
                    </w:rPr>
                    <w:t>总体评价结论</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default" w:ascii="Times New Roman" w:hAnsi="Times New Roman" w:eastAsia="宋体" w:cs="Times New Roman"/>
                      <w:b/>
                      <w:bCs w:val="0"/>
                      <w:color w:val="auto"/>
                      <w:szCs w:val="21"/>
                    </w:rPr>
                    <w:t>本项目情况</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default" w:ascii="Times New Roman" w:hAnsi="Times New Roman" w:eastAsia="宋体" w:cs="Times New Roman"/>
                      <w:b/>
                      <w:bCs w:val="0"/>
                      <w:color w:val="auto"/>
                      <w:szCs w:val="21"/>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vMerge w:val="restar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1</w:t>
                  </w:r>
                </w:p>
              </w:tc>
              <w:tc>
                <w:tcPr>
                  <w:tcW w:w="647" w:type="pct"/>
                  <w:vMerge w:val="restar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val="en-US" w:eastAsia="zh-CN"/>
                    </w:rPr>
                    <w:t>规划方案的调整建议结论</w:t>
                  </w: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val="en-US" w:eastAsia="zh-CN"/>
                    </w:rPr>
                    <w:t>（1）水资源利用调整建议：为保护地下水资源，环评建议开发区除生活用水使用地下水外，其他用水采用地表水，再生水。鉴于开发区水资源短缺，环评建议开发区充分利用海水资源，远期建设海水淡化水厂一座，规模为2.0万m</w:t>
                  </w:r>
                  <w:r>
                    <w:rPr>
                      <w:rFonts w:hint="eastAsia" w:ascii="Times New Roman" w:hAnsi="Times New Roman" w:eastAsia="宋体" w:cs="Times New Roman"/>
                      <w:bCs/>
                      <w:color w:val="auto"/>
                      <w:szCs w:val="21"/>
                      <w:vertAlign w:val="superscript"/>
                      <w:lang w:val="en-US" w:eastAsia="zh-CN"/>
                    </w:rPr>
                    <w:t>3</w:t>
                  </w:r>
                  <w:r>
                    <w:rPr>
                      <w:rFonts w:hint="eastAsia" w:ascii="Times New Roman" w:hAnsi="Times New Roman" w:eastAsia="宋体" w:cs="Times New Roman"/>
                      <w:bCs/>
                      <w:color w:val="auto"/>
                      <w:szCs w:val="21"/>
                      <w:lang w:val="en-US" w:eastAsia="zh-CN"/>
                    </w:rPr>
                    <w:t>/d。</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本项目不开采地下水，生产生活用水由园区供应。</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rPr>
                  </w:pPr>
                </w:p>
              </w:tc>
              <w:tc>
                <w:tcPr>
                  <w:tcW w:w="647"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w:t>
                  </w:r>
                  <w:r>
                    <w:rPr>
                      <w:rFonts w:hint="eastAsia" w:ascii="Times New Roman" w:hAnsi="Times New Roman" w:eastAsia="宋体" w:cs="Times New Roman"/>
                      <w:bCs/>
                      <w:color w:val="auto"/>
                      <w:szCs w:val="21"/>
                      <w:lang w:val="en-US" w:eastAsia="zh-CN"/>
                    </w:rPr>
                    <w:t>2</w:t>
                  </w:r>
                  <w:r>
                    <w:rPr>
                      <w:rFonts w:hint="eastAsia" w:ascii="Times New Roman" w:hAnsi="Times New Roman" w:eastAsia="宋体" w:cs="Times New Roman"/>
                      <w:bCs/>
                      <w:color w:val="auto"/>
                      <w:szCs w:val="21"/>
                      <w:lang w:eastAsia="zh-CN"/>
                    </w:rPr>
                    <w:t>）</w:t>
                  </w:r>
                  <w:r>
                    <w:rPr>
                      <w:rFonts w:hint="eastAsia" w:ascii="Times New Roman" w:hAnsi="Times New Roman" w:eastAsia="宋体" w:cs="Times New Roman"/>
                      <w:bCs/>
                      <w:color w:val="auto"/>
                      <w:szCs w:val="21"/>
                      <w:lang w:val="en-US" w:eastAsia="zh-CN"/>
                    </w:rPr>
                    <w:t>污水处理厂调整建议：环评建议西部污水处理厂不再建设，</w:t>
                  </w:r>
                  <w:r>
                    <w:rPr>
                      <w:rFonts w:hint="eastAsia" w:cs="Times New Roman"/>
                      <w:bCs/>
                      <w:color w:val="auto"/>
                      <w:szCs w:val="21"/>
                      <w:lang w:val="en-US" w:eastAsia="zh-CN"/>
                    </w:rPr>
                    <w:t>湖</w:t>
                  </w:r>
                  <w:r>
                    <w:rPr>
                      <w:rFonts w:hint="eastAsia" w:ascii="Times New Roman" w:hAnsi="Times New Roman" w:eastAsia="宋体" w:cs="Times New Roman"/>
                      <w:bCs/>
                      <w:color w:val="auto"/>
                      <w:szCs w:val="21"/>
                      <w:lang w:val="en-US" w:eastAsia="zh-CN"/>
                    </w:rPr>
                    <w:t>林新河以西区域污水通过提升泵站进入东部污水处理厂处理。东部污水处理厂污水处理规模近期维持现状，配套深度处理装置规模近期扩大至5.0万m</w:t>
                  </w:r>
                  <w:r>
                    <w:rPr>
                      <w:rFonts w:hint="eastAsia" w:ascii="Times New Roman" w:hAnsi="Times New Roman" w:eastAsia="宋体" w:cs="Times New Roman"/>
                      <w:bCs/>
                      <w:color w:val="auto"/>
                      <w:szCs w:val="21"/>
                      <w:vertAlign w:val="superscript"/>
                      <w:lang w:val="en-US" w:eastAsia="zh-CN"/>
                    </w:rPr>
                    <w:t>3</w:t>
                  </w:r>
                  <w:r>
                    <w:rPr>
                      <w:rFonts w:hint="eastAsia" w:ascii="Times New Roman" w:hAnsi="Times New Roman" w:eastAsia="宋体" w:cs="Times New Roman"/>
                      <w:bCs/>
                      <w:color w:val="auto"/>
                      <w:szCs w:val="21"/>
                      <w:lang w:val="en-US" w:eastAsia="zh-CN"/>
                    </w:rPr>
                    <w:t>/d；远期扩建污水处理规模至8万m</w:t>
                  </w:r>
                  <w:r>
                    <w:rPr>
                      <w:rFonts w:hint="eastAsia" w:ascii="Times New Roman" w:hAnsi="Times New Roman" w:eastAsia="宋体" w:cs="Times New Roman"/>
                      <w:bCs/>
                      <w:color w:val="auto"/>
                      <w:szCs w:val="21"/>
                      <w:vertAlign w:val="superscript"/>
                      <w:lang w:val="en-US" w:eastAsia="zh-CN"/>
                    </w:rPr>
                    <w:t>3</w:t>
                  </w:r>
                  <w:r>
                    <w:rPr>
                      <w:rFonts w:hint="eastAsia" w:ascii="Times New Roman" w:hAnsi="Times New Roman" w:eastAsia="宋体" w:cs="Times New Roman"/>
                      <w:bCs/>
                      <w:color w:val="auto"/>
                      <w:szCs w:val="21"/>
                      <w:lang w:val="en-US" w:eastAsia="zh-CN"/>
                    </w:rPr>
                    <w:t>/d，配套再生水设施规模为7.5万m</w:t>
                  </w:r>
                  <w:r>
                    <w:rPr>
                      <w:rFonts w:hint="eastAsia" w:ascii="Times New Roman" w:hAnsi="Times New Roman" w:eastAsia="宋体" w:cs="Times New Roman"/>
                      <w:bCs/>
                      <w:color w:val="auto"/>
                      <w:szCs w:val="21"/>
                      <w:vertAlign w:val="superscript"/>
                      <w:lang w:val="en-US" w:eastAsia="zh-CN"/>
                    </w:rPr>
                    <w:t>3</w:t>
                  </w:r>
                  <w:r>
                    <w:rPr>
                      <w:rFonts w:hint="eastAsia" w:ascii="Times New Roman" w:hAnsi="Times New Roman" w:eastAsia="宋体" w:cs="Times New Roman"/>
                      <w:bCs/>
                      <w:color w:val="auto"/>
                      <w:szCs w:val="21"/>
                      <w:lang w:val="en-US" w:eastAsia="zh-CN"/>
                    </w:rPr>
                    <w:t>/d。</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highlight w:val="none"/>
                      <w:lang w:eastAsia="zh-CN"/>
                    </w:rPr>
                    <w:t>本项目生产废水循环使用，不外排</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不涉及</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rPr>
                  </w:pPr>
                </w:p>
              </w:tc>
              <w:tc>
                <w:tcPr>
                  <w:tcW w:w="647"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w:t>
                  </w:r>
                  <w:r>
                    <w:rPr>
                      <w:rFonts w:hint="eastAsia" w:ascii="Times New Roman" w:hAnsi="Times New Roman" w:eastAsia="宋体" w:cs="Times New Roman"/>
                      <w:bCs/>
                      <w:color w:val="auto"/>
                      <w:szCs w:val="21"/>
                      <w:lang w:val="en-US" w:eastAsia="zh-CN"/>
                    </w:rPr>
                    <w:t>3</w:t>
                  </w:r>
                  <w:r>
                    <w:rPr>
                      <w:rFonts w:hint="eastAsia" w:ascii="Times New Roman" w:hAnsi="Times New Roman" w:eastAsia="宋体" w:cs="Times New Roman"/>
                      <w:bCs/>
                      <w:color w:val="auto"/>
                      <w:szCs w:val="21"/>
                      <w:lang w:eastAsia="zh-CN"/>
                    </w:rPr>
                    <w:t>）</w:t>
                  </w:r>
                  <w:r>
                    <w:rPr>
                      <w:rFonts w:hint="eastAsia" w:ascii="Times New Roman" w:hAnsi="Times New Roman" w:eastAsia="宋体" w:cs="Times New Roman"/>
                      <w:bCs/>
                      <w:color w:val="auto"/>
                      <w:szCs w:val="21"/>
                      <w:lang w:val="en-US" w:eastAsia="zh-CN"/>
                    </w:rPr>
                    <w:t>公辅设施建设时序调整建议：结合规划分析结果，本评价建议优先建设园区配套的供水、污水处理及再生水回用管网等基础设施。开发区已经实现了现状的热电联产工程，不再新建集中供热锅炉。</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本项目厂址所在区域已接入园区供排水管网，供暖采用电取暖。</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rPr>
                  </w:pPr>
                </w:p>
              </w:tc>
              <w:tc>
                <w:tcPr>
                  <w:tcW w:w="647"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 xml:space="preserve">（4）规划布局调整建议：开发区建设不得增大化工园区面积。严格控制工业区边界外居民点向工业区方向发展，建议开发区内居民区向西发展，确保工业区内企业与敏感点保持足够的防护距离；同时建议在紧邻居住区的工业区边界设置50米绿化带，作为工业区与居住区的隔离带；结合小河子、湖林新河、一排干、二排干、小长河等布置防护绿地。 </w:t>
                  </w:r>
                </w:p>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湖林新河、小河子及小长河两侧控制20-50米防护绿带。</w:t>
                  </w:r>
                </w:p>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钢铁搬迁焦化厂区和河钢乐亭化工园区项目等重大污染源在布局时应远离大气保护目标，并根据项目环评结论设置大气环境防护距离，保证大气防护距离内无居民区、学校、医院等环境敏感目标。建议对已纳入规划的位于三类工业用地的建设项目，仍须按建设项目的管理要求进行评价，不得简化。</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本项目位于港口物流区，厂址远离居住区。</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rPr>
                  </w:pPr>
                </w:p>
              </w:tc>
              <w:tc>
                <w:tcPr>
                  <w:tcW w:w="647"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val="en-US" w:eastAsia="zh-CN"/>
                    </w:rPr>
                  </w:pPr>
                  <w:r>
                    <w:rPr>
                      <w:rFonts w:hint="default" w:ascii="Times New Roman" w:hAnsi="Times New Roman" w:eastAsia="宋体" w:cs="Times New Roman"/>
                      <w:bCs/>
                      <w:color w:val="auto"/>
                      <w:szCs w:val="21"/>
                      <w:lang w:val="en-US" w:eastAsia="zh-CN"/>
                    </w:rPr>
                    <w:t>（5）环境目标值调整建议：规划中没有对环境目标值进行设定，因此本次环评根据开发区的规划情况并结合实际，对环境目标值进行补充设定。主要包括废水集中处理率达到100%；工业水重复利用率≥85%；工业废气处理达标率100%；功能区噪声达标率 100%；固废综合利用率≥90%，不能综合利用的进行无害化处理。</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lang w:eastAsia="zh-CN"/>
                    </w:rPr>
                  </w:pPr>
                  <w:r>
                    <w:rPr>
                      <w:rFonts w:hint="eastAsia" w:cs="Times New Roman"/>
                      <w:bCs/>
                      <w:color w:val="auto"/>
                      <w:szCs w:val="21"/>
                      <w:lang w:val="en-US" w:eastAsia="zh-CN"/>
                    </w:rPr>
                    <w:t>本项目工业废水经沉淀池沉淀后回用于抑尘；废气处理及噪声均能达标；一般固废均综合利用，危险废物由有资质单位进行处理。</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870" w:hRule="atLeast"/>
                <w:jc w:val="center"/>
              </w:trPr>
              <w:tc>
                <w:tcPr>
                  <w:tcW w:w="394" w:type="pct"/>
                  <w:vMerge w:val="restar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2</w:t>
                  </w:r>
                </w:p>
              </w:tc>
              <w:tc>
                <w:tcPr>
                  <w:tcW w:w="647" w:type="pct"/>
                  <w:vMerge w:val="restar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val="en-US" w:eastAsia="zh-CN"/>
                    </w:rPr>
                    <w:t>开发区规划建议执行的“三线一单”结论</w:t>
                  </w: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val="en-US" w:eastAsia="zh-CN"/>
                    </w:rPr>
                    <w:t>（1）生态红线：海港经济开发区规划范围内无水源保护地的核心区、风景名胜区、森林公园等自然和人文景观保护区等生态红线。开发区规划边界距离湖林新河至新潮河岸段自然岸线最近距离45m，开发区规划范围不侵占生态保护红线。开发区规划实施过程中需严格控制开发边界，不得占用湖林新河至新潮河岸段自然岸线，不得新建陆源排污口。</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本项目选址不</w:t>
                  </w:r>
                  <w:r>
                    <w:rPr>
                      <w:rFonts w:hint="eastAsia" w:ascii="Times New Roman" w:hAnsi="Times New Roman" w:eastAsia="宋体" w:cs="Times New Roman"/>
                      <w:bCs/>
                      <w:color w:val="auto"/>
                      <w:szCs w:val="21"/>
                      <w:lang w:val="en-US" w:eastAsia="zh-CN"/>
                    </w:rPr>
                    <w:t>占用湖林新河至新潮河岸段自然岸线。</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570" w:hRule="atLeast"/>
                <w:jc w:val="center"/>
              </w:trPr>
              <w:tc>
                <w:tcPr>
                  <w:tcW w:w="394"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rPr>
                  </w:pPr>
                </w:p>
              </w:tc>
              <w:tc>
                <w:tcPr>
                  <w:tcW w:w="647"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val="en-US" w:eastAsia="zh-CN"/>
                    </w:rPr>
                  </w:pPr>
                  <w:r>
                    <w:rPr>
                      <w:rFonts w:hint="default" w:ascii="Times New Roman" w:hAnsi="Times New Roman" w:eastAsia="宋体" w:cs="Times New Roman"/>
                      <w:bCs/>
                      <w:color w:val="auto"/>
                      <w:szCs w:val="21"/>
                      <w:lang w:val="en-US" w:eastAsia="zh-CN"/>
                    </w:rPr>
                    <w:t>（2）环境质量底线：大气环境质量底线为符合《环境空气质量标准》（GB3095-2012）修改单二级标准。苯、二甲苯、硫化氢、甲醇、甲醛、氨、HCl等环境质量底线为符合《环境影响评价技术导则 大气环境》（HJ2.2-2018）附录D表D.1其他污染物空气质量浓度限值。非甲烷总烃符合《环境空气质量 非甲烷总烃限值》（DB13/1577-2012）表1中二级标准。二噁英符合环发[2008]82号文中年均浓度标准限值</w:t>
                  </w:r>
                  <w:r>
                    <w:rPr>
                      <w:rFonts w:hint="eastAsia" w:ascii="Times New Roman" w:hAnsi="Times New Roman" w:eastAsia="宋体" w:cs="Times New Roman"/>
                      <w:bCs/>
                      <w:color w:val="auto"/>
                      <w:szCs w:val="21"/>
                      <w:lang w:val="en-US" w:eastAsia="zh-CN"/>
                    </w:rPr>
                    <w:t>（</w:t>
                  </w:r>
                  <w:r>
                    <w:rPr>
                      <w:rFonts w:hint="default" w:ascii="Times New Roman" w:hAnsi="Times New Roman" w:eastAsia="宋体" w:cs="Times New Roman"/>
                      <w:bCs/>
                      <w:color w:val="auto"/>
                      <w:szCs w:val="21"/>
                      <w:lang w:val="en-US" w:eastAsia="zh-CN"/>
                    </w:rPr>
                    <w:t>0.6pgTEQ/Nm</w:t>
                  </w:r>
                  <w:r>
                    <w:rPr>
                      <w:rFonts w:hint="default" w:ascii="Times New Roman" w:hAnsi="Times New Roman" w:eastAsia="宋体" w:cs="Times New Roman"/>
                      <w:bCs/>
                      <w:color w:val="auto"/>
                      <w:szCs w:val="21"/>
                      <w:vertAlign w:val="superscript"/>
                      <w:lang w:val="en-US" w:eastAsia="zh-CN"/>
                    </w:rPr>
                    <w:t>3</w:t>
                  </w:r>
                  <w:r>
                    <w:rPr>
                      <w:rFonts w:hint="eastAsia" w:ascii="Times New Roman" w:hAnsi="Times New Roman" w:eastAsia="宋体" w:cs="Times New Roman"/>
                      <w:bCs/>
                      <w:color w:val="auto"/>
                      <w:szCs w:val="21"/>
                      <w:vertAlign w:val="baseline"/>
                      <w:lang w:val="en-US" w:eastAsia="zh-CN"/>
                    </w:rPr>
                    <w:t>）</w:t>
                  </w:r>
                  <w:r>
                    <w:rPr>
                      <w:rFonts w:hint="default" w:ascii="Times New Roman" w:hAnsi="Times New Roman" w:eastAsia="宋体" w:cs="Times New Roman"/>
                      <w:bCs/>
                      <w:color w:val="auto"/>
                      <w:szCs w:val="21"/>
                      <w:lang w:val="en-US" w:eastAsia="zh-CN"/>
                    </w:rPr>
                    <w:t>标准。</w:t>
                  </w:r>
                </w:p>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val="en-US" w:eastAsia="zh-CN"/>
                    </w:rPr>
                  </w:pPr>
                  <w:r>
                    <w:rPr>
                      <w:rFonts w:hint="default" w:ascii="Times New Roman" w:hAnsi="Times New Roman" w:eastAsia="宋体" w:cs="Times New Roman"/>
                      <w:bCs/>
                      <w:color w:val="auto"/>
                      <w:szCs w:val="21"/>
                      <w:lang w:val="en-US" w:eastAsia="zh-CN"/>
                    </w:rPr>
                    <w:t>地表水环境质量底线为符合《地表水环境质量标准》（GB3838-2002）中的Ⅴ类标准。</w:t>
                  </w:r>
                </w:p>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val="en-US" w:eastAsia="zh-CN"/>
                    </w:rPr>
                  </w:pPr>
                  <w:r>
                    <w:rPr>
                      <w:rFonts w:hint="default" w:ascii="Times New Roman" w:hAnsi="Times New Roman" w:eastAsia="宋体" w:cs="Times New Roman"/>
                      <w:bCs/>
                      <w:color w:val="auto"/>
                      <w:szCs w:val="21"/>
                      <w:lang w:val="en-US" w:eastAsia="zh-CN"/>
                    </w:rPr>
                    <w:t>地下水质量底线为符合《地下水质量标准》（GB/T14848-2017）中的Ⅴ类、Ⅲ类标准。</w:t>
                  </w:r>
                </w:p>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val="en-US" w:eastAsia="zh-CN"/>
                    </w:rPr>
                  </w:pPr>
                  <w:r>
                    <w:rPr>
                      <w:rFonts w:hint="default" w:ascii="Times New Roman" w:hAnsi="Times New Roman" w:eastAsia="宋体" w:cs="Times New Roman"/>
                      <w:bCs/>
                      <w:color w:val="auto"/>
                      <w:szCs w:val="21"/>
                      <w:lang w:val="en-US" w:eastAsia="zh-CN"/>
                    </w:rPr>
                    <w:t>声环境质量底线为符合《声环境质量标准》（GB3096-2008）中的相应功能区标准。</w:t>
                  </w:r>
                </w:p>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val="en-US" w:eastAsia="zh-CN"/>
                    </w:rPr>
                  </w:pPr>
                  <w:r>
                    <w:rPr>
                      <w:rFonts w:hint="default" w:ascii="Times New Roman" w:hAnsi="Times New Roman" w:eastAsia="宋体" w:cs="Times New Roman"/>
                      <w:bCs/>
                      <w:color w:val="auto"/>
                      <w:szCs w:val="21"/>
                      <w:lang w:val="en-US" w:eastAsia="zh-CN"/>
                    </w:rPr>
                    <w:t>海洋环境底线为符合《海水水质标准》（GB3097-1997）二类标准。</w:t>
                  </w:r>
                </w:p>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eastAsia="zh-CN"/>
                    </w:rPr>
                  </w:pPr>
                  <w:r>
                    <w:rPr>
                      <w:rFonts w:hint="default" w:ascii="Times New Roman" w:hAnsi="Times New Roman" w:eastAsia="宋体" w:cs="Times New Roman"/>
                      <w:bCs/>
                      <w:color w:val="auto"/>
                      <w:szCs w:val="21"/>
                      <w:lang w:val="en-US" w:eastAsia="zh-CN"/>
                    </w:rPr>
                    <w:t>土壤环境底线符合《土壤环境质量 建设用地土壤污染风险管控标准》（GB36600-2018）中的第二类用地标准。</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lang w:eastAsia="zh-CN"/>
                    </w:rPr>
                  </w:pPr>
                  <w:r>
                    <w:rPr>
                      <w:rFonts w:hint="default" w:ascii="Times New Roman" w:hAnsi="Times New Roman" w:eastAsia="宋体" w:cs="Times New Roman"/>
                      <w:bCs/>
                      <w:color w:val="auto"/>
                      <w:szCs w:val="21"/>
                      <w:highlight w:val="none"/>
                      <w:lang w:eastAsia="zh-CN"/>
                    </w:rPr>
                    <w:t>本项目所在区域环境质量均符合以上标准要求。</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820" w:hRule="atLeast"/>
                <w:jc w:val="center"/>
              </w:trPr>
              <w:tc>
                <w:tcPr>
                  <w:tcW w:w="394"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rPr>
                  </w:pPr>
                </w:p>
              </w:tc>
              <w:tc>
                <w:tcPr>
                  <w:tcW w:w="647" w:type="pct"/>
                  <w:vMerge w:val="continue"/>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p>
              </w:tc>
              <w:tc>
                <w:tcPr>
                  <w:tcW w:w="2420"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default" w:ascii="Times New Roman" w:hAnsi="Times New Roman" w:eastAsia="宋体" w:cs="Times New Roman"/>
                      <w:bCs/>
                      <w:color w:val="auto"/>
                      <w:szCs w:val="21"/>
                      <w:lang w:eastAsia="zh-CN"/>
                    </w:rPr>
                  </w:pPr>
                  <w:r>
                    <w:rPr>
                      <w:rFonts w:hint="default" w:ascii="Times New Roman" w:hAnsi="Times New Roman" w:eastAsia="宋体" w:cs="Times New Roman"/>
                      <w:bCs/>
                      <w:color w:val="auto"/>
                      <w:szCs w:val="21"/>
                      <w:lang w:val="en-US" w:eastAsia="zh-CN"/>
                    </w:rPr>
                    <w:t>（3）负面清单：严格执行本环评提出的开发区环境准入负面清单。</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lang w:eastAsia="zh-CN"/>
                    </w:rPr>
                  </w:pPr>
                  <w:r>
                    <w:rPr>
                      <w:rFonts w:hint="default" w:ascii="Times New Roman" w:hAnsi="Times New Roman" w:eastAsia="宋体" w:cs="Times New Roman"/>
                      <w:bCs/>
                      <w:color w:val="auto"/>
                      <w:szCs w:val="21"/>
                      <w:lang w:eastAsia="zh-CN"/>
                    </w:rPr>
                    <w:t>本项目不在负面清单内。</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bl>
          <w:p>
            <w:pPr>
              <w:keepNext w:val="0"/>
              <w:keepLines w:val="0"/>
              <w:suppressLineNumbers w:val="0"/>
              <w:autoSpaceDE w:val="0"/>
              <w:autoSpaceDN w:val="0"/>
              <w:adjustRightInd w:val="0"/>
              <w:snapToGrid w:val="0"/>
              <w:spacing w:before="0" w:beforeAutospacing="0" w:after="0" w:afterAutospacing="0" w:line="360" w:lineRule="exact"/>
              <w:ind w:left="0" w:right="0"/>
              <w:jc w:val="center"/>
              <w:rPr>
                <w:rFonts w:hint="default" w:ascii="Times New Roman" w:hAnsi="Times New Roman" w:eastAsia="宋体" w:cs="Times New Roman"/>
                <w:b/>
                <w:color w:val="auto"/>
                <w:szCs w:val="21"/>
              </w:rPr>
            </w:pPr>
          </w:p>
          <w:p>
            <w:pPr>
              <w:keepNext w:val="0"/>
              <w:keepLines w:val="0"/>
              <w:suppressLineNumbers w:val="0"/>
              <w:autoSpaceDE w:val="0"/>
              <w:autoSpaceDN w:val="0"/>
              <w:adjustRightInd w:val="0"/>
              <w:snapToGrid w:val="0"/>
              <w:spacing w:before="0" w:beforeAutospacing="0" w:after="0" w:afterAutospacing="0" w:line="360" w:lineRule="exact"/>
              <w:ind w:left="0" w:right="0"/>
              <w:jc w:val="center"/>
              <w:rPr>
                <w:rFonts w:hint="default" w:ascii="Times New Roman" w:hAnsi="Times New Roman" w:eastAsia="宋体" w:cs="Times New Roman"/>
                <w:b/>
                <w:bCs/>
                <w:color w:val="auto"/>
                <w:szCs w:val="21"/>
                <w:highlight w:val="none"/>
              </w:rPr>
            </w:pPr>
            <w:r>
              <w:rPr>
                <w:rFonts w:hint="default" w:ascii="Times New Roman" w:hAnsi="Times New Roman" w:eastAsia="宋体" w:cs="Times New Roman"/>
                <w:b/>
                <w:color w:val="auto"/>
                <w:szCs w:val="21"/>
              </w:rPr>
              <w:t>表1-</w:t>
            </w:r>
            <w:r>
              <w:rPr>
                <w:rFonts w:hint="eastAsia" w:ascii="Times New Roman" w:hAnsi="Times New Roman" w:eastAsia="宋体" w:cs="Times New Roman"/>
                <w:b/>
                <w:color w:val="auto"/>
                <w:szCs w:val="21"/>
                <w:lang w:val="en-US" w:eastAsia="zh-CN"/>
              </w:rPr>
              <w:t>4</w:t>
            </w:r>
            <w:r>
              <w:rPr>
                <w:rFonts w:hint="default" w:ascii="Times New Roman" w:hAnsi="Times New Roman" w:eastAsia="宋体" w:cs="Times New Roman"/>
                <w:b/>
                <w:color w:val="auto"/>
                <w:szCs w:val="21"/>
              </w:rPr>
              <w:t xml:space="preserve">   </w:t>
            </w:r>
            <w:r>
              <w:rPr>
                <w:rFonts w:hint="default" w:ascii="Times New Roman" w:hAnsi="Times New Roman" w:eastAsia="宋体" w:cs="Times New Roman"/>
                <w:b/>
                <w:color w:val="auto"/>
                <w:szCs w:val="21"/>
                <w:highlight w:val="none"/>
              </w:rPr>
              <w:t xml:space="preserve">  本项目与规划</w:t>
            </w:r>
            <w:r>
              <w:rPr>
                <w:rFonts w:hint="default" w:ascii="Times New Roman" w:hAnsi="Times New Roman" w:eastAsia="宋体" w:cs="Times New Roman"/>
                <w:b/>
                <w:bCs/>
                <w:color w:val="auto"/>
                <w:szCs w:val="21"/>
                <w:highlight w:val="none"/>
              </w:rPr>
              <w:t>环评</w:t>
            </w:r>
            <w:r>
              <w:rPr>
                <w:rFonts w:hint="eastAsia" w:ascii="Times New Roman" w:hAnsi="Times New Roman" w:eastAsia="宋体" w:cs="Times New Roman"/>
                <w:b/>
                <w:bCs/>
                <w:color w:val="auto"/>
                <w:szCs w:val="21"/>
                <w:highlight w:val="none"/>
                <w:lang w:eastAsia="zh-CN"/>
              </w:rPr>
              <w:t>审查意见</w:t>
            </w:r>
            <w:r>
              <w:rPr>
                <w:rFonts w:hint="default" w:ascii="Times New Roman" w:hAnsi="Times New Roman" w:eastAsia="宋体" w:cs="Times New Roman"/>
                <w:b/>
                <w:bCs/>
                <w:color w:val="auto"/>
                <w:szCs w:val="21"/>
                <w:highlight w:val="none"/>
              </w:rPr>
              <w:t>符合性分析</w:t>
            </w:r>
          </w:p>
          <w:tbl>
            <w:tblPr>
              <w:tblStyle w:val="27"/>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548"/>
              <w:gridCol w:w="4267"/>
              <w:gridCol w:w="1246"/>
              <w:gridCol w:w="89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default" w:ascii="Times New Roman" w:hAnsi="Times New Roman" w:eastAsia="宋体" w:cs="Times New Roman"/>
                      <w:b/>
                      <w:bCs w:val="0"/>
                      <w:color w:val="auto"/>
                      <w:szCs w:val="21"/>
                    </w:rPr>
                    <w:t>序号</w:t>
                  </w:r>
                </w:p>
              </w:tc>
              <w:tc>
                <w:tcPr>
                  <w:tcW w:w="3068"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eastAsia" w:ascii="Times New Roman" w:hAnsi="Times New Roman" w:eastAsia="宋体" w:cs="Times New Roman"/>
                      <w:b/>
                      <w:bCs w:val="0"/>
                      <w:color w:val="auto"/>
                      <w:szCs w:val="21"/>
                      <w:lang w:eastAsia="zh-CN"/>
                    </w:rPr>
                    <w:t>审查意见</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default" w:ascii="Times New Roman" w:hAnsi="Times New Roman" w:eastAsia="宋体" w:cs="Times New Roman"/>
                      <w:b/>
                      <w:bCs w:val="0"/>
                      <w:color w:val="auto"/>
                      <w:szCs w:val="21"/>
                    </w:rPr>
                    <w:t>本项目情况</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
                      <w:bCs w:val="0"/>
                      <w:color w:val="auto"/>
                      <w:szCs w:val="21"/>
                    </w:rPr>
                  </w:pPr>
                  <w:r>
                    <w:rPr>
                      <w:rFonts w:hint="default" w:ascii="Times New Roman" w:hAnsi="Times New Roman" w:eastAsia="宋体" w:cs="Times New Roman"/>
                      <w:b/>
                      <w:bCs w:val="0"/>
                      <w:color w:val="auto"/>
                      <w:szCs w:val="21"/>
                    </w:rPr>
                    <w:t>符合性</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1</w:t>
                  </w:r>
                </w:p>
              </w:tc>
              <w:tc>
                <w:tcPr>
                  <w:tcW w:w="3068"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val="en-US" w:eastAsia="zh-CN"/>
                    </w:rPr>
                    <w:t>严格环境准入，推动钢铁焦化产业转型升级和绿色发展鼓励钢铁企业并购重组焦化企业，推动焦炭产能向钢焦一体化发展。入区企业应符合《关于促进京津冀地区经济社会与生态环境保护协调发展的指导意见》（环办环评[2018]24号）、《产业结构调整指导目录》(2011年本）(2013年修订）、《河北省新增限制和淘汰类产业目录（2015年本）》（冀政办发〔2015〕7号）等文件规定要求，严格落实环评报告中空间管控和生态环境准入清单的要求。开发区内煤化工产业发展需符合（冀焦化调整[2019]11号）及《焦化行业准入条件（2014年修订）》的要求。钢铁企业在减量置换、装备升级、布局优化的前提下，以产品精品化为主攻方向，提高产品附加值，推动钢铁工业迈向中高端。开发区内焦化产能应低于708万吨/年，钢产能低于810万吨/年，铁产能低于884万吨/年。</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本项目不属于《产业结构调整指导目录》（20</w:t>
                  </w:r>
                  <w:r>
                    <w:rPr>
                      <w:rFonts w:hint="eastAsia" w:ascii="Times New Roman" w:hAnsi="Times New Roman" w:eastAsia="宋体" w:cs="Times New Roman"/>
                      <w:bCs/>
                      <w:color w:val="auto"/>
                      <w:szCs w:val="21"/>
                      <w:lang w:val="en-US" w:eastAsia="zh-CN"/>
                    </w:rPr>
                    <w:t>24</w:t>
                  </w:r>
                  <w:r>
                    <w:rPr>
                      <w:rFonts w:hint="eastAsia" w:ascii="Times New Roman" w:hAnsi="Times New Roman" w:eastAsia="宋体" w:cs="Times New Roman"/>
                      <w:bCs/>
                      <w:color w:val="auto"/>
                      <w:szCs w:val="21"/>
                      <w:lang w:eastAsia="zh-CN"/>
                    </w:rPr>
                    <w:t>年本）中鼓励类、淘汰类、限制类项目，属于允许类；不属于《河北省新增限制和淘汰类产业目录》（2015年版）中限制类和淘汰类项目；符合规划环评中空间管控和生态环境准入清单的要求。</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2</w:t>
                  </w:r>
                </w:p>
              </w:tc>
              <w:tc>
                <w:tcPr>
                  <w:tcW w:w="3068"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val="en-US" w:eastAsia="zh-CN"/>
                    </w:rPr>
                    <w:t>加强总量管控，促进环境质量改善。按照最不利条件并预留一定安全余量的原则，提出的污染物排放总量控制上线作为开发区污染物总量管控限值。严格落实评价范围内污染物削减方案，并不断提升技术工艺及节能节水控污水平，不断改善环境质量。</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本项目各污染物均达标排放，项目将严格落实污染物削减方案。</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3</w:t>
                  </w:r>
                </w:p>
              </w:tc>
              <w:tc>
                <w:tcPr>
                  <w:tcW w:w="3068"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left"/>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eastAsia="zh-CN"/>
                    </w:rPr>
                    <w:t>加强规划环评与项目环评联动，切实发挥规划和项目环评预防环境污染和生态破坏的作用。项目环评文件应落实规划环评提出的各项要求，选址符合性分析、区域大气环境容量、配套基础设施可行性可适当简化；重点开展项目准入条件符合性工程分析、布局合理性、环保措施的可行性论证、污染物排放量与总量控制指标、大气环境防护距离符合性、清洁生产水平分析，并关注开发区基础设施及应急体系保障能力，强化环境监测和环境保护相关措施的落实。</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eastAsia="zh-CN"/>
                    </w:rPr>
                    <w:t>本项目严格落实规划环评提出的各项要求，重点对项目准入条件的符合性、布局的合理性、环保措施的可行性论证、污染物排放量与总量控制指标以及清洁生产水平等环境进行分析，对重点开展环节进行了分析，提出了环境监测和环境</w:t>
                  </w:r>
                  <w:r>
                    <w:rPr>
                      <w:rFonts w:hint="eastAsia" w:ascii="Times New Roman" w:hAnsi="Times New Roman" w:eastAsia="宋体" w:cs="Times New Roman"/>
                      <w:bCs/>
                      <w:color w:val="auto"/>
                      <w:szCs w:val="21"/>
                      <w:lang w:val="en-US" w:eastAsia="zh-CN"/>
                    </w:rPr>
                    <w:t>监督检查清单</w:t>
                  </w:r>
                  <w:r>
                    <w:rPr>
                      <w:rFonts w:hint="eastAsia" w:ascii="Times New Roman" w:hAnsi="Times New Roman" w:eastAsia="宋体" w:cs="Times New Roman"/>
                      <w:bCs/>
                      <w:color w:val="auto"/>
                      <w:szCs w:val="21"/>
                      <w:lang w:eastAsia="zh-CN"/>
                    </w:rPr>
                    <w:t>。</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4</w:t>
                  </w:r>
                </w:p>
              </w:tc>
              <w:tc>
                <w:tcPr>
                  <w:tcW w:w="3068"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注重开发区发展与区域资源承载力相协调，统筹规划建设开发区配套的基础设施。开发区应逐步减少区域地下水资源的开发利用量，除生活用水使用地下水外，生产用水不得再取用地下水。生产及其它用水可采用第三水厂（唐山浩淼水务有限公司）地表水、污水处理厂再生水及海水淡化水。开发区东区污水处理厂现状设计处理规模为5.0万立方米/天，建议西部污水处理厂不再建设，湖林新河以西区域污水通过提升泵站进入东部污水处理厂处理。开发区由大唐王滩电厂现有热电项目集中供热，不得自建燃煤锅炉。进一步推动“公转铁”，大宗物料和产品采用铁路水路、管道或管状带式输送机等清洁方式运输比例不低于80%，汽车运输部分应采用新能源汽车或达到国六排放标准的汽车，禁止使用柴油车及国五标准以下汽车。</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本项目用水引自开发区供水管网。</w:t>
                  </w:r>
                  <w:r>
                    <w:rPr>
                      <w:rFonts w:hint="eastAsia" w:ascii="Times New Roman" w:hAnsi="Times New Roman" w:eastAsia="宋体" w:cs="Times New Roman"/>
                      <w:bCs/>
                      <w:color w:val="auto"/>
                      <w:szCs w:val="21"/>
                      <w:lang w:val="en-US" w:eastAsia="zh-CN"/>
                    </w:rPr>
                    <w:t>生产废水循环利用不外排；</w:t>
                  </w:r>
                  <w:r>
                    <w:rPr>
                      <w:rFonts w:hint="eastAsia" w:ascii="Times New Roman" w:hAnsi="Times New Roman" w:eastAsia="宋体" w:cs="Times New Roman"/>
                      <w:bCs/>
                      <w:color w:val="auto"/>
                      <w:szCs w:val="21"/>
                      <w:highlight w:val="none"/>
                      <w:lang w:eastAsia="zh-CN"/>
                    </w:rPr>
                    <w:t>生产车间不使用热源，</w:t>
                  </w:r>
                  <w:r>
                    <w:rPr>
                      <w:rFonts w:hint="eastAsia" w:ascii="Times New Roman" w:hAnsi="Times New Roman" w:eastAsia="宋体" w:cs="Times New Roman"/>
                      <w:bCs/>
                      <w:color w:val="auto"/>
                      <w:szCs w:val="21"/>
                      <w:lang w:eastAsia="zh-CN"/>
                    </w:rPr>
                    <w:t>不自建燃煤锅炉。</w:t>
                  </w:r>
                  <w:r>
                    <w:rPr>
                      <w:rFonts w:hint="eastAsia" w:ascii="Times New Roman" w:hAnsi="Times New Roman" w:eastAsia="宋体" w:cs="Times New Roman"/>
                      <w:bCs/>
                      <w:color w:val="auto"/>
                      <w:szCs w:val="21"/>
                      <w:highlight w:val="none"/>
                      <w:lang w:eastAsia="zh-CN"/>
                    </w:rPr>
                    <w:t>原料运输采用带式输送机</w:t>
                  </w:r>
                  <w:r>
                    <w:rPr>
                      <w:rFonts w:hint="eastAsia" w:ascii="Times New Roman" w:hAnsi="Times New Roman" w:eastAsia="宋体" w:cs="Times New Roman"/>
                      <w:bCs/>
                      <w:color w:val="auto"/>
                      <w:szCs w:val="21"/>
                      <w:lang w:eastAsia="zh-CN"/>
                    </w:rPr>
                    <w:t>。</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5</w:t>
                  </w:r>
                </w:p>
              </w:tc>
              <w:tc>
                <w:tcPr>
                  <w:tcW w:w="3068"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加强区域环境污染防治和应急措施。严格落实环评报告书和开发区突发环境事件应急预案中提出的各项环境风险防范措施，加强风险事故情况下的环境污染防范、应急响应和协同处置，防止对区域周边环境敏感点造成影响。</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本项目针对项目特点提出了环境风险防范措施，并要求与园区及地方政府突发环境事件应急预案相衔接。</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jc w:val="center"/>
              </w:trPr>
              <w:tc>
                <w:tcPr>
                  <w:tcW w:w="394"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default"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val="en-US" w:eastAsia="zh-CN"/>
                    </w:rPr>
                    <w:t>6</w:t>
                  </w:r>
                </w:p>
              </w:tc>
              <w:tc>
                <w:tcPr>
                  <w:tcW w:w="3068"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eastAsia="zh-CN"/>
                    </w:rPr>
                    <w:t>切实落实环评报告书中环境管理、环境监测计划、严格落实清洁生产有关措施。充分落实公众参与期间各项公众意见切实保障公众对环境保护的参与权与监督权。规划实施过程中按照要求每五年组织开展规划环境影响的跟踪评价工作。对已经批准的规划在实施范围、适用期限、规模、结构和布局等方面发生重大调整或修订的，应及时重新或者补充环境影响评价。</w:t>
                  </w:r>
                </w:p>
              </w:tc>
              <w:tc>
                <w:tcPr>
                  <w:tcW w:w="896"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val="en-US" w:eastAsia="zh-CN"/>
                    </w:rPr>
                  </w:pPr>
                  <w:r>
                    <w:rPr>
                      <w:rFonts w:hint="eastAsia" w:ascii="Times New Roman" w:hAnsi="Times New Roman" w:eastAsia="宋体" w:cs="Times New Roman"/>
                      <w:bCs/>
                      <w:color w:val="auto"/>
                      <w:szCs w:val="21"/>
                      <w:lang w:eastAsia="zh-CN"/>
                    </w:rPr>
                    <w:t>本项目给出了环境管理要求、环境监测方案等有关措施。</w:t>
                  </w:r>
                  <w:r>
                    <w:rPr>
                      <w:rFonts w:hint="eastAsia" w:ascii="Times New Roman" w:hAnsi="Times New Roman" w:eastAsia="宋体" w:cs="Times New Roman"/>
                      <w:bCs/>
                      <w:color w:val="auto"/>
                      <w:szCs w:val="21"/>
                      <w:lang w:val="en-US" w:eastAsia="zh-CN"/>
                    </w:rPr>
                    <w:t>不涉及公众参与。</w:t>
                  </w:r>
                </w:p>
              </w:tc>
              <w:tc>
                <w:tcPr>
                  <w:tcW w:w="641" w:type="pct"/>
                  <w:tcBorders>
                    <w:tl2br w:val="nil"/>
                    <w:tr2bl w:val="nil"/>
                  </w:tcBorders>
                  <w:noWrap w:val="0"/>
                  <w:vAlign w:val="center"/>
                </w:tcPr>
                <w:p>
                  <w:pPr>
                    <w:keepNext w:val="0"/>
                    <w:keepLines w:val="0"/>
                    <w:suppressLineNumbers w:val="0"/>
                    <w:spacing w:before="0" w:beforeAutospacing="0" w:after="0" w:afterAutospacing="0" w:line="360" w:lineRule="exact"/>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符合</w:t>
                  </w:r>
                </w:p>
              </w:tc>
            </w:tr>
          </w:tbl>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color w:val="auto"/>
                <w:kern w:val="0"/>
                <w:sz w:val="24"/>
                <w:szCs w:val="24"/>
                <w:highlight w:val="none"/>
                <w:lang w:val="en-US" w:eastAsia="zh-CN"/>
              </w:rPr>
            </w:pPr>
            <w:r>
              <w:rPr>
                <w:rFonts w:hint="eastAsia" w:ascii="Times New Roman" w:hAnsi="Times New Roman" w:eastAsia="宋体" w:cs="Times New Roman"/>
                <w:color w:val="auto"/>
                <w:kern w:val="0"/>
                <w:sz w:val="24"/>
                <w:szCs w:val="24"/>
                <w:highlight w:val="none"/>
                <w:lang w:val="en-US" w:eastAsia="zh-CN"/>
              </w:rPr>
              <w:t>3、园区环境准入负面清单符合性分析</w:t>
            </w:r>
          </w:p>
          <w:p>
            <w:pPr>
              <w:pStyle w:val="67"/>
              <w:widowControl/>
              <w:spacing w:line="480" w:lineRule="exact"/>
              <w:ind w:firstLine="420"/>
              <w:jc w:val="center"/>
              <w:rPr>
                <w:rFonts w:hint="default" w:eastAsia="宋体" w:cs="Times New Roman"/>
                <w:color w:val="auto"/>
                <w:sz w:val="21"/>
                <w:szCs w:val="21"/>
                <w:lang w:val="en-US" w:eastAsia="zh-CN"/>
              </w:rPr>
            </w:pPr>
            <w:r>
              <w:rPr>
                <w:rFonts w:hint="eastAsia" w:cs="Times New Roman"/>
                <w:b/>
                <w:bCs/>
                <w:color w:val="auto"/>
                <w:sz w:val="21"/>
                <w:szCs w:val="21"/>
                <w:lang w:eastAsia="zh-CN"/>
              </w:rPr>
              <w:t>表</w:t>
            </w:r>
            <w:r>
              <w:rPr>
                <w:rFonts w:hint="eastAsia" w:cs="Times New Roman"/>
                <w:b/>
                <w:bCs/>
                <w:color w:val="auto"/>
                <w:sz w:val="21"/>
                <w:szCs w:val="21"/>
                <w:lang w:val="en-US" w:eastAsia="zh-CN"/>
              </w:rPr>
              <w:t>1-5    开发区入区企业环境准入负面清单</w:t>
            </w:r>
          </w:p>
          <w:tbl>
            <w:tblPr>
              <w:tblStyle w:val="27"/>
              <w:tblW w:w="5000"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28" w:type="dxa"/>
                <w:bottom w:w="0" w:type="dxa"/>
                <w:right w:w="28" w:type="dxa"/>
              </w:tblCellMar>
            </w:tblPr>
            <w:tblGrid>
              <w:gridCol w:w="290"/>
              <w:gridCol w:w="380"/>
              <w:gridCol w:w="1686"/>
              <w:gridCol w:w="1975"/>
              <w:gridCol w:w="1865"/>
              <w:gridCol w:w="760"/>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w w:val="99"/>
                      <w:sz w:val="21"/>
                      <w:szCs w:val="21"/>
                    </w:rPr>
                    <w:t>序</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w w:val="99"/>
                      <w:sz w:val="21"/>
                      <w:szCs w:val="21"/>
                    </w:rPr>
                    <w:t>号</w:t>
                  </w:r>
                </w:p>
              </w:tc>
              <w:tc>
                <w:tcPr>
                  <w:tcW w:w="1484" w:type="pct"/>
                  <w:gridSpan w:val="2"/>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b/>
                      <w:color w:val="auto"/>
                      <w:sz w:val="21"/>
                      <w:szCs w:val="21"/>
                      <w:lang w:eastAsia="zh-CN"/>
                    </w:rPr>
                  </w:pPr>
                  <w:r>
                    <w:rPr>
                      <w:rFonts w:hint="eastAsia" w:ascii="Times New Roman" w:hAnsi="Times New Roman" w:cs="Times New Roman"/>
                      <w:b/>
                      <w:color w:val="auto"/>
                      <w:sz w:val="21"/>
                      <w:szCs w:val="21"/>
                      <w:lang w:eastAsia="zh-CN"/>
                    </w:rPr>
                    <w:t>环境准入指标</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b/>
                      <w:color w:val="auto"/>
                      <w:sz w:val="21"/>
                      <w:szCs w:val="21"/>
                      <w:lang w:eastAsia="zh-CN"/>
                    </w:rPr>
                  </w:pPr>
                  <w:r>
                    <w:rPr>
                      <w:rFonts w:hint="eastAsia" w:ascii="Times New Roman" w:hAnsi="Times New Roman" w:cs="Times New Roman"/>
                      <w:b/>
                      <w:color w:val="auto"/>
                      <w:sz w:val="21"/>
                      <w:szCs w:val="21"/>
                      <w:lang w:eastAsia="zh-CN"/>
                    </w:rPr>
                    <w:t>环境准入限值</w:t>
                  </w:r>
                </w:p>
              </w:tc>
              <w:tc>
                <w:tcPr>
                  <w:tcW w:w="1340"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拟建项目</w:t>
                  </w:r>
                </w:p>
              </w:tc>
              <w:tc>
                <w:tcPr>
                  <w:tcW w:w="546"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结论</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restar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1</w:t>
                  </w:r>
                </w:p>
              </w:tc>
              <w:tc>
                <w:tcPr>
                  <w:tcW w:w="273" w:type="pct"/>
                  <w:vMerge w:val="restar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污染物排放强度</w:t>
                  </w: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现有及拟入驻企业污染物排放要求</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cs="Times New Roman"/>
                      <w:color w:val="auto"/>
                      <w:sz w:val="21"/>
                      <w:szCs w:val="21"/>
                      <w:lang w:eastAsia="zh-CN"/>
                    </w:rPr>
                  </w:pPr>
                  <w:r>
                    <w:rPr>
                      <w:rFonts w:hint="eastAsia" w:ascii="宋体" w:hAnsi="宋体" w:eastAsia="宋体" w:cs="宋体"/>
                      <w:color w:val="auto"/>
                      <w:sz w:val="21"/>
                      <w:szCs w:val="21"/>
                      <w:lang w:eastAsia="zh-CN"/>
                    </w:rPr>
                    <w:t>①</w:t>
                  </w:r>
                  <w:r>
                    <w:rPr>
                      <w:rFonts w:hint="eastAsia" w:ascii="Times New Roman" w:hAnsi="Times New Roman" w:cs="Times New Roman"/>
                      <w:color w:val="auto"/>
                      <w:sz w:val="21"/>
                      <w:szCs w:val="21"/>
                      <w:lang w:eastAsia="zh-CN"/>
                    </w:rPr>
                    <w:t>钢铁企业、焦化企业、燃煤电厂满足超低排放标准要求。</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cs="Times New Roman"/>
                      <w:color w:val="auto"/>
                      <w:sz w:val="21"/>
                      <w:szCs w:val="21"/>
                      <w:lang w:eastAsia="zh-CN"/>
                    </w:rPr>
                  </w:pPr>
                  <w:r>
                    <w:rPr>
                      <w:rFonts w:hint="eastAsia" w:ascii="宋体" w:hAnsi="宋体" w:eastAsia="宋体" w:cs="宋体"/>
                      <w:color w:val="auto"/>
                      <w:sz w:val="21"/>
                      <w:szCs w:val="21"/>
                      <w:lang w:eastAsia="zh-CN"/>
                    </w:rPr>
                    <w:t>②</w:t>
                  </w:r>
                  <w:r>
                    <w:rPr>
                      <w:rFonts w:hint="eastAsia" w:ascii="Times New Roman" w:hAnsi="Times New Roman" w:cs="Times New Roman"/>
                      <w:color w:val="auto"/>
                      <w:sz w:val="21"/>
                      <w:szCs w:val="21"/>
                      <w:lang w:eastAsia="zh-CN"/>
                    </w:rPr>
                    <w:t>其他企业满足特别排放限值要求。</w:t>
                  </w:r>
                </w:p>
              </w:tc>
              <w:tc>
                <w:tcPr>
                  <w:tcW w:w="1340"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本项目废气排放满足排放标准要求。</w:t>
                  </w:r>
                </w:p>
              </w:tc>
              <w:tc>
                <w:tcPr>
                  <w:tcW w:w="546" w:type="pct"/>
                  <w:vMerge w:val="restar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不在</w:t>
                  </w:r>
                  <w:r>
                    <w:rPr>
                      <w:rFonts w:hint="eastAsia" w:ascii="Times New Roman" w:hAnsi="Times New Roman" w:eastAsia="宋体" w:cs="Times New Roman"/>
                      <w:color w:val="auto"/>
                      <w:sz w:val="21"/>
                      <w:szCs w:val="21"/>
                      <w:lang w:val="en-US" w:eastAsia="zh-CN"/>
                    </w:rPr>
                    <w:t>开发区环境准入负面清单内</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val="en-US" w:eastAsia="zh-CN"/>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钢铁、焦化行业</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产能减量置换、污染物总量减量置换</w:t>
                  </w:r>
                </w:p>
              </w:tc>
              <w:tc>
                <w:tcPr>
                  <w:tcW w:w="1340" w:type="pct"/>
                  <w:vMerge w:val="restar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本项目不涉及</w:t>
                  </w: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val="en-US" w:eastAsia="zh-CN"/>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eastAsia="zh-CN"/>
                    </w:rPr>
                    <w:t>万元工业增加值</w:t>
                  </w:r>
                  <w:r>
                    <w:rPr>
                      <w:rFonts w:hint="eastAsia" w:ascii="Times New Roman" w:hAnsi="Times New Roman" w:cs="Times New Roman"/>
                      <w:color w:val="auto"/>
                      <w:sz w:val="21"/>
                      <w:szCs w:val="21"/>
                      <w:lang w:val="en-US" w:eastAsia="zh-CN"/>
                    </w:rPr>
                    <w:t>COD的排放量</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1.0（kg/万元）</w:t>
                  </w:r>
                </w:p>
              </w:tc>
              <w:tc>
                <w:tcPr>
                  <w:tcW w:w="1340"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val="en-US" w:eastAsia="zh-CN"/>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万元工业增加值氨氮</w:t>
                  </w:r>
                  <w:r>
                    <w:rPr>
                      <w:rFonts w:hint="eastAsia" w:ascii="Times New Roman" w:hAnsi="Times New Roman" w:cs="Times New Roman"/>
                      <w:color w:val="auto"/>
                      <w:sz w:val="21"/>
                      <w:szCs w:val="21"/>
                      <w:lang w:val="en-US" w:eastAsia="zh-CN"/>
                    </w:rPr>
                    <w:t>的排放量</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val="en-US" w:eastAsia="zh-CN"/>
                    </w:rPr>
                    <w:t>0.1（kg/万元）</w:t>
                  </w:r>
                </w:p>
              </w:tc>
              <w:tc>
                <w:tcPr>
                  <w:tcW w:w="1340"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both"/>
                    <w:textAlignment w:val="baseline"/>
                    <w:rPr>
                      <w:rFonts w:hint="eastAsia" w:ascii="Times New Roman" w:hAnsi="Times New Roman" w:eastAsia="宋体" w:cs="Times New Roman"/>
                      <w:color w:val="auto"/>
                      <w:sz w:val="21"/>
                      <w:szCs w:val="21"/>
                      <w:lang w:val="en-US" w:eastAsia="zh-CN"/>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万元工业增加值</w:t>
                  </w:r>
                  <w:r>
                    <w:rPr>
                      <w:rFonts w:hint="eastAsia" w:ascii="Times New Roman" w:hAnsi="Times New Roman" w:cs="Times New Roman"/>
                      <w:color w:val="auto"/>
                      <w:sz w:val="21"/>
                      <w:szCs w:val="21"/>
                      <w:lang w:val="en-US" w:eastAsia="zh-CN"/>
                    </w:rPr>
                    <w:t>SO</w:t>
                  </w:r>
                  <w:r>
                    <w:rPr>
                      <w:rFonts w:hint="eastAsia" w:ascii="Times New Roman" w:hAnsi="Times New Roman" w:cs="Times New Roman"/>
                      <w:color w:val="auto"/>
                      <w:sz w:val="21"/>
                      <w:szCs w:val="21"/>
                      <w:vertAlign w:val="subscript"/>
                      <w:lang w:val="en-US" w:eastAsia="zh-CN"/>
                    </w:rPr>
                    <w:t>2</w:t>
                  </w:r>
                  <w:r>
                    <w:rPr>
                      <w:rFonts w:hint="eastAsia" w:ascii="Times New Roman" w:hAnsi="Times New Roman" w:cs="Times New Roman"/>
                      <w:color w:val="auto"/>
                      <w:sz w:val="21"/>
                      <w:szCs w:val="21"/>
                      <w:lang w:val="en-US" w:eastAsia="zh-CN"/>
                    </w:rPr>
                    <w:t>的排放量</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val="en-US" w:eastAsia="zh-CN"/>
                    </w:rPr>
                    <w:t>1.79（kg/万元）</w:t>
                  </w:r>
                </w:p>
              </w:tc>
              <w:tc>
                <w:tcPr>
                  <w:tcW w:w="1340"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color w:val="auto"/>
                      <w:sz w:val="21"/>
                      <w:szCs w:val="21"/>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万元工业增加值</w:t>
                  </w:r>
                  <w:r>
                    <w:rPr>
                      <w:rFonts w:hint="eastAsia" w:ascii="Times New Roman" w:hAnsi="Times New Roman" w:cs="Times New Roman"/>
                      <w:color w:val="auto"/>
                      <w:sz w:val="21"/>
                      <w:szCs w:val="21"/>
                      <w:lang w:val="en-US" w:eastAsia="zh-CN"/>
                    </w:rPr>
                    <w:t>NO</w:t>
                  </w:r>
                  <w:r>
                    <w:rPr>
                      <w:rFonts w:hint="eastAsia" w:ascii="Times New Roman" w:hAnsi="Times New Roman" w:cs="Times New Roman"/>
                      <w:color w:val="auto"/>
                      <w:sz w:val="21"/>
                      <w:szCs w:val="21"/>
                      <w:vertAlign w:val="subscript"/>
                      <w:lang w:val="en-US" w:eastAsia="zh-CN"/>
                    </w:rPr>
                    <w:t>X</w:t>
                  </w:r>
                  <w:r>
                    <w:rPr>
                      <w:rFonts w:hint="eastAsia" w:ascii="Times New Roman" w:hAnsi="Times New Roman" w:cs="Times New Roman"/>
                      <w:color w:val="auto"/>
                      <w:sz w:val="21"/>
                      <w:szCs w:val="21"/>
                      <w:lang w:val="en-US" w:eastAsia="zh-CN"/>
                    </w:rPr>
                    <w:t>的排放量</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val="en-US" w:eastAsia="zh-CN"/>
                    </w:rPr>
                    <w:t>3.25（kg/万元）</w:t>
                  </w:r>
                </w:p>
              </w:tc>
              <w:tc>
                <w:tcPr>
                  <w:tcW w:w="1340"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restar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2</w:t>
                  </w:r>
                </w:p>
              </w:tc>
              <w:tc>
                <w:tcPr>
                  <w:tcW w:w="273" w:type="pct"/>
                  <w:vMerge w:val="restar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资源开发利用效率</w:t>
                  </w: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吨焦耗新鲜水</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1.4立方米/吨焦</w:t>
                  </w:r>
                </w:p>
              </w:tc>
              <w:tc>
                <w:tcPr>
                  <w:tcW w:w="1340" w:type="pct"/>
                  <w:vMerge w:val="restar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本项目不涉及</w:t>
                  </w: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color w:val="auto"/>
                      <w:sz w:val="21"/>
                      <w:szCs w:val="21"/>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吨钢耗新鲜水</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2.46立方米/吨钢</w:t>
                  </w:r>
                </w:p>
              </w:tc>
              <w:tc>
                <w:tcPr>
                  <w:tcW w:w="1340"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color w:val="auto"/>
                      <w:sz w:val="21"/>
                      <w:szCs w:val="21"/>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焦炉煤气利用量</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100%</w:t>
                  </w:r>
                </w:p>
              </w:tc>
              <w:tc>
                <w:tcPr>
                  <w:tcW w:w="1340"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default" w:ascii="Times New Roman" w:hAnsi="Times New Roman" w:eastAsia="宋体" w:cs="Times New Roman"/>
                      <w:color w:val="auto"/>
                      <w:sz w:val="21"/>
                      <w:szCs w:val="21"/>
                    </w:rPr>
                  </w:pPr>
                </w:p>
              </w:tc>
              <w:tc>
                <w:tcPr>
                  <w:tcW w:w="273"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1210" w:type="pct"/>
                  <w:tcBorders>
                    <w:righ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工序能耗</w:t>
                  </w:r>
                </w:p>
              </w:tc>
              <w:tc>
                <w:tcPr>
                  <w:tcW w:w="1419" w:type="pct"/>
                  <w:tcBorders>
                    <w:left w:val="single" w:color="auto" w:sz="4" w:space="0"/>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leftChars="0" w:right="0" w:rightChars="0" w:firstLine="0" w:firstLineChars="0"/>
                    <w:jc w:val="center"/>
                    <w:textAlignment w:val="baseline"/>
                    <w:rPr>
                      <w:rFonts w:hint="default" w:ascii="Times New Roman" w:hAnsi="Times New Roman" w:cs="Times New Roman"/>
                      <w:color w:val="auto"/>
                      <w:sz w:val="21"/>
                      <w:szCs w:val="21"/>
                      <w:lang w:val="en-US" w:eastAsia="zh-CN"/>
                    </w:rPr>
                  </w:pPr>
                  <w:r>
                    <w:rPr>
                      <w:rFonts w:hint="eastAsia" w:ascii="Times New Roman" w:hAnsi="Times New Roman" w:cs="Times New Roman"/>
                      <w:color w:val="auto"/>
                      <w:sz w:val="21"/>
                      <w:szCs w:val="21"/>
                      <w:lang w:val="en-US" w:eastAsia="zh-CN"/>
                    </w:rPr>
                    <w:t>150kg标煤/t焦</w:t>
                  </w:r>
                </w:p>
              </w:tc>
              <w:tc>
                <w:tcPr>
                  <w:tcW w:w="1340"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3</w:t>
                  </w:r>
                </w:p>
              </w:tc>
              <w:tc>
                <w:tcPr>
                  <w:tcW w:w="273"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空间管制</w:t>
                  </w:r>
                </w:p>
              </w:tc>
              <w:tc>
                <w:tcPr>
                  <w:tcW w:w="2630" w:type="pct"/>
                  <w:gridSpan w:val="2"/>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①严格控制工业区边界外居民点向工业区方向发展，开发区内居民区向西发展，确保工业区内企业与敏感点保持足够的防护距离，满足空间管制要求；居住区内限制进行工业开发、建设活动。</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②禁止在规划公共及防护绿地内开展与绿化无关的建设活动，严禁工业园区占用规划防护绿地</w:t>
                  </w:r>
                  <w:r>
                    <w:rPr>
                      <w:rFonts w:hint="eastAsia" w:ascii="Times New Roman" w:hAnsi="Times New Roman" w:cs="Times New Roman"/>
                      <w:color w:val="auto"/>
                      <w:sz w:val="21"/>
                      <w:szCs w:val="21"/>
                      <w:lang w:val="en-US" w:eastAsia="zh-CN"/>
                    </w:rPr>
                    <w:t>。</w:t>
                  </w:r>
                </w:p>
              </w:tc>
              <w:tc>
                <w:tcPr>
                  <w:tcW w:w="1340"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本项目不占用居住区及规划防护绿地。</w:t>
                  </w: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4</w:t>
                  </w:r>
                </w:p>
              </w:tc>
              <w:tc>
                <w:tcPr>
                  <w:tcW w:w="273"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环境风险防控</w:t>
                  </w:r>
                </w:p>
              </w:tc>
              <w:tc>
                <w:tcPr>
                  <w:tcW w:w="2630" w:type="pct"/>
                  <w:gridSpan w:val="2"/>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①开发区及开发区内各企业编制污染防治应急预案并在相关环保部门备案</w:t>
                  </w:r>
                  <w:r>
                    <w:rPr>
                      <w:rFonts w:hint="eastAsia" w:ascii="Times New Roman" w:hAnsi="Times New Roman" w:cs="Times New Roman"/>
                      <w:color w:val="auto"/>
                      <w:sz w:val="21"/>
                      <w:szCs w:val="21"/>
                      <w:lang w:val="en-US" w:eastAsia="zh-CN"/>
                    </w:rPr>
                    <w:t>。</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②湖林新河至新潮河岸段自然岸线禁止在海岸退缩线内和潮间带构建永久性建筑、围填海、挖沙、采石等改变或影响岸线自然属性和海岸原始景观的开发建设活动；不得占用湖林新河至新潮河岸段自然岸线，禁止在湖林新河至新潮河岸段自然岸线新设陆源排污口。</w:t>
                  </w:r>
                </w:p>
              </w:tc>
              <w:tc>
                <w:tcPr>
                  <w:tcW w:w="1340"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cs="Times New Roman"/>
                      <w:color w:val="auto"/>
                      <w:sz w:val="21"/>
                      <w:szCs w:val="21"/>
                      <w:lang w:eastAsia="zh-CN"/>
                    </w:rPr>
                  </w:pPr>
                  <w:r>
                    <w:rPr>
                      <w:rFonts w:hint="eastAsia" w:ascii="Times New Roman" w:hAnsi="Times New Roman" w:cs="Times New Roman"/>
                      <w:color w:val="auto"/>
                      <w:sz w:val="21"/>
                      <w:szCs w:val="21"/>
                      <w:lang w:eastAsia="zh-CN"/>
                    </w:rPr>
                    <w:t>本项目将在投产后编制污染防治应急预案并进行备案。本项目不占用岸线，不在岸线新增排污口。</w:t>
                  </w: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28" w:type="dxa"/>
                  <w:bottom w:w="0" w:type="dxa"/>
                  <w:right w:w="28" w:type="dxa"/>
                </w:tblCellMar>
              </w:tblPrEx>
              <w:trPr>
                <w:trHeight w:val="0" w:hRule="atLeast"/>
              </w:trPr>
              <w:tc>
                <w:tcPr>
                  <w:tcW w:w="208"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val="en-US" w:eastAsia="zh-CN"/>
                    </w:rPr>
                    <w:t>5</w:t>
                  </w:r>
                </w:p>
              </w:tc>
              <w:tc>
                <w:tcPr>
                  <w:tcW w:w="273"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eastAsia="zh-CN"/>
                    </w:rPr>
                    <w:t>产业</w:t>
                  </w:r>
                  <w:r>
                    <w:rPr>
                      <w:rFonts w:hint="eastAsia" w:ascii="Times New Roman" w:hAnsi="Times New Roman" w:cs="Times New Roman"/>
                      <w:color w:val="auto"/>
                      <w:sz w:val="21"/>
                      <w:szCs w:val="21"/>
                      <w:lang w:eastAsia="zh-CN"/>
                    </w:rPr>
                    <w:t>准入</w:t>
                  </w:r>
                  <w:r>
                    <w:rPr>
                      <w:rFonts w:hint="eastAsia" w:ascii="Times New Roman" w:hAnsi="Times New Roman" w:eastAsia="宋体" w:cs="Times New Roman"/>
                      <w:color w:val="auto"/>
                      <w:sz w:val="21"/>
                      <w:szCs w:val="21"/>
                      <w:lang w:eastAsia="zh-CN"/>
                    </w:rPr>
                    <w:t>清单</w:t>
                  </w:r>
                </w:p>
              </w:tc>
              <w:tc>
                <w:tcPr>
                  <w:tcW w:w="2630" w:type="pct"/>
                  <w:gridSpan w:val="2"/>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①《产品结构调整指导目录（2011年本）》（2013年修订）中限制类、淘汰类项目；不满足产能减量置换和污染物总量减量置换的钢铁项目。</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②属于《河北省新增限制和淘汰类产业目录（2015年版）》中的限制类和淘汰类项目</w:t>
                  </w:r>
                  <w:r>
                    <w:rPr>
                      <w:rFonts w:hint="eastAsia" w:ascii="Times New Roman" w:hAnsi="Times New Roman" w:cs="Times New Roman"/>
                      <w:color w:val="auto"/>
                      <w:sz w:val="21"/>
                      <w:szCs w:val="21"/>
                      <w:lang w:val="en-US" w:eastAsia="zh-CN"/>
                    </w:rPr>
                    <w:t>。</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③不符合行业准入条件的建设项目</w:t>
                  </w:r>
                  <w:r>
                    <w:rPr>
                      <w:rFonts w:hint="eastAsia" w:ascii="Times New Roman" w:hAnsi="Times New Roman" w:cs="Times New Roman"/>
                      <w:color w:val="auto"/>
                      <w:sz w:val="21"/>
                      <w:szCs w:val="21"/>
                      <w:lang w:val="en-US" w:eastAsia="zh-CN"/>
                    </w:rPr>
                    <w:t>。</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④清洁生产水平达不到国内先进水平及以上的新建项目</w:t>
                  </w:r>
                  <w:r>
                    <w:rPr>
                      <w:rFonts w:hint="eastAsia" w:ascii="Times New Roman" w:hAnsi="Times New Roman" w:cs="Times New Roman"/>
                      <w:color w:val="auto"/>
                      <w:sz w:val="21"/>
                      <w:szCs w:val="21"/>
                      <w:lang w:val="en-US" w:eastAsia="zh-CN"/>
                    </w:rPr>
                    <w:t>。</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⑤不满足《河北省环境敏感区支持、限制及禁止建设项目名录（2005年修订版）》要求的项目</w:t>
                  </w:r>
                  <w:r>
                    <w:rPr>
                      <w:rFonts w:hint="eastAsia" w:ascii="Times New Roman" w:hAnsi="Times New Roman" w:cs="Times New Roman"/>
                      <w:color w:val="auto"/>
                      <w:sz w:val="21"/>
                      <w:szCs w:val="21"/>
                      <w:lang w:val="en-US" w:eastAsia="zh-CN"/>
                    </w:rPr>
                    <w:t>。</w:t>
                  </w:r>
                </w:p>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left"/>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⑥属于《河北省禁止投资的产业目录（2014年版）》中明令禁止的建设项目</w:t>
                  </w:r>
                  <w:r>
                    <w:rPr>
                      <w:rFonts w:hint="eastAsia" w:ascii="Times New Roman" w:hAnsi="Times New Roman" w:cs="Times New Roman"/>
                      <w:color w:val="auto"/>
                      <w:sz w:val="21"/>
                      <w:szCs w:val="21"/>
                      <w:lang w:val="en-US" w:eastAsia="zh-CN"/>
                    </w:rPr>
                    <w:t>。</w:t>
                  </w:r>
                </w:p>
              </w:tc>
              <w:tc>
                <w:tcPr>
                  <w:tcW w:w="1340" w:type="pct"/>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r>
                    <w:rPr>
                      <w:rFonts w:hint="eastAsia" w:ascii="Times New Roman" w:hAnsi="Times New Roman" w:cs="Times New Roman"/>
                      <w:color w:val="auto"/>
                      <w:sz w:val="21"/>
                      <w:szCs w:val="21"/>
                      <w:lang w:eastAsia="zh-CN"/>
                    </w:rPr>
                    <w:t>本项目</w:t>
                  </w:r>
                  <w:r>
                    <w:rPr>
                      <w:rFonts w:hint="eastAsia" w:ascii="Times New Roman" w:hAnsi="Times New Roman" w:eastAsia="宋体" w:cs="Times New Roman"/>
                      <w:color w:val="auto"/>
                      <w:sz w:val="21"/>
                      <w:szCs w:val="21"/>
                      <w:lang w:eastAsia="zh-CN"/>
                    </w:rPr>
                    <w:t>不属于《产业结构调整指导目录（20</w:t>
                  </w:r>
                  <w:r>
                    <w:rPr>
                      <w:rFonts w:hint="eastAsia" w:ascii="Times New Roman" w:hAnsi="Times New Roman" w:eastAsia="宋体" w:cs="Times New Roman"/>
                      <w:color w:val="auto"/>
                      <w:sz w:val="21"/>
                      <w:szCs w:val="21"/>
                      <w:lang w:val="en-US" w:eastAsia="zh-CN"/>
                    </w:rPr>
                    <w:t>24</w:t>
                  </w:r>
                  <w:r>
                    <w:rPr>
                      <w:rFonts w:hint="eastAsia" w:ascii="Times New Roman" w:hAnsi="Times New Roman" w:eastAsia="宋体" w:cs="Times New Roman"/>
                      <w:color w:val="auto"/>
                      <w:sz w:val="21"/>
                      <w:szCs w:val="21"/>
                      <w:lang w:eastAsia="zh-CN"/>
                    </w:rPr>
                    <w:t>年本）》中禁止、限制类，属于允许类；</w:t>
                  </w:r>
                  <w:r>
                    <w:rPr>
                      <w:rFonts w:hint="eastAsia" w:ascii="Times New Roman" w:hAnsi="Times New Roman" w:eastAsia="宋体" w:cs="Times New Roman"/>
                      <w:color w:val="auto"/>
                      <w:sz w:val="21"/>
                      <w:szCs w:val="21"/>
                      <w:lang w:val="en-US" w:eastAsia="zh-CN"/>
                    </w:rPr>
                    <w:t>满足《河北省环境敏感区支持、限制及禁止建设项目名录（2005年修订版）》要求；不属于《河北省禁止投资的产业目录（2014年版）》中明令禁止的建设项目。</w:t>
                  </w:r>
                </w:p>
              </w:tc>
              <w:tc>
                <w:tcPr>
                  <w:tcW w:w="546" w:type="pct"/>
                  <w:vMerge w:val="continue"/>
                  <w:tcBorders>
                    <w:tl2br w:val="nil"/>
                    <w:tr2bl w:val="nil"/>
                  </w:tcBorders>
                  <w:noWrap w:val="0"/>
                  <w:vAlign w:val="center"/>
                </w:tcPr>
                <w:p>
                  <w:pPr>
                    <w:pStyle w:val="72"/>
                    <w:keepNext w:val="0"/>
                    <w:keepLines w:val="0"/>
                    <w:pageBreakBefore w:val="0"/>
                    <w:widowControl w:val="0"/>
                    <w:kinsoku/>
                    <w:wordWrap/>
                    <w:overflowPunct/>
                    <w:topLinePunct w:val="0"/>
                    <w:autoSpaceDE/>
                    <w:autoSpaceDN/>
                    <w:bidi w:val="0"/>
                    <w:adjustRightInd/>
                    <w:snapToGrid/>
                    <w:spacing w:before="0" w:line="0" w:lineRule="atLeast"/>
                    <w:ind w:left="0" w:right="0" w:firstLine="0"/>
                    <w:jc w:val="center"/>
                    <w:textAlignment w:val="baseline"/>
                    <w:rPr>
                      <w:rFonts w:hint="eastAsia" w:ascii="Times New Roman" w:hAnsi="Times New Roman" w:eastAsia="宋体" w:cs="Times New Roman"/>
                      <w:color w:val="auto"/>
                      <w:sz w:val="21"/>
                      <w:szCs w:val="21"/>
                      <w:lang w:eastAsia="zh-CN"/>
                    </w:rPr>
                  </w:pPr>
                </w:p>
              </w:tc>
            </w:tr>
          </w:tbl>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eastAsia" w:ascii="Calibri" w:hAnsi="Calibri" w:eastAsia="宋体" w:cs="Times New Roman"/>
                <w:color w:val="auto"/>
                <w:sz w:val="24"/>
                <w:szCs w:val="24"/>
                <w:highlight w:val="none"/>
                <w:lang w:eastAsia="zh-CN"/>
              </w:rPr>
            </w:pPr>
            <w:r>
              <w:rPr>
                <w:rFonts w:hint="eastAsia" w:ascii="Calibri" w:hAnsi="Calibri" w:eastAsia="宋体" w:cs="Times New Roman"/>
                <w:color w:val="auto"/>
                <w:sz w:val="24"/>
                <w:szCs w:val="24"/>
                <w:highlight w:val="none"/>
                <w:lang w:val="en-US" w:eastAsia="zh-CN"/>
              </w:rPr>
              <w:t>项目符合园区规划，符合规划环评结论及审查意见相关要求，不在开发区入区企业环境准入负面清单内。</w:t>
            </w:r>
          </w:p>
          <w:p>
            <w:pPr>
              <w:keepNext w:val="0"/>
              <w:keepLines w:val="0"/>
              <w:pageBreakBefore w:val="0"/>
              <w:widowControl w:val="0"/>
              <w:suppressLineNumbers w:val="0"/>
              <w:kinsoku/>
              <w:wordWrap/>
              <w:overflowPunct/>
              <w:topLinePunct w:val="0"/>
              <w:autoSpaceDE w:val="0"/>
              <w:autoSpaceDN w:val="0"/>
              <w:bidi w:val="0"/>
              <w:adjustRightInd w:val="0"/>
              <w:snapToGrid w:val="0"/>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Cs w:val="21"/>
                <w:lang w:val="en-US" w:eastAsia="zh-CN"/>
              </w:rPr>
            </w:pPr>
            <w:r>
              <w:rPr>
                <w:rFonts w:hint="eastAsia" w:ascii="Times New Roman" w:hAnsi="Times New Roman" w:eastAsia="宋体" w:cs="Times New Roman"/>
                <w:color w:val="auto"/>
                <w:kern w:val="0"/>
                <w:sz w:val="24"/>
                <w:szCs w:val="24"/>
                <w:highlight w:val="none"/>
                <w:lang w:val="en-US" w:eastAsia="zh-CN"/>
              </w:rPr>
              <w:t>因此，本项目符合</w:t>
            </w:r>
            <w:r>
              <w:rPr>
                <w:rFonts w:hint="eastAsia" w:ascii="Times New Roman" w:hAnsi="Times New Roman" w:eastAsia="宋体" w:cs="Times New Roman"/>
                <w:color w:val="auto"/>
                <w:kern w:val="0"/>
                <w:sz w:val="24"/>
                <w:szCs w:val="24"/>
                <w:lang w:eastAsia="zh-CN"/>
              </w:rPr>
              <w:t>河北唐山海港经济开发区总体规划要求。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21" w:hRule="atLeast"/>
          <w:jc w:val="center"/>
        </w:trPr>
        <w:tc>
          <w:tcPr>
            <w:tcW w:w="1668" w:type="dxa"/>
            <w:noWrap w:val="0"/>
            <w:vAlign w:val="center"/>
          </w:tcPr>
          <w:p>
            <w:pPr>
              <w:keepNext w:val="0"/>
              <w:keepLines w:val="0"/>
              <w:suppressLineNumbers w:val="0"/>
              <w:autoSpaceDE w:val="0"/>
              <w:autoSpaceDN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其他符合性分析</w:t>
            </w:r>
          </w:p>
        </w:tc>
        <w:tc>
          <w:tcPr>
            <w:tcW w:w="7202" w:type="dxa"/>
            <w:gridSpan w:val="3"/>
            <w:noWrap w:val="0"/>
            <w:vAlign w:val="center"/>
          </w:tcPr>
          <w:p>
            <w:pPr>
              <w:keepNext w:val="0"/>
              <w:keepLines w:val="0"/>
              <w:suppressLineNumbers w:val="0"/>
              <w:autoSpaceDE w:val="0"/>
              <w:autoSpaceDN w:val="0"/>
              <w:adjustRightInd w:val="0"/>
              <w:snapToGrid w:val="0"/>
              <w:spacing w:before="0" w:beforeAutospacing="0" w:after="0" w:afterAutospacing="0" w:line="480" w:lineRule="exact"/>
              <w:ind w:left="0" w:right="0" w:firstLine="482" w:firstLineChars="200"/>
              <w:jc w:val="left"/>
              <w:rPr>
                <w:rFonts w:ascii="Times New Roman" w:hAnsi="Times New Roman" w:eastAsia="宋体" w:cs="Times New Roman"/>
                <w:color w:val="auto"/>
                <w:kern w:val="0"/>
                <w:sz w:val="24"/>
                <w:szCs w:val="24"/>
              </w:rPr>
            </w:pPr>
            <w:r>
              <w:rPr>
                <w:rFonts w:hint="eastAsia" w:ascii="Times New Roman" w:hAnsi="Times New Roman" w:eastAsia="宋体" w:cs="Times New Roman"/>
                <w:b/>
                <w:bCs/>
                <w:color w:val="auto"/>
                <w:kern w:val="0"/>
                <w:sz w:val="24"/>
                <w:szCs w:val="24"/>
              </w:rPr>
              <w:t>1.1、</w:t>
            </w:r>
            <w:r>
              <w:rPr>
                <w:rFonts w:ascii="Times New Roman" w:hAnsi="Times New Roman" w:eastAsia="宋体" w:cs="Times New Roman"/>
                <w:b/>
                <w:bCs/>
                <w:color w:val="auto"/>
                <w:kern w:val="0"/>
                <w:sz w:val="24"/>
                <w:szCs w:val="24"/>
              </w:rPr>
              <w:t>与“三线一单”符合性分析</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lang w:val="zh-TW" w:eastAsia="zh-TW"/>
              </w:rPr>
            </w:pPr>
            <w:r>
              <w:rPr>
                <w:rFonts w:cs="Times New Roman"/>
                <w:color w:val="auto"/>
                <w:sz w:val="24"/>
                <w:szCs w:val="24"/>
                <w:lang w:val="zh-TW"/>
              </w:rPr>
              <w:t>（</w:t>
            </w:r>
            <w:r>
              <w:rPr>
                <w:rFonts w:cs="Times New Roman"/>
                <w:color w:val="auto"/>
                <w:sz w:val="24"/>
                <w:szCs w:val="24"/>
                <w:lang w:val="zh-TW" w:eastAsia="zh-TW"/>
              </w:rPr>
              <w:t>1</w:t>
            </w:r>
            <w:r>
              <w:rPr>
                <w:rFonts w:cs="Times New Roman"/>
                <w:color w:val="auto"/>
                <w:sz w:val="24"/>
                <w:szCs w:val="24"/>
                <w:lang w:val="zh-TW"/>
              </w:rPr>
              <w:t>）生态保护红线</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lang w:val="zh-TW" w:eastAsia="zh-TW"/>
              </w:rPr>
            </w:pPr>
            <w:r>
              <w:rPr>
                <w:rFonts w:hint="default" w:cs="Times New Roman"/>
                <w:color w:val="auto"/>
                <w:sz w:val="24"/>
                <w:szCs w:val="24"/>
                <w:lang w:eastAsia="zh-CN"/>
              </w:rPr>
              <w:t>全省陆域生态保护红线面积为</w:t>
            </w:r>
            <w:r>
              <w:rPr>
                <w:rFonts w:hint="default" w:cs="Times New Roman"/>
                <w:color w:val="auto"/>
                <w:sz w:val="24"/>
                <w:szCs w:val="24"/>
                <w:lang w:val="en-US" w:eastAsia="zh-CN"/>
              </w:rPr>
              <w:t>38633.18km</w:t>
            </w:r>
            <w:r>
              <w:rPr>
                <w:rFonts w:hint="default" w:cs="Times New Roman"/>
                <w:color w:val="auto"/>
                <w:sz w:val="24"/>
                <w:szCs w:val="24"/>
                <w:vertAlign w:val="superscript"/>
                <w:lang w:val="en-US" w:eastAsia="zh-CN"/>
              </w:rPr>
              <w:t>2</w:t>
            </w:r>
            <w:r>
              <w:rPr>
                <w:rFonts w:hint="default" w:cs="Times New Roman"/>
                <w:color w:val="auto"/>
                <w:sz w:val="24"/>
                <w:szCs w:val="24"/>
                <w:lang w:val="en-US" w:eastAsia="zh-CN"/>
              </w:rPr>
              <w:t>，其中唐山市红线面积1085.47km</w:t>
            </w:r>
            <w:r>
              <w:rPr>
                <w:rFonts w:hint="default" w:cs="Times New Roman"/>
                <w:color w:val="auto"/>
                <w:sz w:val="24"/>
                <w:szCs w:val="24"/>
                <w:vertAlign w:val="superscript"/>
                <w:lang w:val="en-US" w:eastAsia="zh-CN"/>
              </w:rPr>
              <w:t>2</w:t>
            </w:r>
            <w:r>
              <w:rPr>
                <w:rFonts w:hint="default" w:cs="Times New Roman"/>
                <w:color w:val="auto"/>
                <w:sz w:val="24"/>
                <w:szCs w:val="24"/>
                <w:lang w:val="en-US" w:eastAsia="zh-CN"/>
              </w:rPr>
              <w:t>，主要分布在燕山南部区域，以水土保持、水源涵养功能为主</w:t>
            </w:r>
            <w:r>
              <w:rPr>
                <w:rFonts w:hint="default" w:cs="Times New Roman"/>
                <w:color w:val="auto"/>
                <w:sz w:val="24"/>
                <w:szCs w:val="24"/>
              </w:rPr>
              <w:t>。</w:t>
            </w:r>
            <w:r>
              <w:rPr>
                <w:rFonts w:hint="default" w:cs="Times New Roman"/>
                <w:color w:val="auto"/>
                <w:sz w:val="24"/>
                <w:szCs w:val="24"/>
                <w:lang w:eastAsia="zh-CN"/>
              </w:rPr>
              <w:t>生态保护红线区严禁不符合主体功能定位的各类开发建设活动，禁止城镇建设、工业生产等活动，严禁任意改变用途，确保生态功能不降低、面积不减少、性质不改变。除国家重大战略项目之外，在符合现行法律法规的要求下，可以进行</w:t>
            </w:r>
            <w:r>
              <w:rPr>
                <w:rFonts w:hint="default" w:cs="Times New Roman"/>
                <w:color w:val="auto"/>
                <w:sz w:val="24"/>
                <w:szCs w:val="24"/>
                <w:lang w:val="en-US" w:eastAsia="zh-CN"/>
              </w:rPr>
              <w:t>8类人为活动。</w:t>
            </w:r>
            <w:r>
              <w:rPr>
                <w:rFonts w:cs="Times New Roman"/>
                <w:color w:val="auto"/>
                <w:sz w:val="24"/>
                <w:szCs w:val="24"/>
              </w:rPr>
              <w:t>本项目选址位于</w:t>
            </w:r>
            <w:r>
              <w:rPr>
                <w:rFonts w:hint="eastAsia" w:cs="Times New Roman"/>
                <w:color w:val="auto"/>
                <w:sz w:val="24"/>
                <w:szCs w:val="24"/>
                <w:lang w:eastAsia="zh-CN"/>
              </w:rPr>
              <w:t>唐山市海港开发区港兴大街西南约605米，</w:t>
            </w:r>
            <w:r>
              <w:rPr>
                <w:rFonts w:cs="Times New Roman"/>
                <w:color w:val="auto"/>
                <w:sz w:val="24"/>
                <w:szCs w:val="24"/>
              </w:rPr>
              <w:t>不在生态保护红线区范围内（详见附图）。</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lang w:val="zh-TW" w:eastAsia="zh-TW"/>
              </w:rPr>
            </w:pPr>
            <w:r>
              <w:rPr>
                <w:rFonts w:cs="Times New Roman"/>
                <w:color w:val="auto"/>
                <w:sz w:val="24"/>
                <w:szCs w:val="24"/>
                <w:lang w:val="zh-TW"/>
              </w:rPr>
              <w:t>（</w:t>
            </w:r>
            <w:r>
              <w:rPr>
                <w:rFonts w:cs="Times New Roman"/>
                <w:color w:val="auto"/>
                <w:sz w:val="24"/>
                <w:szCs w:val="24"/>
                <w:lang w:val="zh-TW" w:eastAsia="zh-TW"/>
              </w:rPr>
              <w:t>2</w:t>
            </w:r>
            <w:r>
              <w:rPr>
                <w:rFonts w:cs="Times New Roman"/>
                <w:color w:val="auto"/>
                <w:sz w:val="24"/>
                <w:szCs w:val="24"/>
                <w:lang w:val="zh-TW"/>
              </w:rPr>
              <w:t>）</w:t>
            </w:r>
            <w:r>
              <w:rPr>
                <w:rFonts w:cs="Times New Roman"/>
                <w:bCs/>
                <w:color w:val="auto"/>
                <w:sz w:val="24"/>
                <w:szCs w:val="24"/>
              </w:rPr>
              <w:t>环境质量底线</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bCs/>
                <w:color w:val="auto"/>
                <w:sz w:val="24"/>
                <w:szCs w:val="24"/>
                <w:lang w:eastAsia="zh-TW"/>
              </w:rPr>
            </w:pPr>
            <w:r>
              <w:rPr>
                <w:rFonts w:cs="Times New Roman"/>
                <w:bCs/>
                <w:color w:val="auto"/>
                <w:sz w:val="24"/>
                <w:szCs w:val="24"/>
                <w:lang w:eastAsia="zh-TW"/>
              </w:rPr>
              <w:t>项目所在区域环境空气</w:t>
            </w:r>
            <w:r>
              <w:rPr>
                <w:rFonts w:hint="eastAsia" w:cs="Times New Roman"/>
                <w:bCs/>
                <w:color w:val="auto"/>
                <w:sz w:val="24"/>
                <w:szCs w:val="24"/>
                <w:lang w:eastAsia="zh-CN"/>
              </w:rPr>
              <w:t>属于</w:t>
            </w:r>
            <w:r>
              <w:rPr>
                <w:rFonts w:cs="Times New Roman"/>
                <w:bCs/>
                <w:color w:val="auto"/>
                <w:sz w:val="24"/>
                <w:szCs w:val="24"/>
                <w:lang w:eastAsia="zh-TW"/>
              </w:rPr>
              <w:t>《环境空气质量标准》（GB3095-2012）二类区；</w:t>
            </w:r>
            <w:r>
              <w:rPr>
                <w:rFonts w:cs="Times New Roman"/>
                <w:color w:val="auto"/>
                <w:sz w:val="24"/>
                <w:szCs w:val="24"/>
                <w:highlight w:val="none"/>
              </w:rPr>
              <w:t>根据《地下水质量标准》（GB/T14848-2017</w:t>
            </w:r>
            <w:r>
              <w:rPr>
                <w:rFonts w:hint="eastAsia" w:cs="Times New Roman"/>
                <w:color w:val="auto"/>
                <w:sz w:val="24"/>
                <w:szCs w:val="24"/>
                <w:highlight w:val="none"/>
                <w:lang w:eastAsia="zh-CN"/>
              </w:rPr>
              <w:t>）</w:t>
            </w:r>
            <w:r>
              <w:rPr>
                <w:rFonts w:cs="Times New Roman"/>
                <w:color w:val="auto"/>
                <w:sz w:val="24"/>
                <w:szCs w:val="24"/>
                <w:highlight w:val="none"/>
              </w:rPr>
              <w:t>，区域地下水质量执行III类标准</w:t>
            </w:r>
            <w:r>
              <w:rPr>
                <w:rFonts w:hint="eastAsia" w:cs="Times New Roman"/>
                <w:bCs/>
                <w:color w:val="auto"/>
                <w:sz w:val="24"/>
                <w:szCs w:val="24"/>
                <w:lang w:eastAsia="zh-CN"/>
              </w:rPr>
              <w:t>；</w:t>
            </w:r>
            <w:r>
              <w:rPr>
                <w:rFonts w:cs="Times New Roman"/>
                <w:bCs/>
                <w:color w:val="auto"/>
                <w:sz w:val="24"/>
                <w:szCs w:val="24"/>
                <w:lang w:eastAsia="zh-TW"/>
              </w:rPr>
              <w:t>项目所在区域属于《声环境质量标准》（GB3096-2008）中的</w:t>
            </w:r>
            <w:r>
              <w:rPr>
                <w:rFonts w:hint="eastAsia" w:cs="Times New Roman"/>
                <w:bCs/>
                <w:color w:val="auto"/>
                <w:sz w:val="24"/>
                <w:szCs w:val="24"/>
                <w:lang w:val="en-US" w:eastAsia="zh-CN"/>
              </w:rPr>
              <w:t>3</w:t>
            </w:r>
            <w:r>
              <w:rPr>
                <w:rFonts w:cs="Times New Roman"/>
                <w:bCs/>
                <w:color w:val="auto"/>
                <w:sz w:val="24"/>
                <w:szCs w:val="24"/>
                <w:lang w:eastAsia="zh-TW"/>
              </w:rPr>
              <w:t>类功能区标准。</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bCs/>
                <w:color w:val="auto"/>
                <w:sz w:val="24"/>
                <w:szCs w:val="24"/>
                <w:lang w:eastAsia="zh-TW"/>
              </w:rPr>
            </w:pPr>
            <w:r>
              <w:rPr>
                <w:rFonts w:cs="Times New Roman"/>
                <w:bCs/>
                <w:color w:val="auto"/>
                <w:sz w:val="24"/>
                <w:szCs w:val="24"/>
                <w:lang w:eastAsia="zh-TW"/>
              </w:rPr>
              <w:t>项目各产污环节采取了完善的污染防治措施，严格控制污染物排放。本项目采取完善的污染</w:t>
            </w:r>
            <w:r>
              <w:rPr>
                <w:rFonts w:hint="eastAsia" w:cs="Times New Roman"/>
                <w:bCs/>
                <w:color w:val="auto"/>
                <w:sz w:val="24"/>
                <w:szCs w:val="24"/>
                <w:lang w:eastAsia="zh-CN"/>
              </w:rPr>
              <w:t>防治</w:t>
            </w:r>
            <w:r>
              <w:rPr>
                <w:rFonts w:cs="Times New Roman"/>
                <w:bCs/>
                <w:color w:val="auto"/>
                <w:sz w:val="24"/>
                <w:szCs w:val="24"/>
                <w:lang w:eastAsia="zh-TW"/>
              </w:rPr>
              <w:t>措施，各类污染物均能够实现达标排放。本项目</w:t>
            </w:r>
            <w:r>
              <w:rPr>
                <w:rFonts w:hint="eastAsia" w:cs="Times New Roman"/>
                <w:bCs/>
                <w:color w:val="auto"/>
                <w:sz w:val="24"/>
                <w:szCs w:val="24"/>
                <w:lang w:eastAsia="zh-CN"/>
              </w:rPr>
              <w:t>转运机房封闭</w:t>
            </w:r>
            <w:r>
              <w:rPr>
                <w:rFonts w:cs="Times New Roman"/>
                <w:bCs/>
                <w:color w:val="auto"/>
                <w:sz w:val="24"/>
                <w:szCs w:val="24"/>
                <w:lang w:eastAsia="zh-TW"/>
              </w:rPr>
              <w:t>，</w:t>
            </w:r>
            <w:r>
              <w:rPr>
                <w:rFonts w:cs="Times New Roman"/>
                <w:bCs/>
                <w:color w:val="auto"/>
                <w:sz w:val="24"/>
                <w:szCs w:val="24"/>
                <w:lang w:val="zh-CN" w:eastAsia="zh-TW"/>
              </w:rPr>
              <w:t>废气经</w:t>
            </w:r>
            <w:r>
              <w:rPr>
                <w:rFonts w:hint="eastAsia" w:cs="Times New Roman"/>
                <w:bCs/>
                <w:color w:val="auto"/>
                <w:sz w:val="24"/>
                <w:szCs w:val="24"/>
                <w:highlight w:val="none"/>
                <w:lang w:val="en-US" w:eastAsia="zh-TW"/>
              </w:rPr>
              <w:t>微干雾抑尘系统</w:t>
            </w:r>
            <w:r>
              <w:rPr>
                <w:rFonts w:cs="Times New Roman"/>
                <w:bCs/>
                <w:color w:val="auto"/>
                <w:sz w:val="24"/>
                <w:szCs w:val="24"/>
                <w:highlight w:val="none"/>
                <w:lang w:eastAsia="zh-TW"/>
              </w:rPr>
              <w:t>处理后由</w:t>
            </w:r>
            <w:r>
              <w:rPr>
                <w:rFonts w:hint="eastAsia" w:cs="Times New Roman"/>
                <w:bCs/>
                <w:color w:val="auto"/>
                <w:sz w:val="24"/>
                <w:szCs w:val="24"/>
                <w:highlight w:val="none"/>
                <w:lang w:eastAsia="zh-CN"/>
              </w:rPr>
              <w:t>无组织</w:t>
            </w:r>
            <w:r>
              <w:rPr>
                <w:rFonts w:cs="Times New Roman"/>
                <w:bCs/>
                <w:color w:val="auto"/>
                <w:sz w:val="24"/>
                <w:szCs w:val="24"/>
                <w:highlight w:val="none"/>
                <w:lang w:val="zh-CN" w:eastAsia="zh-TW"/>
              </w:rPr>
              <w:t>达标排放</w:t>
            </w:r>
            <w:r>
              <w:rPr>
                <w:rFonts w:cs="Times New Roman"/>
                <w:bCs/>
                <w:color w:val="auto"/>
                <w:sz w:val="24"/>
                <w:szCs w:val="24"/>
                <w:lang w:val="zh-CN" w:eastAsia="zh-TW"/>
              </w:rPr>
              <w:t>；无生产</w:t>
            </w:r>
            <w:r>
              <w:rPr>
                <w:rFonts w:hint="eastAsia" w:cs="Times New Roman"/>
                <w:bCs/>
                <w:color w:val="auto"/>
                <w:sz w:val="24"/>
                <w:szCs w:val="24"/>
                <w:lang w:val="zh-CN" w:eastAsia="zh-TW"/>
              </w:rPr>
              <w:t>生活</w:t>
            </w:r>
            <w:r>
              <w:rPr>
                <w:rFonts w:cs="Times New Roman"/>
                <w:bCs/>
                <w:color w:val="auto"/>
                <w:sz w:val="24"/>
                <w:szCs w:val="24"/>
                <w:lang w:val="zh-CN" w:eastAsia="zh-TW"/>
              </w:rPr>
              <w:t>废水外排；</w:t>
            </w:r>
            <w:r>
              <w:rPr>
                <w:rFonts w:cs="Times New Roman"/>
                <w:bCs/>
                <w:color w:val="auto"/>
                <w:sz w:val="24"/>
                <w:szCs w:val="24"/>
                <w:lang w:eastAsia="zh-TW"/>
              </w:rPr>
              <w:t>生产过程中产生的噪声采取基础减振、厂房隔声等措施后，再经过距离衰减，各侧厂界外1m处噪声贡献值可满足《工业企业厂界环境噪声排放标准》（GB12348-2008）</w:t>
            </w:r>
            <w:r>
              <w:rPr>
                <w:rFonts w:hint="eastAsia" w:cs="Times New Roman"/>
                <w:bCs/>
                <w:color w:val="auto"/>
                <w:sz w:val="24"/>
                <w:szCs w:val="24"/>
                <w:lang w:val="en-US" w:eastAsia="zh-CN"/>
              </w:rPr>
              <w:t>3</w:t>
            </w:r>
            <w:r>
              <w:rPr>
                <w:rFonts w:cs="Times New Roman"/>
                <w:bCs/>
                <w:color w:val="auto"/>
                <w:sz w:val="24"/>
                <w:szCs w:val="24"/>
                <w:lang w:eastAsia="zh-TW"/>
              </w:rPr>
              <w:t>类标准，对周围声环境影响较小。本项目产生的一般固废均暂存于车间内一般固废堆存区，禁止露天、散乱堆放，危险废物用专用容器收集后暂存危废间，定期交有危废资质单位处理，职工生活垃圾集中收集后交环卫部门统一处理。</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rPr>
            </w:pPr>
            <w:r>
              <w:rPr>
                <w:rFonts w:cs="Times New Roman"/>
                <w:bCs/>
                <w:color w:val="auto"/>
                <w:sz w:val="24"/>
                <w:szCs w:val="24"/>
                <w:lang w:eastAsia="zh-TW"/>
              </w:rPr>
              <w:t>因此，在严格落实废气、废水、噪声、固废等污染防治措施前提下，项目的实施不会对周围环境产生明显影响，不会改变区域的环境质量功能类别。</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rPr>
            </w:pPr>
            <w:r>
              <w:rPr>
                <w:rFonts w:cs="Times New Roman"/>
                <w:color w:val="auto"/>
                <w:sz w:val="24"/>
                <w:szCs w:val="24"/>
              </w:rPr>
              <w:t>（3）资源利用上线</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bCs/>
                <w:color w:val="auto"/>
                <w:sz w:val="24"/>
                <w:szCs w:val="24"/>
              </w:rPr>
            </w:pPr>
            <w:r>
              <w:rPr>
                <w:rFonts w:cs="Times New Roman"/>
                <w:bCs/>
                <w:color w:val="auto"/>
                <w:sz w:val="24"/>
                <w:szCs w:val="24"/>
              </w:rPr>
              <w:t>本项目建设生产过程中，主要利用的资源是土地、水、电。项目占地不涉及基本农田；</w:t>
            </w:r>
            <w:r>
              <w:rPr>
                <w:rFonts w:hint="eastAsia" w:cs="Times New Roman"/>
                <w:bCs/>
                <w:color w:val="auto"/>
                <w:sz w:val="24"/>
                <w:szCs w:val="24"/>
                <w:lang w:eastAsia="zh-CN"/>
              </w:rPr>
              <w:t>生产</w:t>
            </w:r>
            <w:r>
              <w:rPr>
                <w:rFonts w:hint="eastAsia" w:cs="Times New Roman"/>
                <w:bCs/>
                <w:color w:val="auto"/>
                <w:sz w:val="24"/>
                <w:szCs w:val="24"/>
                <w:highlight w:val="none"/>
                <w:lang w:eastAsia="zh-CN"/>
              </w:rPr>
              <w:t>用水由园区管网供应，</w:t>
            </w:r>
            <w:r>
              <w:rPr>
                <w:rFonts w:cs="Times New Roman"/>
                <w:bCs/>
                <w:color w:val="auto"/>
                <w:sz w:val="24"/>
                <w:szCs w:val="24"/>
                <w:highlight w:val="none"/>
              </w:rPr>
              <w:t>生产废水循环用于生产工序</w:t>
            </w:r>
            <w:r>
              <w:rPr>
                <w:rFonts w:hint="eastAsia" w:cs="Times New Roman"/>
                <w:bCs/>
                <w:color w:val="auto"/>
                <w:sz w:val="24"/>
                <w:szCs w:val="24"/>
                <w:highlight w:val="none"/>
                <w:lang w:eastAsia="zh-CN"/>
              </w:rPr>
              <w:t>不外排</w:t>
            </w:r>
            <w:r>
              <w:rPr>
                <w:rFonts w:cs="Times New Roman"/>
                <w:bCs/>
                <w:color w:val="auto"/>
                <w:sz w:val="24"/>
                <w:szCs w:val="24"/>
                <w:highlight w:val="none"/>
              </w:rPr>
              <w:t>；用电由</w:t>
            </w:r>
            <w:r>
              <w:rPr>
                <w:rFonts w:hint="eastAsia" w:cs="Times New Roman"/>
                <w:bCs/>
                <w:color w:val="auto"/>
                <w:sz w:val="24"/>
                <w:szCs w:val="24"/>
                <w:highlight w:val="none"/>
              </w:rPr>
              <w:t>当地</w:t>
            </w:r>
            <w:r>
              <w:rPr>
                <w:rFonts w:cs="Times New Roman"/>
                <w:bCs/>
                <w:color w:val="auto"/>
                <w:sz w:val="24"/>
                <w:szCs w:val="24"/>
              </w:rPr>
              <w:t>电网统一提供，最大限度的满足资源利用上线要求。因此，项目资源利用满足要求。</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bCs/>
                <w:color w:val="auto"/>
                <w:sz w:val="24"/>
                <w:szCs w:val="24"/>
              </w:rPr>
            </w:pPr>
            <w:r>
              <w:rPr>
                <w:rFonts w:cs="Times New Roman"/>
                <w:bCs/>
                <w:color w:val="auto"/>
                <w:sz w:val="24"/>
                <w:szCs w:val="24"/>
              </w:rPr>
              <w:t>（4）环境准入负面清单</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rPr>
            </w:pPr>
            <w:r>
              <w:rPr>
                <w:rFonts w:cs="Times New Roman"/>
                <w:color w:val="auto"/>
                <w:sz w:val="24"/>
                <w:szCs w:val="24"/>
              </w:rPr>
              <w:t>在产业政策方面，本项目为</w:t>
            </w:r>
            <w:r>
              <w:rPr>
                <w:rFonts w:hint="eastAsia" w:cs="Times New Roman"/>
                <w:color w:val="auto"/>
                <w:sz w:val="24"/>
                <w:szCs w:val="24"/>
                <w:highlight w:val="none"/>
              </w:rPr>
              <w:t>煤炭</w:t>
            </w:r>
            <w:r>
              <w:rPr>
                <w:rFonts w:hint="eastAsia" w:cs="Times New Roman"/>
                <w:color w:val="auto"/>
                <w:sz w:val="24"/>
                <w:szCs w:val="24"/>
                <w:highlight w:val="none"/>
                <w:lang w:eastAsia="zh-CN"/>
              </w:rPr>
              <w:t>、矿石廊道运输</w:t>
            </w:r>
            <w:r>
              <w:rPr>
                <w:rFonts w:cs="Times New Roman"/>
                <w:color w:val="auto"/>
                <w:sz w:val="24"/>
                <w:szCs w:val="24"/>
                <w:highlight w:val="none"/>
              </w:rPr>
              <w:t>项目</w:t>
            </w:r>
            <w:r>
              <w:rPr>
                <w:rFonts w:cs="Times New Roman"/>
                <w:color w:val="auto"/>
                <w:sz w:val="24"/>
                <w:szCs w:val="24"/>
              </w:rPr>
              <w:t>，不属于国家《产业结构调整指导目录（20</w:t>
            </w:r>
            <w:r>
              <w:rPr>
                <w:rFonts w:hint="eastAsia" w:cs="Times New Roman"/>
                <w:color w:val="auto"/>
                <w:sz w:val="24"/>
                <w:szCs w:val="24"/>
                <w:lang w:val="en-US" w:eastAsia="zh-CN"/>
              </w:rPr>
              <w:t>24</w:t>
            </w:r>
            <w:r>
              <w:rPr>
                <w:rFonts w:cs="Times New Roman"/>
                <w:color w:val="auto"/>
                <w:sz w:val="24"/>
                <w:szCs w:val="24"/>
              </w:rPr>
              <w:t>年本）》中禁止、限制类，属于允许类。</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rPr>
            </w:pPr>
            <w:r>
              <w:rPr>
                <w:rFonts w:cs="Times New Roman"/>
                <w:color w:val="auto"/>
                <w:sz w:val="24"/>
                <w:szCs w:val="24"/>
              </w:rPr>
              <w:t>与《市场准入负面清单（2020年版）》（发改体改〔2020〕1880号）逐一比对，本项目不属于《市场准入负面清单（2020年版）》（发改体改〔2020〕1880号）中禁止准入和许可准入事项，属于清单以外行业，根据文件要求“清单以外的行业、领域、业务等，不得设置市场准入审批事项，各类市场主体皆可依法平等进入”。因此，本项目建设符合国家市场准入条件。对照生态负面清单</w:t>
            </w:r>
            <w:r>
              <w:rPr>
                <w:rFonts w:cs="Times New Roman"/>
                <w:color w:val="auto"/>
                <w:sz w:val="24"/>
                <w:szCs w:val="24"/>
                <w:highlight w:val="none"/>
              </w:rPr>
              <w:t>中，项目</w:t>
            </w:r>
            <w:r>
              <w:rPr>
                <w:rFonts w:cs="Times New Roman"/>
                <w:bCs/>
                <w:color w:val="auto"/>
                <w:sz w:val="24"/>
                <w:szCs w:val="24"/>
              </w:rPr>
              <w:t>占地不涉及基本农田</w:t>
            </w:r>
            <w:r>
              <w:rPr>
                <w:rFonts w:cs="Times New Roman"/>
                <w:color w:val="auto"/>
                <w:sz w:val="24"/>
                <w:szCs w:val="24"/>
                <w:highlight w:val="none"/>
              </w:rPr>
              <w:t>，</w:t>
            </w:r>
            <w:r>
              <w:rPr>
                <w:rFonts w:hint="eastAsia" w:cs="Times New Roman"/>
                <w:color w:val="auto"/>
                <w:sz w:val="24"/>
                <w:szCs w:val="24"/>
                <w:highlight w:val="none"/>
              </w:rPr>
              <w:t>无废水外排</w:t>
            </w:r>
            <w:r>
              <w:rPr>
                <w:rFonts w:cs="Times New Roman"/>
                <w:color w:val="auto"/>
                <w:sz w:val="24"/>
                <w:szCs w:val="24"/>
                <w:highlight w:val="none"/>
              </w:rPr>
              <w:t>，不在生态负面清单中；对照资源环境负面清单，项目符合各级《大气污染防治行动</w:t>
            </w:r>
            <w:r>
              <w:rPr>
                <w:rFonts w:cs="Times New Roman"/>
                <w:color w:val="auto"/>
                <w:sz w:val="24"/>
                <w:szCs w:val="24"/>
              </w:rPr>
              <w:t>计划》、《水污染防治行动计划》和《土壤污染防治行动计划》，满足区域污染物总量管控要求，项目生产废水循环使用不外排，不在资源环境负面清单中。</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jc w:val="both"/>
              <w:textAlignment w:val="auto"/>
              <w:rPr>
                <w:rFonts w:hint="eastAsia" w:ascii="Times New Roman" w:hAnsi="Times New Roman" w:eastAsia="宋体" w:cs="Times New Roman"/>
                <w:color w:val="auto"/>
                <w:sz w:val="24"/>
                <w:szCs w:val="24"/>
                <w:highlight w:val="none"/>
                <w:lang w:eastAsia="zh-CN"/>
              </w:rPr>
            </w:pPr>
            <w:r>
              <w:rPr>
                <w:rFonts w:hint="eastAsia" w:cs="Times New Roman"/>
                <w:color w:val="auto"/>
                <w:sz w:val="24"/>
                <w:szCs w:val="24"/>
                <w:highlight w:val="none"/>
                <w:lang w:eastAsia="zh-CN"/>
              </w:rPr>
              <w:t>（</w:t>
            </w:r>
            <w:r>
              <w:rPr>
                <w:rFonts w:hint="eastAsia" w:cs="Times New Roman"/>
                <w:color w:val="auto"/>
                <w:sz w:val="24"/>
                <w:szCs w:val="24"/>
                <w:highlight w:val="none"/>
                <w:lang w:val="en-US" w:eastAsia="zh-CN"/>
              </w:rPr>
              <w:t>5</w:t>
            </w:r>
            <w:r>
              <w:rPr>
                <w:rFonts w:hint="eastAsia" w:cs="Times New Roman"/>
                <w:color w:val="auto"/>
                <w:sz w:val="24"/>
                <w:szCs w:val="24"/>
                <w:highlight w:val="none"/>
                <w:lang w:eastAsia="zh-CN"/>
              </w:rPr>
              <w:t>）</w:t>
            </w:r>
            <w:r>
              <w:rPr>
                <w:rFonts w:hint="eastAsia" w:cs="Times New Roman"/>
                <w:color w:val="auto"/>
                <w:sz w:val="24"/>
                <w:szCs w:val="24"/>
                <w:highlight w:val="none"/>
                <w:lang w:val="en-US" w:eastAsia="zh-CN"/>
              </w:rPr>
              <w:t>本项目与</w:t>
            </w:r>
            <w:r>
              <w:rPr>
                <w:rFonts w:hint="default" w:ascii="Times New Roman" w:hAnsi="Times New Roman" w:eastAsia="宋体" w:cs="Times New Roman"/>
                <w:color w:val="auto"/>
                <w:sz w:val="24"/>
                <w:szCs w:val="24"/>
                <w:highlight w:val="none"/>
                <w:lang w:val="en-US" w:eastAsia="zh-CN"/>
              </w:rPr>
              <w:t>《唐山市生态环境准入清单（2023年版）》</w:t>
            </w:r>
            <w:r>
              <w:rPr>
                <w:rFonts w:hint="eastAsia" w:cs="Times New Roman"/>
                <w:color w:val="auto"/>
                <w:sz w:val="24"/>
                <w:szCs w:val="24"/>
                <w:highlight w:val="none"/>
                <w:lang w:val="en-US" w:eastAsia="zh-CN"/>
              </w:rPr>
              <w:t>符合性分析</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根据“唐山市生态环境准入清单”全市总体准入要求，本项目选址不涉及生态保护红线区、自然保护区、风景名胜区、森林公园、湿地公园、地质公园、水产种质资源保护区、自然文化遗产、湿地空间、饮用水地表水源保护区及其准保护区、饮用水地下水源保护区及其准保护区等，无需执行相关的管控要求。</w:t>
            </w:r>
            <w:r>
              <w:rPr>
                <w:rFonts w:hint="eastAsia" w:ascii="Times New Roman" w:hAnsi="Times New Roman" w:eastAsia="宋体" w:cs="Times New Roman"/>
                <w:color w:val="auto"/>
                <w:sz w:val="24"/>
                <w:szCs w:val="24"/>
                <w:highlight w:val="none"/>
                <w:lang w:val="en-US" w:eastAsia="zh-CN"/>
              </w:rPr>
              <w:t>本项目位于</w:t>
            </w:r>
            <w:r>
              <w:rPr>
                <w:rFonts w:hint="eastAsia" w:cs="Times New Roman"/>
                <w:color w:val="auto"/>
                <w:sz w:val="24"/>
                <w:szCs w:val="24"/>
                <w:highlight w:val="none"/>
                <w:lang w:val="en-US" w:eastAsia="zh-CN"/>
              </w:rPr>
              <w:t>河北唐山海港经济开发区</w:t>
            </w:r>
            <w:r>
              <w:rPr>
                <w:rFonts w:hint="eastAsia" w:ascii="Times New Roman" w:hAnsi="Times New Roman" w:eastAsia="宋体" w:cs="Times New Roman"/>
                <w:color w:val="auto"/>
                <w:sz w:val="24"/>
                <w:szCs w:val="24"/>
                <w:highlight w:val="none"/>
                <w:lang w:eastAsia="zh-CN"/>
              </w:rPr>
              <w:t>，</w:t>
            </w:r>
            <w:r>
              <w:rPr>
                <w:rFonts w:hint="eastAsia" w:ascii="Times New Roman" w:hAnsi="Times New Roman" w:eastAsia="宋体" w:cs="Times New Roman"/>
                <w:color w:val="auto"/>
                <w:sz w:val="24"/>
                <w:szCs w:val="24"/>
                <w:highlight w:val="none"/>
                <w:lang w:val="en-US" w:eastAsia="zh-CN"/>
              </w:rPr>
              <w:t>属于重点管控单元，详见附图7，现针对与本项目相关的管控要求进行分析。</w:t>
            </w:r>
          </w:p>
          <w:p>
            <w:pPr>
              <w:keepNext w:val="0"/>
              <w:keepLines w:val="0"/>
              <w:suppressLineNumbers w:val="0"/>
              <w:spacing w:before="0" w:beforeAutospacing="0" w:after="0" w:afterAutospacing="0" w:line="480" w:lineRule="exact"/>
              <w:ind w:left="0" w:right="0"/>
              <w:jc w:val="center"/>
              <w:rPr>
                <w:rFonts w:hint="default" w:ascii="Times New Roman" w:hAnsi="Times New Roman" w:eastAsia="宋体" w:cs="Times New Roman"/>
                <w:b/>
                <w:color w:val="auto"/>
                <w:szCs w:val="21"/>
                <w:highlight w:val="none"/>
              </w:rPr>
            </w:pPr>
            <w:r>
              <w:rPr>
                <w:rFonts w:hint="default" w:ascii="Times New Roman" w:hAnsi="Times New Roman" w:eastAsia="宋体" w:cs="Times New Roman"/>
                <w:b/>
                <w:color w:val="auto"/>
                <w:szCs w:val="21"/>
                <w:highlight w:val="none"/>
              </w:rPr>
              <w:t>表</w:t>
            </w:r>
            <w:r>
              <w:rPr>
                <w:rFonts w:hint="eastAsia" w:ascii="Times New Roman" w:hAnsi="Times New Roman" w:eastAsia="宋体" w:cs="Times New Roman"/>
                <w:b/>
                <w:color w:val="auto"/>
                <w:szCs w:val="21"/>
                <w:highlight w:val="none"/>
                <w:lang w:val="en-US" w:eastAsia="zh-CN"/>
              </w:rPr>
              <w:t>1-6</w:t>
            </w:r>
            <w:r>
              <w:rPr>
                <w:rFonts w:hint="default" w:ascii="Times New Roman" w:hAnsi="Times New Roman" w:eastAsia="宋体" w:cs="Times New Roman"/>
                <w:b/>
                <w:color w:val="auto"/>
                <w:szCs w:val="21"/>
                <w:highlight w:val="none"/>
              </w:rPr>
              <w:t xml:space="preserve">  本项目与</w:t>
            </w:r>
            <w:r>
              <w:rPr>
                <w:rFonts w:hint="default" w:ascii="Times New Roman" w:hAnsi="Times New Roman" w:eastAsia="宋体" w:cs="Times New Roman"/>
                <w:b/>
                <w:color w:val="auto"/>
                <w:szCs w:val="21"/>
                <w:highlight w:val="none"/>
                <w:lang w:val="en-US" w:eastAsia="zh-CN"/>
              </w:rPr>
              <w:t>《唐山市生态环境准入清单（2023年版）》</w:t>
            </w:r>
            <w:r>
              <w:rPr>
                <w:rFonts w:hint="default" w:ascii="Times New Roman" w:hAnsi="Times New Roman" w:eastAsia="宋体" w:cs="Times New Roman"/>
                <w:b/>
                <w:color w:val="auto"/>
                <w:szCs w:val="21"/>
                <w:highlight w:val="none"/>
              </w:rPr>
              <w:t>符合性分析</w:t>
            </w:r>
          </w:p>
          <w:tbl>
            <w:tblPr>
              <w:tblStyle w:val="27"/>
              <w:tblW w:w="4997"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 w:type="dxa"/>
                <w:bottom w:w="0" w:type="dxa"/>
                <w:right w:w="10" w:type="dxa"/>
              </w:tblCellMar>
            </w:tblPr>
            <w:tblGrid>
              <w:gridCol w:w="267"/>
              <w:gridCol w:w="505"/>
              <w:gridCol w:w="14"/>
              <w:gridCol w:w="790"/>
              <w:gridCol w:w="469"/>
              <w:gridCol w:w="3216"/>
              <w:gridCol w:w="1274"/>
              <w:gridCol w:w="4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0" w:hRule="atLeast"/>
                <w:jc w:val="center"/>
              </w:trPr>
              <w:tc>
                <w:tcPr>
                  <w:tcW w:w="3784" w:type="pct"/>
                  <w:gridSpan w:val="6"/>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eastAsia="宋体" w:cs="Times New Roman"/>
                      <w:color w:val="auto"/>
                      <w:spacing w:val="0"/>
                      <w:w w:val="100"/>
                      <w:position w:val="0"/>
                      <w:sz w:val="21"/>
                      <w:szCs w:val="21"/>
                      <w:highlight w:val="none"/>
                      <w:shd w:val="clear" w:color="auto" w:fill="auto"/>
                      <w:lang w:eastAsia="zh-CN"/>
                    </w:rPr>
                  </w:pPr>
                  <w:r>
                    <w:rPr>
                      <w:rFonts w:hint="default" w:ascii="Times New Roman" w:hAnsi="Times New Roman" w:cs="Times New Roman"/>
                      <w:b/>
                      <w:bCs/>
                      <w:color w:val="auto"/>
                      <w:spacing w:val="0"/>
                      <w:w w:val="100"/>
                      <w:position w:val="0"/>
                      <w:sz w:val="21"/>
                      <w:szCs w:val="21"/>
                      <w:highlight w:val="none"/>
                      <w:shd w:val="clear" w:color="auto" w:fill="auto"/>
                      <w:lang w:eastAsia="zh-CN"/>
                    </w:rPr>
                    <w:t>全市总体准入要求</w:t>
                  </w:r>
                </w:p>
              </w:tc>
              <w:tc>
                <w:tcPr>
                  <w:tcW w:w="916" w:type="pct"/>
                  <w:vMerge w:val="restar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pacing w:val="0"/>
                      <w:w w:val="100"/>
                      <w:position w:val="0"/>
                      <w:sz w:val="21"/>
                      <w:szCs w:val="21"/>
                      <w:highlight w:val="none"/>
                      <w:shd w:val="clear" w:color="auto" w:fill="auto"/>
                      <w:lang w:eastAsia="zh-CN"/>
                    </w:rPr>
                  </w:pPr>
                  <w:r>
                    <w:rPr>
                      <w:rFonts w:hint="default" w:ascii="Times New Roman" w:hAnsi="Times New Roman" w:cs="Times New Roman"/>
                      <w:color w:val="auto"/>
                      <w:spacing w:val="0"/>
                      <w:w w:val="100"/>
                      <w:position w:val="0"/>
                      <w:sz w:val="21"/>
                      <w:szCs w:val="21"/>
                      <w:highlight w:val="none"/>
                      <w:shd w:val="clear" w:color="auto" w:fill="auto"/>
                      <w:lang w:eastAsia="zh-CN"/>
                    </w:rPr>
                    <w:t>本项目情况</w:t>
                  </w:r>
                </w:p>
              </w:tc>
              <w:tc>
                <w:tcPr>
                  <w:tcW w:w="299" w:type="pct"/>
                  <w:vMerge w:val="restar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pacing w:val="0"/>
                      <w:w w:val="100"/>
                      <w:position w:val="0"/>
                      <w:sz w:val="21"/>
                      <w:szCs w:val="21"/>
                      <w:highlight w:val="none"/>
                      <w:shd w:val="clear" w:color="auto" w:fill="auto"/>
                      <w:lang w:eastAsia="zh-CN"/>
                    </w:rPr>
                  </w:pPr>
                  <w:r>
                    <w:rPr>
                      <w:rFonts w:hint="default" w:ascii="Times New Roman" w:hAnsi="Times New Roman" w:cs="Times New Roman"/>
                      <w:color w:val="auto"/>
                      <w:spacing w:val="0"/>
                      <w:w w:val="100"/>
                      <w:position w:val="0"/>
                      <w:sz w:val="21"/>
                      <w:szCs w:val="21"/>
                      <w:highlight w:val="none"/>
                      <w:shd w:val="clear" w:color="auto" w:fill="auto"/>
                      <w:lang w:eastAsia="zh-CN"/>
                    </w:rPr>
                    <w:t>符合性分析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0" w:hRule="atLeast"/>
                <w:jc w:val="center"/>
              </w:trPr>
              <w:tc>
                <w:tcPr>
                  <w:tcW w:w="193"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z w:val="21"/>
                      <w:szCs w:val="21"/>
                      <w:highlight w:val="none"/>
                      <w:shd w:val="clear" w:color="auto" w:fill="auto"/>
                    </w:rPr>
                  </w:pPr>
                  <w:r>
                    <w:rPr>
                      <w:rFonts w:hint="default" w:ascii="Times New Roman" w:hAnsi="Times New Roman" w:cs="Times New Roman"/>
                      <w:color w:val="auto"/>
                      <w:spacing w:val="0"/>
                      <w:w w:val="100"/>
                      <w:position w:val="0"/>
                      <w:sz w:val="21"/>
                      <w:szCs w:val="21"/>
                      <w:highlight w:val="none"/>
                      <w:shd w:val="clear" w:color="auto" w:fill="auto"/>
                    </w:rPr>
                    <w:t>要素属性</w:t>
                  </w:r>
                </w:p>
              </w:tc>
              <w:tc>
                <w:tcPr>
                  <w:tcW w:w="363"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z w:val="21"/>
                      <w:szCs w:val="21"/>
                      <w:highlight w:val="none"/>
                      <w:shd w:val="clear" w:color="auto" w:fill="auto"/>
                    </w:rPr>
                  </w:pPr>
                  <w:r>
                    <w:rPr>
                      <w:rFonts w:hint="default" w:ascii="Times New Roman" w:hAnsi="Times New Roman" w:cs="Times New Roman"/>
                      <w:color w:val="auto"/>
                      <w:spacing w:val="0"/>
                      <w:w w:val="100"/>
                      <w:position w:val="0"/>
                      <w:sz w:val="21"/>
                      <w:szCs w:val="21"/>
                      <w:highlight w:val="none"/>
                      <w:shd w:val="clear" w:color="auto" w:fill="auto"/>
                    </w:rPr>
                    <w:t>管控类别</w:t>
                  </w:r>
                </w:p>
              </w:tc>
              <w:tc>
                <w:tcPr>
                  <w:tcW w:w="3227" w:type="pct"/>
                  <w:gridSpan w:val="4"/>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z w:val="21"/>
                      <w:szCs w:val="21"/>
                      <w:highlight w:val="none"/>
                      <w:shd w:val="clear" w:color="auto" w:fill="auto"/>
                    </w:rPr>
                  </w:pPr>
                  <w:r>
                    <w:rPr>
                      <w:rFonts w:hint="default" w:ascii="Times New Roman" w:hAnsi="Times New Roman" w:cs="Times New Roman"/>
                      <w:color w:val="auto"/>
                      <w:spacing w:val="0"/>
                      <w:w w:val="100"/>
                      <w:position w:val="0"/>
                      <w:sz w:val="21"/>
                      <w:szCs w:val="21"/>
                      <w:highlight w:val="none"/>
                      <w:shd w:val="clear" w:color="auto" w:fill="auto"/>
                    </w:rPr>
                    <w:t>管控要求</w:t>
                  </w:r>
                </w:p>
              </w:tc>
              <w:tc>
                <w:tcPr>
                  <w:tcW w:w="916" w:type="pct"/>
                  <w:vMerge w:val="continue"/>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pacing w:val="0"/>
                      <w:w w:val="100"/>
                      <w:position w:val="0"/>
                      <w:sz w:val="21"/>
                      <w:szCs w:val="21"/>
                      <w:highlight w:val="none"/>
                      <w:shd w:val="clear" w:color="auto" w:fill="auto"/>
                    </w:rPr>
                  </w:pPr>
                </w:p>
              </w:tc>
              <w:tc>
                <w:tcPr>
                  <w:tcW w:w="299" w:type="pct"/>
                  <w:vMerge w:val="continue"/>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pacing w:val="0"/>
                      <w:w w:val="100"/>
                      <w:position w:val="0"/>
                      <w:sz w:val="21"/>
                      <w:szCs w:val="21"/>
                      <w:highlight w:val="none"/>
                      <w:shd w:val="clear" w:color="auto" w:fil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0" w:hRule="atLeast"/>
                <w:jc w:val="center"/>
              </w:trPr>
              <w:tc>
                <w:tcPr>
                  <w:tcW w:w="193"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center"/>
                    <w:textAlignment w:val="auto"/>
                    <w:rPr>
                      <w:rFonts w:hint="default" w:ascii="Times New Roman" w:hAnsi="Times New Roman" w:cs="Times New Roman"/>
                      <w:color w:val="auto"/>
                      <w:spacing w:val="0"/>
                      <w:w w:val="100"/>
                      <w:position w:val="0"/>
                      <w:sz w:val="21"/>
                      <w:szCs w:val="21"/>
                      <w:highlight w:val="none"/>
                      <w:shd w:val="clear" w:color="auto" w:fill="auto"/>
                    </w:rPr>
                  </w:pPr>
                  <w:r>
                    <w:rPr>
                      <w:rFonts w:hint="default" w:ascii="Times New Roman" w:hAnsi="Times New Roman" w:cs="Times New Roman"/>
                      <w:color w:val="auto"/>
                      <w:spacing w:val="0"/>
                      <w:w w:val="100"/>
                      <w:position w:val="0"/>
                      <w:sz w:val="21"/>
                      <w:szCs w:val="21"/>
                      <w:highlight w:val="none"/>
                    </w:rPr>
                    <w:t>产业总体布局要求</w:t>
                  </w:r>
                </w:p>
              </w:tc>
              <w:tc>
                <w:tcPr>
                  <w:tcW w:w="363"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空间布局约束</w:t>
                  </w:r>
                </w:p>
              </w:tc>
              <w:tc>
                <w:tcPr>
                  <w:tcW w:w="3227" w:type="pct"/>
                  <w:gridSpan w:val="4"/>
                  <w:tcBorders>
                    <w:tl2br w:val="nil"/>
                    <w:tr2bl w:val="nil"/>
                  </w:tcBorders>
                  <w:noWrap w:val="0"/>
                  <w:vAlign w:val="center"/>
                </w:tcPr>
                <w:p>
                  <w:pPr>
                    <w:pStyle w:val="77"/>
                    <w:keepNext w:val="0"/>
                    <w:keepLines w:val="0"/>
                    <w:pageBreakBefore w:val="0"/>
                    <w:widowControl w:val="0"/>
                    <w:suppressLineNumbers w:val="0"/>
                    <w:shd w:val="clear" w:color="auto" w:fill="auto"/>
                    <w:tabs>
                      <w:tab w:val="left" w:pos="312"/>
                    </w:tabs>
                    <w:kinsoku/>
                    <w:wordWrap/>
                    <w:overflowPunct/>
                    <w:topLinePunct w:val="0"/>
                    <w:autoSpaceDE/>
                    <w:autoSpaceDN/>
                    <w:bidi w:val="0"/>
                    <w:adjustRightInd/>
                    <w:snapToGrid/>
                    <w:spacing w:before="0" w:beforeAutospacing="0" w:after="0" w:afterAutospacing="0" w:line="0" w:lineRule="atLeast"/>
                    <w:ind w:left="0" w:right="0" w:firstLine="0"/>
                    <w:jc w:val="left"/>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pacing w:val="0"/>
                      <w:w w:val="100"/>
                      <w:position w:val="0"/>
                      <w:sz w:val="21"/>
                      <w:szCs w:val="21"/>
                      <w:highlight w:val="none"/>
                    </w:rPr>
                    <w:t>1、严格执行《产业结构调整指导目录》《市场准入负面清单》《河北省禁止投资的产业目录》相关要求。</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2、严格执行国家产业政策和准入标准，实行生态环境准入清单制度，禁止新建、扩建高污染项目，严格控制高耗能、高排放项目准入。新建、改建和扩建项目按照相关规定实行减量置换或</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者等量置换。</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3、禁止投资钢铁冶炼、水泥、电解铝、平板玻璃等产能严重过剩行业和炼焦、有色、电石、铁合金等新增产能项目。</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4、上一年度环境空气质量年平均浓度不达标的城市、水环境质量未达到要求的市县，相关污染物应按照建设项目所需替代的主要污染物排放总量指标的2倍进行削减替代</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rPr>
                    <w:t>燃煤发电机组大气污染物排放</w:t>
                  </w:r>
                  <w:r>
                    <w:rPr>
                      <w:rFonts w:hint="eastAsia" w:ascii="Times New Roman" w:hAnsi="Times New Roman" w:cs="Times New Roman"/>
                      <w:color w:val="auto"/>
                      <w:spacing w:val="0"/>
                      <w:w w:val="100"/>
                      <w:position w:val="0"/>
                      <w:sz w:val="21"/>
                      <w:szCs w:val="21"/>
                      <w:highlight w:val="none"/>
                      <w:lang w:eastAsia="zh-CN"/>
                    </w:rPr>
                    <w:t>浓</w:t>
                  </w:r>
                  <w:r>
                    <w:rPr>
                      <w:rFonts w:hint="default" w:ascii="Times New Roman" w:hAnsi="Times New Roman" w:cs="Times New Roman"/>
                      <w:color w:val="auto"/>
                      <w:spacing w:val="0"/>
                      <w:w w:val="100"/>
                      <w:position w:val="0"/>
                      <w:sz w:val="21"/>
                      <w:szCs w:val="21"/>
                      <w:highlight w:val="none"/>
                    </w:rPr>
                    <w:t>度基本达到燃气轮机组排放限值的除外</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rPr>
                    <w:t>。</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5、以水泥、平板玻璃、焦化、化工、制药等行业为重点，加快城市建成区重污染企业搬迁改造或关闭退出，县城和主要城镇建成区的重污染企业逐步实施退城搬迁。对不符合国家产业政策、不符合当地产业布局规划的分散燃煤</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rPr>
                    <w:t>燃重油等</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rPr>
                    <w:t>炉</w:t>
                  </w:r>
                  <w:r>
                    <w:rPr>
                      <w:rFonts w:hint="eastAsia" w:ascii="Times New Roman" w:hAnsi="Times New Roman" w:cs="Times New Roman"/>
                      <w:color w:val="auto"/>
                      <w:spacing w:val="0"/>
                      <w:w w:val="100"/>
                      <w:position w:val="0"/>
                      <w:sz w:val="21"/>
                      <w:szCs w:val="21"/>
                      <w:highlight w:val="none"/>
                      <w:lang w:eastAsia="zh-CN"/>
                    </w:rPr>
                    <w:t>煤</w:t>
                  </w:r>
                  <w:r>
                    <w:rPr>
                      <w:rFonts w:hint="default" w:ascii="Times New Roman" w:hAnsi="Times New Roman" w:cs="Times New Roman"/>
                      <w:color w:val="auto"/>
                      <w:spacing w:val="0"/>
                      <w:w w:val="100"/>
                      <w:position w:val="0"/>
                      <w:sz w:val="21"/>
                      <w:szCs w:val="21"/>
                      <w:highlight w:val="none"/>
                    </w:rPr>
                    <w:t>，鼓励搬迁入园并进行集中治理，推进治理装备升级改造，建设规模化和集的化工业企业。</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6、在优先保护类耕地集中区域严格控制新建有色金属冶炼、石油加工、化工、焦化、电镀、制革、铅蓄电池等行业企业，防止对耕地造成污染。</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rPr>
                  </w:pPr>
                  <w:r>
                    <w:rPr>
                      <w:rFonts w:hint="default" w:ascii="Times New Roman" w:hAnsi="Times New Roman" w:cs="Times New Roman"/>
                      <w:color w:val="auto"/>
                      <w:spacing w:val="0"/>
                      <w:w w:val="100"/>
                      <w:position w:val="0"/>
                      <w:sz w:val="21"/>
                      <w:szCs w:val="21"/>
                      <w:highlight w:val="none"/>
                    </w:rPr>
                    <w:t>7、新建、改建、扩建</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rPr>
                    <w:t>两高</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rPr>
                    <w:t>项目须符合生态环境保护法律法规和相关法定规划，满足重点污染物排放总量控制、碳排放达峰目标、生态环境准入清单、相关规划环评和相应行业建设项目环境准入条件、环评文件审批原则要求。</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8、鼓励钢铁冶炼项目建设依托具备条件的现有钢铁冶炼生产厂区集聚发展，在现有厂区建设钢铁冶炼项目没有粗钢产能建设规模限制要求。对确有必要新选址</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指不能与现有生产厂区共用公辅设施，下同</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建设的钢铁冶炼项目粗钢产能规模要求如下</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沿海地区</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指拥有海岸线的设区市</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不低于 2000 万吨/年</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允许分两期建设，5年内全部建成，一期不低于 1000 万吨/年</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9、严格规范危化品管理，逐步退出人口聚集区内危化品的生产、储存、加工机构，加快实施重污染企业搬迁</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加强居住区生态环境防护，建设封闭式石化园区，严格控制危化品仓储基地、运输路径等，减少对居民生活影响。</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10、严格控制尿素、磷铵、电石、烧碱、</w:t>
                  </w:r>
                  <w:r>
                    <w:rPr>
                      <w:rFonts w:hint="eastAsia" w:ascii="Times New Roman" w:hAnsi="Times New Roman" w:cs="Times New Roman"/>
                      <w:color w:val="auto"/>
                      <w:spacing w:val="0"/>
                      <w:w w:val="100"/>
                      <w:position w:val="0"/>
                      <w:sz w:val="21"/>
                      <w:szCs w:val="21"/>
                      <w:highlight w:val="none"/>
                      <w:lang w:eastAsia="zh-CN"/>
                    </w:rPr>
                    <w:t>聚苯乙烯</w:t>
                  </w:r>
                  <w:r>
                    <w:rPr>
                      <w:rFonts w:hint="default" w:ascii="Times New Roman" w:hAnsi="Times New Roman" w:cs="Times New Roman"/>
                      <w:color w:val="auto"/>
                      <w:spacing w:val="0"/>
                      <w:w w:val="100"/>
                      <w:position w:val="0"/>
                      <w:sz w:val="21"/>
                      <w:szCs w:val="21"/>
                      <w:highlight w:val="none"/>
                      <w:lang w:eastAsia="zh-CN"/>
                    </w:rPr>
                    <w:t>、纯碱、黄磷等过剩行业新增产能，相关部门和机构不得违规办理土地</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海域</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供应、能评、环评和新增授信等业务，对符合政策要求的先进工艺改造提升项目应实行等量或减量置换。有序推进曹妃甸石化产业基地建设。未纳入《石化产业规划布局方案》的新建炼化项目一律不得建设。强化安全卫生防护距离和规划环评约束，不符合要求的化工园区、化工品储存项目要关闭退出，危险化学品生产企业搬迁改造及新建化工项目必须进入规范化工园区。</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11、逐步淘汰180平方米以下烧结机，逐步淘汰平面步进式烧结机，按照有关规定改造升级为大型带式烧结机</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禁止新建球团竖炉，现有球团竖炉炉役到期不得大修，加快推动以链机回转密或带式焙烧机工艺取代球团竖炉工艺，鼓励企业之间通过合资合作方式建设大型链机-回转密、带式</w:t>
                  </w:r>
                  <w:r>
                    <w:rPr>
                      <w:rFonts w:hint="eastAsia" w:ascii="Times New Roman" w:hAnsi="Times New Roman" w:cs="Times New Roman"/>
                      <w:color w:val="auto"/>
                      <w:spacing w:val="0"/>
                      <w:w w:val="100"/>
                      <w:position w:val="0"/>
                      <w:sz w:val="21"/>
                      <w:szCs w:val="21"/>
                      <w:highlight w:val="none"/>
                      <w:lang w:eastAsia="zh-CN"/>
                    </w:rPr>
                    <w:t>焙烧</w:t>
                  </w:r>
                  <w:r>
                    <w:rPr>
                      <w:rFonts w:hint="default" w:ascii="Times New Roman" w:hAnsi="Times New Roman" w:cs="Times New Roman"/>
                      <w:color w:val="auto"/>
                      <w:spacing w:val="0"/>
                      <w:w w:val="100"/>
                      <w:position w:val="0"/>
                      <w:sz w:val="21"/>
                      <w:szCs w:val="21"/>
                      <w:highlight w:val="none"/>
                      <w:lang w:eastAsia="zh-CN"/>
                    </w:rPr>
                    <w:t>机</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加快推动以密闭皮带机取代汽车转运厂内大宗物料。</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12、技术装备全面升级，高炉逐步达到1000 立方米及以上、转炉逐步达到 100 吨及以上、烧结机逐步达到180平方米烧结机及以上。严格按照国家规定的产能减量置换政策实施改造升级，坚决杜绝借改造升级之机变相扩大生产能力</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推广“一罐到底”工艺或采用鱼雷罐车运输铁水。</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13、尚未配备脱硫装置的球团竖炉，立即停产淘汰，不再子以改造</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烧结厂房实现全封闭。</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14、严禁备案和新建扩大产能的水泥熟料、平板玻璃项目。确有必要新建的，必须制定产能置换方案，实施产能置换。用于产能置换的生产线，必须在建设项目投产前关停并完成拆除退出。</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15、引导和支持优势水泥熟料企业开展对单独粉磨企业的整合。</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16、平板玻璃行业生产布局应满足《平板玻璃行业规范条件》要求。17、严格控制矿产资源开采总量，重点压减与煤炭、水泥、玻璃等过剩产能行业配套的矿产资源开采总量。停止新批石音矿项目、平原区煤炭开发项目。暂停新增生产能力的产能过剩矿产开发项目审批，已有矿山暂停扩大矿区范围审批。暂停新上露天矿产开发项目审批，已有露天矿山暂停扩大矿区范围审批。暂停新上达不到工业品位的铁矿开发项目审批。做好矿区开发生态环境影响评估论证，论证不通过，一律禁止开发。</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eastAsia="宋体"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18、实施矿山关闭和停批。依法关闭严重破坏生态环境和严重浪费水资源的矿山</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依法关闭列入煤炭去产能计划的煤矿</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依法关闭限期整改仍达不到生态环境保护要求和环保、安全标准的矿山</w:t>
                  </w:r>
                  <w:r>
                    <w:rPr>
                      <w:rFonts w:hint="eastAsia" w:ascii="Times New Roman" w:hAnsi="Times New Roman" w:cs="Times New Roman"/>
                      <w:color w:val="auto"/>
                      <w:spacing w:val="0"/>
                      <w:w w:val="100"/>
                      <w:position w:val="0"/>
                      <w:sz w:val="21"/>
                      <w:szCs w:val="21"/>
                      <w:highlight w:val="none"/>
                      <w:lang w:eastAsia="zh-CN"/>
                    </w:rPr>
                    <w:t>：</w:t>
                  </w:r>
                  <w:r>
                    <w:rPr>
                      <w:rFonts w:hint="default" w:ascii="Times New Roman" w:hAnsi="Times New Roman" w:cs="Times New Roman"/>
                      <w:color w:val="auto"/>
                      <w:spacing w:val="0"/>
                      <w:w w:val="100"/>
                      <w:position w:val="0"/>
                      <w:sz w:val="21"/>
                      <w:szCs w:val="21"/>
                      <w:highlight w:val="none"/>
                      <w:lang w:eastAsia="zh-CN"/>
                    </w:rPr>
                    <w:t>依法关闭现有</w:t>
                  </w:r>
                  <w:r>
                    <w:rPr>
                      <w:rFonts w:hint="eastAsia" w:ascii="Times New Roman" w:hAnsi="Times New Roman" w:cs="Times New Roman"/>
                      <w:color w:val="auto"/>
                      <w:spacing w:val="0"/>
                      <w:w w:val="100"/>
                      <w:position w:val="0"/>
                      <w:sz w:val="21"/>
                      <w:szCs w:val="21"/>
                      <w:highlight w:val="none"/>
                      <w:lang w:eastAsia="zh-CN"/>
                    </w:rPr>
                    <w:t>石灰矿</w:t>
                  </w:r>
                  <w:r>
                    <w:rPr>
                      <w:rFonts w:hint="default" w:ascii="Times New Roman" w:hAnsi="Times New Roman" w:cs="Times New Roman"/>
                      <w:color w:val="auto"/>
                      <w:spacing w:val="0"/>
                      <w:w w:val="100"/>
                      <w:position w:val="0"/>
                      <w:sz w:val="21"/>
                      <w:szCs w:val="21"/>
                      <w:highlight w:val="none"/>
                      <w:lang w:eastAsia="zh-CN"/>
                    </w:rPr>
                    <w:t>和严重污染环境的石灰窑、小建材加工点。</w:t>
                  </w:r>
                </w:p>
              </w:tc>
              <w:tc>
                <w:tcPr>
                  <w:tcW w:w="916"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eastAsia="宋体" w:cs="Times New Roman"/>
                      <w:color w:val="auto"/>
                      <w:spacing w:val="0"/>
                      <w:w w:val="100"/>
                      <w:position w:val="0"/>
                      <w:sz w:val="21"/>
                      <w:szCs w:val="21"/>
                      <w:highlight w:val="none"/>
                      <w:shd w:val="clear" w:color="auto" w:fill="auto"/>
                      <w:lang w:eastAsia="zh-CN"/>
                    </w:rPr>
                  </w:pPr>
                  <w:r>
                    <w:rPr>
                      <w:rFonts w:hint="default" w:ascii="Times New Roman" w:hAnsi="Times New Roman" w:cs="Times New Roman"/>
                      <w:color w:val="auto"/>
                      <w:spacing w:val="0"/>
                      <w:w w:val="100"/>
                      <w:position w:val="0"/>
                      <w:sz w:val="21"/>
                      <w:szCs w:val="21"/>
                      <w:highlight w:val="none"/>
                      <w:shd w:val="clear" w:color="auto" w:fill="auto"/>
                      <w:lang w:eastAsia="zh-CN"/>
                    </w:rPr>
                    <w:t>本项目严格执行</w:t>
                  </w:r>
                  <w:r>
                    <w:rPr>
                      <w:rFonts w:hint="default" w:ascii="Times New Roman" w:hAnsi="Times New Roman" w:cs="Times New Roman"/>
                      <w:color w:val="auto"/>
                      <w:spacing w:val="0"/>
                      <w:w w:val="100"/>
                      <w:position w:val="0"/>
                      <w:sz w:val="21"/>
                      <w:szCs w:val="21"/>
                      <w:highlight w:val="none"/>
                    </w:rPr>
                    <w:t>《产业结构调整指导目录》《市场准入负面清单》《河北省禁止投资的产业目录》相关要求</w:t>
                  </w:r>
                  <w:r>
                    <w:rPr>
                      <w:rFonts w:hint="default" w:ascii="Times New Roman" w:hAnsi="Times New Roman" w:cs="Times New Roman"/>
                      <w:color w:val="auto"/>
                      <w:spacing w:val="0"/>
                      <w:w w:val="100"/>
                      <w:position w:val="0"/>
                      <w:sz w:val="21"/>
                      <w:szCs w:val="21"/>
                      <w:highlight w:val="none"/>
                      <w:lang w:eastAsia="zh-CN"/>
                    </w:rPr>
                    <w:t>，属于允许类项目；</w:t>
                  </w:r>
                  <w:r>
                    <w:rPr>
                      <w:rFonts w:hint="eastAsia" w:ascii="Times New Roman" w:hAnsi="Times New Roman" w:cs="Times New Roman"/>
                      <w:color w:val="auto"/>
                      <w:spacing w:val="0"/>
                      <w:w w:val="100"/>
                      <w:position w:val="0"/>
                      <w:sz w:val="21"/>
                      <w:szCs w:val="21"/>
                      <w:highlight w:val="none"/>
                      <w:lang w:eastAsia="zh-CN"/>
                    </w:rPr>
                    <w:t>本项目属于</w:t>
                  </w:r>
                  <w:r>
                    <w:rPr>
                      <w:rFonts w:hint="eastAsia" w:ascii="Times New Roman" w:hAnsi="Times New Roman" w:cs="Times New Roman"/>
                      <w:color w:val="auto"/>
                      <w:spacing w:val="0"/>
                      <w:w w:val="100"/>
                      <w:position w:val="0"/>
                      <w:sz w:val="21"/>
                      <w:szCs w:val="21"/>
                      <w:highlight w:val="none"/>
                      <w:lang w:val="en-US" w:eastAsia="zh-CN"/>
                    </w:rPr>
                    <w:t>管道运输业</w:t>
                  </w:r>
                  <w:r>
                    <w:rPr>
                      <w:rFonts w:hint="eastAsia" w:ascii="Times New Roman" w:hAnsi="Times New Roman" w:cs="Times New Roman"/>
                      <w:color w:val="auto"/>
                      <w:spacing w:val="0"/>
                      <w:w w:val="100"/>
                      <w:position w:val="0"/>
                      <w:sz w:val="21"/>
                      <w:szCs w:val="21"/>
                      <w:highlight w:val="none"/>
                      <w:lang w:eastAsia="zh-CN"/>
                    </w:rPr>
                    <w:t>，选址位于河北唐山海港经济开发区；本项目将严格执行污染物倍量削减替代制度</w:t>
                  </w:r>
                  <w:r>
                    <w:rPr>
                      <w:rFonts w:hint="default" w:ascii="Times New Roman" w:hAnsi="Times New Roman" w:cs="Times New Roman"/>
                      <w:color w:val="auto"/>
                      <w:spacing w:val="0"/>
                      <w:w w:val="100"/>
                      <w:position w:val="0"/>
                      <w:sz w:val="21"/>
                      <w:szCs w:val="21"/>
                      <w:highlight w:val="none"/>
                      <w:lang w:eastAsia="zh-CN"/>
                    </w:rPr>
                    <w:t>。</w:t>
                  </w:r>
                </w:p>
              </w:tc>
              <w:tc>
                <w:tcPr>
                  <w:tcW w:w="299"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eastAsia="宋体" w:cs="Times New Roman"/>
                      <w:color w:val="auto"/>
                      <w:spacing w:val="0"/>
                      <w:w w:val="100"/>
                      <w:position w:val="0"/>
                      <w:sz w:val="21"/>
                      <w:szCs w:val="21"/>
                      <w:highlight w:val="none"/>
                      <w:shd w:val="clear" w:color="auto" w:fill="auto"/>
                      <w:lang w:eastAsia="zh-CN"/>
                    </w:rPr>
                  </w:pPr>
                  <w:r>
                    <w:rPr>
                      <w:rFonts w:hint="default" w:ascii="Times New Roman" w:hAnsi="Times New Roman" w:cs="Times New Roman"/>
                      <w:color w:val="auto"/>
                      <w:spacing w:val="0"/>
                      <w:w w:val="100"/>
                      <w:position w:val="0"/>
                      <w:sz w:val="21"/>
                      <w:szCs w:val="21"/>
                      <w:highlight w:val="none"/>
                      <w:shd w:val="clear" w:color="auto" w:fill="auto"/>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0" w:hRule="atLeast"/>
                <w:jc w:val="center"/>
              </w:trPr>
              <w:tc>
                <w:tcPr>
                  <w:tcW w:w="193"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center"/>
                    <w:textAlignment w:val="auto"/>
                    <w:rPr>
                      <w:rFonts w:hint="default" w:ascii="Times New Roman" w:hAnsi="Times New Roman" w:eastAsia="宋体"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项目入园准入要求</w:t>
                  </w:r>
                </w:p>
              </w:tc>
              <w:tc>
                <w:tcPr>
                  <w:tcW w:w="363"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eastAsia="宋体"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空间布局约束</w:t>
                  </w:r>
                </w:p>
              </w:tc>
              <w:tc>
                <w:tcPr>
                  <w:tcW w:w="3227" w:type="pct"/>
                  <w:gridSpan w:val="4"/>
                  <w:tcBorders>
                    <w:tl2br w:val="nil"/>
                    <w:tr2bl w:val="nil"/>
                  </w:tcBorders>
                  <w:noWrap w:val="0"/>
                  <w:vAlign w:val="center"/>
                </w:tcPr>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1、禁止资源消耗高、环境污染重、废物难处理、不符合国家、河北省、唐山市产业政策的落后生产技术、工艺、装备和产品进入工业园区。</w:t>
                  </w:r>
                </w:p>
                <w:p>
                  <w:pPr>
                    <w:pStyle w:val="77"/>
                    <w:keepNext w:val="0"/>
                    <w:keepLines w:val="0"/>
                    <w:pageBreakBefore w:val="0"/>
                    <w:widowControl w:val="0"/>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2、加强企业入区管理，严格按照工业园区规划产业定位及产业布局安排入区项目，禁止不</w:t>
                  </w:r>
                  <w:r>
                    <w:rPr>
                      <w:rFonts w:hint="eastAsia" w:ascii="Times New Roman" w:hAnsi="Times New Roman" w:cs="Times New Roman"/>
                      <w:color w:val="auto"/>
                      <w:spacing w:val="0"/>
                      <w:w w:val="100"/>
                      <w:position w:val="0"/>
                      <w:sz w:val="21"/>
                      <w:szCs w:val="21"/>
                      <w:highlight w:val="none"/>
                      <w:lang w:eastAsia="zh-CN"/>
                    </w:rPr>
                    <w:t>符合</w:t>
                  </w:r>
                  <w:r>
                    <w:rPr>
                      <w:rFonts w:hint="default" w:ascii="Times New Roman" w:hAnsi="Times New Roman" w:cs="Times New Roman"/>
                      <w:color w:val="auto"/>
                      <w:spacing w:val="0"/>
                      <w:w w:val="100"/>
                      <w:position w:val="0"/>
                      <w:sz w:val="21"/>
                      <w:szCs w:val="21"/>
                      <w:highlight w:val="none"/>
                      <w:lang w:eastAsia="zh-CN"/>
                    </w:rPr>
                    <w:t>工业园区产业定位的项目入驻。合理安排工业园区发展时序，入驻企业选址与周围居民点的距离应满足大气环境防护距离要求，生活空间周边禁止布局高噪声生产企业。</w:t>
                  </w:r>
                </w:p>
                <w:p>
                  <w:pPr>
                    <w:pStyle w:val="77"/>
                    <w:keepNext w:val="0"/>
                    <w:keepLines w:val="0"/>
                    <w:pageBreakBefore w:val="0"/>
                    <w:widowControl w:val="0"/>
                    <w:numPr>
                      <w:ilvl w:val="0"/>
                      <w:numId w:val="0"/>
                    </w:numPr>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jc w:val="left"/>
                    <w:textAlignment w:val="auto"/>
                    <w:rPr>
                      <w:rFonts w:hint="default" w:ascii="Times New Roman" w:hAnsi="Times New Roman" w:cs="Times New Roman"/>
                      <w:color w:val="auto"/>
                      <w:spacing w:val="0"/>
                      <w:w w:val="100"/>
                      <w:position w:val="0"/>
                      <w:sz w:val="21"/>
                      <w:szCs w:val="21"/>
                      <w:highlight w:val="none"/>
                      <w:lang w:eastAsia="zh-CN"/>
                    </w:rPr>
                  </w:pPr>
                  <w:r>
                    <w:rPr>
                      <w:rFonts w:hint="default" w:ascii="Times New Roman" w:hAnsi="Times New Roman" w:cs="Times New Roman"/>
                      <w:color w:val="auto"/>
                      <w:spacing w:val="0"/>
                      <w:w w:val="100"/>
                      <w:position w:val="0"/>
                      <w:sz w:val="21"/>
                      <w:szCs w:val="21"/>
                      <w:highlight w:val="none"/>
                      <w:lang w:eastAsia="zh-CN"/>
                    </w:rPr>
                    <w:t>3、县级以下一律不再建设新的园区，造纸、焦化、氮肥、有色金属、印染、原料药制造、皮革、农药、电镀、钢铁、石灰、平板玻璃、石化、化工等高污染工业项目必须入园进区，其他工业项目原则上也不在园区外布局，认定为化工重点监控点的企业项目除外。</w:t>
                  </w:r>
                </w:p>
                <w:p>
                  <w:pPr>
                    <w:pStyle w:val="77"/>
                    <w:keepNext w:val="0"/>
                    <w:keepLines w:val="0"/>
                    <w:pageBreakBefore w:val="0"/>
                    <w:widowControl w:val="0"/>
                    <w:numPr>
                      <w:ilvl w:val="0"/>
                      <w:numId w:val="0"/>
                    </w:numPr>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jc w:val="left"/>
                    <w:textAlignment w:val="auto"/>
                    <w:rPr>
                      <w:rFonts w:hint="default" w:ascii="Times New Roman" w:hAnsi="Times New Roman" w:cs="Times New Roman"/>
                      <w:color w:val="auto"/>
                      <w:spacing w:val="0"/>
                      <w:w w:val="100"/>
                      <w:position w:val="0"/>
                      <w:sz w:val="21"/>
                      <w:szCs w:val="21"/>
                      <w:highlight w:val="none"/>
                      <w:lang w:val="en-US" w:eastAsia="zh-CN"/>
                    </w:rPr>
                  </w:pPr>
                  <w:r>
                    <w:rPr>
                      <w:rFonts w:hint="default" w:ascii="Times New Roman" w:hAnsi="Times New Roman" w:cs="Times New Roman"/>
                      <w:color w:val="auto"/>
                      <w:spacing w:val="0"/>
                      <w:w w:val="100"/>
                      <w:position w:val="0"/>
                      <w:sz w:val="21"/>
                      <w:szCs w:val="21"/>
                      <w:highlight w:val="none"/>
                      <w:lang w:val="en-US" w:eastAsia="zh-CN"/>
                    </w:rPr>
                    <w:t>4、新建、升级工业园区</w:t>
                  </w:r>
                  <w:r>
                    <w:rPr>
                      <w:rFonts w:hint="eastAsia" w:ascii="Times New Roman" w:hAnsi="Times New Roman" w:cs="Times New Roman"/>
                      <w:color w:val="auto"/>
                      <w:spacing w:val="0"/>
                      <w:w w:val="100"/>
                      <w:position w:val="0"/>
                      <w:sz w:val="21"/>
                      <w:szCs w:val="21"/>
                      <w:highlight w:val="none"/>
                      <w:lang w:val="en-US" w:eastAsia="zh-CN"/>
                    </w:rPr>
                    <w:t>（</w:t>
                  </w:r>
                  <w:r>
                    <w:rPr>
                      <w:rFonts w:hint="default" w:ascii="Times New Roman" w:hAnsi="Times New Roman" w:cs="Times New Roman"/>
                      <w:color w:val="auto"/>
                      <w:spacing w:val="0"/>
                      <w:w w:val="100"/>
                      <w:position w:val="0"/>
                      <w:sz w:val="21"/>
                      <w:szCs w:val="21"/>
                      <w:highlight w:val="none"/>
                      <w:lang w:val="en-US" w:eastAsia="zh-CN"/>
                    </w:rPr>
                    <w:t>工业集聚区</w:t>
                  </w:r>
                  <w:r>
                    <w:rPr>
                      <w:rFonts w:hint="eastAsia" w:ascii="Times New Roman" w:hAnsi="Times New Roman" w:cs="Times New Roman"/>
                      <w:color w:val="auto"/>
                      <w:spacing w:val="0"/>
                      <w:w w:val="100"/>
                      <w:position w:val="0"/>
                      <w:sz w:val="21"/>
                      <w:szCs w:val="21"/>
                      <w:highlight w:val="none"/>
                      <w:lang w:val="en-US" w:eastAsia="zh-CN"/>
                    </w:rPr>
                    <w:t>）</w:t>
                  </w:r>
                  <w:r>
                    <w:rPr>
                      <w:rFonts w:hint="default" w:ascii="Times New Roman" w:hAnsi="Times New Roman" w:cs="Times New Roman"/>
                      <w:color w:val="auto"/>
                      <w:spacing w:val="0"/>
                      <w:w w:val="100"/>
                      <w:position w:val="0"/>
                      <w:sz w:val="21"/>
                      <w:szCs w:val="21"/>
                      <w:highlight w:val="none"/>
                      <w:lang w:val="en-US" w:eastAsia="zh-CN"/>
                    </w:rPr>
                    <w:t>必须同步规划、建设污水、垃圾集中处理等污染治理设施。所有工业园区全部建成污水集中处理设施，并安装自动在线监控装置。加快完善工业园区配套污水管网，推进“清污分流、雨污分流”，实现园区内工业企业废水统一收集，集中处理，污水集中处理设施稳定达标运行。推进重点流域工业园区污水集中处理设施提标改造，推进工业园区“一园一档”、“一企一册”环保管理制度建设，逐步规范完善园区水环境管理台账。</w:t>
                  </w:r>
                </w:p>
                <w:p>
                  <w:pPr>
                    <w:pStyle w:val="77"/>
                    <w:keepNext w:val="0"/>
                    <w:keepLines w:val="0"/>
                    <w:pageBreakBefore w:val="0"/>
                    <w:widowControl w:val="0"/>
                    <w:numPr>
                      <w:ilvl w:val="0"/>
                      <w:numId w:val="0"/>
                    </w:numPr>
                    <w:suppressLineNumbers w:val="0"/>
                    <w:shd w:val="clear" w:color="auto" w:fill="auto"/>
                    <w:tabs>
                      <w:tab w:val="left" w:pos="322"/>
                    </w:tabs>
                    <w:kinsoku/>
                    <w:wordWrap/>
                    <w:overflowPunct/>
                    <w:topLinePunct w:val="0"/>
                    <w:autoSpaceDE/>
                    <w:autoSpaceDN/>
                    <w:bidi w:val="0"/>
                    <w:adjustRightInd/>
                    <w:snapToGrid/>
                    <w:spacing w:before="0" w:beforeAutospacing="0" w:after="0" w:afterAutospacing="0" w:line="0" w:lineRule="atLeast"/>
                    <w:ind w:left="0" w:leftChars="0" w:right="0" w:rightChars="0"/>
                    <w:jc w:val="left"/>
                    <w:textAlignment w:val="auto"/>
                    <w:rPr>
                      <w:rFonts w:hint="default" w:ascii="Times New Roman" w:hAnsi="Times New Roman" w:cs="Times New Roman"/>
                      <w:color w:val="auto"/>
                      <w:spacing w:val="0"/>
                      <w:w w:val="100"/>
                      <w:position w:val="0"/>
                      <w:sz w:val="21"/>
                      <w:szCs w:val="21"/>
                      <w:highlight w:val="none"/>
                      <w:lang w:val="en-US" w:eastAsia="zh-CN"/>
                    </w:rPr>
                  </w:pPr>
                  <w:r>
                    <w:rPr>
                      <w:rFonts w:hint="default" w:ascii="Times New Roman" w:hAnsi="Times New Roman" w:cs="Times New Roman"/>
                      <w:color w:val="auto"/>
                      <w:spacing w:val="0"/>
                      <w:w w:val="100"/>
                      <w:position w:val="0"/>
                      <w:sz w:val="21"/>
                      <w:szCs w:val="21"/>
                      <w:highlight w:val="none"/>
                      <w:lang w:val="en-US" w:eastAsia="zh-CN"/>
                    </w:rPr>
                    <w:t>5、新建涉高 VOCs 排放的建设项目，即石化、化工、包装印刷、工业涂装等重点行业及其他工业行业 VOCs 排放量大、排放强度高的新建项目，原则上要进入园区，认定为化工重点监控点的企业项目除外。</w:t>
                  </w:r>
                </w:p>
              </w:tc>
              <w:tc>
                <w:tcPr>
                  <w:tcW w:w="916"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eastAsia="宋体" w:cs="Times New Roman"/>
                      <w:color w:val="auto"/>
                      <w:spacing w:val="0"/>
                      <w:w w:val="100"/>
                      <w:position w:val="0"/>
                      <w:sz w:val="21"/>
                      <w:szCs w:val="21"/>
                      <w:highlight w:val="none"/>
                      <w:shd w:val="clear" w:color="auto" w:fill="auto"/>
                      <w:lang w:eastAsia="zh-CN"/>
                    </w:rPr>
                  </w:pPr>
                  <w:r>
                    <w:rPr>
                      <w:rFonts w:hint="default" w:ascii="Times New Roman" w:hAnsi="Times New Roman" w:cs="Times New Roman"/>
                      <w:color w:val="auto"/>
                      <w:spacing w:val="0"/>
                      <w:w w:val="100"/>
                      <w:position w:val="0"/>
                      <w:sz w:val="21"/>
                      <w:szCs w:val="21"/>
                      <w:highlight w:val="none"/>
                      <w:shd w:val="clear" w:color="auto" w:fill="auto"/>
                      <w:lang w:eastAsia="zh-CN"/>
                    </w:rPr>
                    <w:t>本项目符合相关产业政策要求，位于</w:t>
                  </w:r>
                  <w:r>
                    <w:rPr>
                      <w:rFonts w:hint="eastAsia" w:ascii="Times New Roman" w:hAnsi="Times New Roman" w:cs="Times New Roman"/>
                      <w:color w:val="auto"/>
                      <w:spacing w:val="0"/>
                      <w:w w:val="100"/>
                      <w:position w:val="0"/>
                      <w:sz w:val="21"/>
                      <w:szCs w:val="21"/>
                      <w:highlight w:val="none"/>
                      <w:shd w:val="clear" w:color="auto" w:fill="auto"/>
                      <w:lang w:eastAsia="zh-CN"/>
                    </w:rPr>
                    <w:t>河北唐山海港经济开发区</w:t>
                  </w:r>
                  <w:r>
                    <w:rPr>
                      <w:rFonts w:hint="default" w:ascii="Times New Roman" w:hAnsi="Times New Roman" w:cs="Times New Roman"/>
                      <w:color w:val="auto"/>
                      <w:spacing w:val="0"/>
                      <w:w w:val="100"/>
                      <w:position w:val="0"/>
                      <w:sz w:val="21"/>
                      <w:szCs w:val="21"/>
                      <w:highlight w:val="none"/>
                      <w:shd w:val="clear" w:color="auto" w:fill="auto"/>
                      <w:lang w:eastAsia="zh-CN"/>
                    </w:rPr>
                    <w:t>，符合园区产业定位且</w:t>
                  </w:r>
                  <w:r>
                    <w:rPr>
                      <w:rFonts w:hint="eastAsia" w:ascii="Times New Roman" w:hAnsi="Times New Roman" w:cs="Times New Roman"/>
                      <w:color w:val="auto"/>
                      <w:spacing w:val="0"/>
                      <w:w w:val="100"/>
                      <w:position w:val="0"/>
                      <w:sz w:val="21"/>
                      <w:szCs w:val="21"/>
                      <w:highlight w:val="none"/>
                      <w:shd w:val="clear" w:color="auto" w:fill="auto"/>
                      <w:lang w:eastAsia="zh-CN"/>
                    </w:rPr>
                    <w:t>距离</w:t>
                  </w:r>
                  <w:r>
                    <w:rPr>
                      <w:rFonts w:hint="default" w:ascii="Times New Roman" w:hAnsi="Times New Roman" w:cs="Times New Roman"/>
                      <w:color w:val="auto"/>
                      <w:spacing w:val="0"/>
                      <w:w w:val="100"/>
                      <w:position w:val="0"/>
                      <w:sz w:val="21"/>
                      <w:szCs w:val="21"/>
                      <w:highlight w:val="none"/>
                      <w:shd w:val="clear" w:color="auto" w:fill="auto"/>
                      <w:lang w:eastAsia="zh-CN"/>
                    </w:rPr>
                    <w:t>居民区</w:t>
                  </w:r>
                  <w:r>
                    <w:rPr>
                      <w:rFonts w:hint="eastAsia" w:ascii="Times New Roman" w:hAnsi="Times New Roman" w:cs="Times New Roman"/>
                      <w:color w:val="auto"/>
                      <w:spacing w:val="0"/>
                      <w:w w:val="100"/>
                      <w:position w:val="0"/>
                      <w:sz w:val="21"/>
                      <w:szCs w:val="21"/>
                      <w:highlight w:val="none"/>
                      <w:shd w:val="clear" w:color="auto" w:fill="auto"/>
                      <w:lang w:eastAsia="zh-CN"/>
                    </w:rPr>
                    <w:t>较远</w:t>
                  </w:r>
                  <w:r>
                    <w:rPr>
                      <w:rFonts w:hint="default" w:ascii="Times New Roman" w:hAnsi="Times New Roman" w:cs="Times New Roman"/>
                      <w:color w:val="auto"/>
                      <w:spacing w:val="0"/>
                      <w:w w:val="100"/>
                      <w:position w:val="0"/>
                      <w:sz w:val="21"/>
                      <w:szCs w:val="21"/>
                      <w:highlight w:val="none"/>
                      <w:shd w:val="clear" w:color="auto" w:fill="auto"/>
                      <w:lang w:eastAsia="zh-CN"/>
                    </w:rPr>
                    <w:t>。</w:t>
                  </w:r>
                </w:p>
              </w:tc>
              <w:tc>
                <w:tcPr>
                  <w:tcW w:w="299"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pacing w:val="0"/>
                      <w:w w:val="100"/>
                      <w:position w:val="0"/>
                      <w:sz w:val="21"/>
                      <w:szCs w:val="21"/>
                      <w:highlight w:val="none"/>
                      <w:shd w:val="clear" w:color="auto" w:fill="auto"/>
                    </w:rPr>
                  </w:pPr>
                  <w:r>
                    <w:rPr>
                      <w:rFonts w:hint="default" w:ascii="Times New Roman" w:hAnsi="Times New Roman" w:cs="Times New Roman"/>
                      <w:color w:val="auto"/>
                      <w:spacing w:val="0"/>
                      <w:w w:val="100"/>
                      <w:position w:val="0"/>
                      <w:sz w:val="21"/>
                      <w:szCs w:val="21"/>
                      <w:highlight w:val="none"/>
                      <w:shd w:val="clear" w:color="auto" w:fill="auto"/>
                      <w:lang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 w:type="dxa"/>
                  <w:bottom w:w="0" w:type="dxa"/>
                  <w:right w:w="10" w:type="dxa"/>
                </w:tblCellMar>
              </w:tblPrEx>
              <w:trPr>
                <w:trHeight w:val="0" w:hRule="atLeast"/>
                <w:jc w:val="center"/>
              </w:trPr>
              <w:tc>
                <w:tcPr>
                  <w:tcW w:w="5000" w:type="pct"/>
                  <w:gridSpan w:val="8"/>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right="0" w:firstLine="0"/>
                    <w:jc w:val="center"/>
                    <w:textAlignment w:val="auto"/>
                    <w:rPr>
                      <w:rFonts w:hint="default" w:ascii="Times New Roman" w:hAnsi="Times New Roman" w:cs="Times New Roman"/>
                      <w:color w:val="auto"/>
                      <w:spacing w:val="0"/>
                      <w:w w:val="100"/>
                      <w:position w:val="0"/>
                      <w:sz w:val="21"/>
                      <w:szCs w:val="21"/>
                      <w:highlight w:val="none"/>
                      <w:shd w:val="clear" w:color="auto" w:fill="auto"/>
                      <w:lang w:eastAsia="zh-CN"/>
                    </w:rPr>
                  </w:pPr>
                  <w:r>
                    <w:rPr>
                      <w:rFonts w:hint="default" w:ascii="Times New Roman" w:hAnsi="Times New Roman" w:cs="Times New Roman"/>
                      <w:b/>
                      <w:bCs/>
                      <w:color w:val="auto"/>
                      <w:spacing w:val="0"/>
                      <w:w w:val="100"/>
                      <w:position w:val="0"/>
                      <w:sz w:val="21"/>
                      <w:szCs w:val="21"/>
                      <w:highlight w:val="none"/>
                      <w:shd w:val="clear" w:color="auto" w:fill="auto"/>
                      <w:lang w:eastAsia="zh-CN"/>
                    </w:rPr>
                    <w:t>陆域环境管控单元生态环境准入清单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0" w:hRule="atLeast"/>
                <w:jc w:val="center"/>
              </w:trPr>
              <w:tc>
                <w:tcPr>
                  <w:tcW w:w="566"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单元类别</w:t>
                  </w:r>
                </w:p>
              </w:tc>
              <w:tc>
                <w:tcPr>
                  <w:tcW w:w="5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环境要素类别</w:t>
                  </w:r>
                </w:p>
              </w:tc>
              <w:tc>
                <w:tcPr>
                  <w:tcW w:w="33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维度</w:t>
                  </w:r>
                </w:p>
              </w:tc>
              <w:tc>
                <w:tcPr>
                  <w:tcW w:w="231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管控措施</w:t>
                  </w:r>
                </w:p>
              </w:tc>
              <w:tc>
                <w:tcPr>
                  <w:tcW w:w="916"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pacing w:val="0"/>
                      <w:w w:val="100"/>
                      <w:position w:val="0"/>
                      <w:sz w:val="21"/>
                      <w:szCs w:val="21"/>
                      <w:highlight w:val="none"/>
                      <w:shd w:val="clear" w:color="auto" w:fill="auto"/>
                      <w:lang w:eastAsia="zh-CN"/>
                    </w:rPr>
                    <w:t>本项目情况</w:t>
                  </w:r>
                </w:p>
              </w:tc>
              <w:tc>
                <w:tcPr>
                  <w:tcW w:w="299" w:type="pct"/>
                  <w:tcBorders>
                    <w:tl2br w:val="nil"/>
                    <w:tr2bl w:val="nil"/>
                  </w:tcBorders>
                  <w:noWrap w:val="0"/>
                  <w:vAlign w:val="center"/>
                </w:tcPr>
                <w:p>
                  <w:pPr>
                    <w:pStyle w:val="77"/>
                    <w:keepNext w:val="0"/>
                    <w:keepLines w:val="0"/>
                    <w:pageBreakBefore w:val="0"/>
                    <w:widowControl w:val="0"/>
                    <w:suppressLineNumbers w:val="0"/>
                    <w:shd w:val="clear" w:color="auto" w:fill="auto"/>
                    <w:kinsoku/>
                    <w:wordWrap/>
                    <w:overflowPunct/>
                    <w:topLinePunct w:val="0"/>
                    <w:autoSpaceDE/>
                    <w:autoSpaceDN/>
                    <w:bidi w:val="0"/>
                    <w:adjustRightInd/>
                    <w:snapToGrid/>
                    <w:spacing w:before="0" w:beforeAutospacing="0" w:after="0" w:afterAutospacing="0" w:line="0" w:lineRule="atLeast"/>
                    <w:ind w:left="0" w:leftChars="0" w:right="0" w:rightChars="0" w:firstLine="0" w:firstLineChars="0"/>
                    <w:jc w:val="center"/>
                    <w:textAlignment w:val="auto"/>
                    <w:rPr>
                      <w:rFonts w:hint="default" w:ascii="Times New Roman" w:hAnsi="Times New Roman" w:cs="Times New Roman"/>
                      <w:color w:val="auto"/>
                      <w:sz w:val="21"/>
                      <w:szCs w:val="21"/>
                      <w:highlight w:val="none"/>
                    </w:rPr>
                  </w:pPr>
                  <w:r>
                    <w:rPr>
                      <w:rFonts w:hint="default" w:ascii="Times New Roman" w:hAnsi="Times New Roman" w:cs="Times New Roman"/>
                      <w:color w:val="auto"/>
                      <w:spacing w:val="0"/>
                      <w:w w:val="100"/>
                      <w:position w:val="0"/>
                      <w:sz w:val="21"/>
                      <w:szCs w:val="21"/>
                      <w:highlight w:val="none"/>
                      <w:shd w:val="clear" w:color="auto" w:fill="auto"/>
                      <w:lang w:eastAsia="zh-CN"/>
                    </w:rPr>
                    <w:t>符合性分析</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0" w:hRule="atLeast"/>
                <w:jc w:val="center"/>
              </w:trPr>
              <w:tc>
                <w:tcPr>
                  <w:tcW w:w="566" w:type="pct"/>
                  <w:gridSpan w:val="3"/>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eastAsia" w:ascii="Times New Roman" w:hAnsi="Times New Roman" w:eastAsia="宋体" w:cs="Times New Roman"/>
                      <w:color w:val="auto"/>
                      <w:sz w:val="21"/>
                      <w:szCs w:val="21"/>
                      <w:highlight w:val="none"/>
                      <w:lang w:eastAsia="zh-CN"/>
                    </w:rPr>
                    <w:t>重点保护单元</w:t>
                  </w:r>
                </w:p>
              </w:tc>
              <w:tc>
                <w:tcPr>
                  <w:tcW w:w="568" w:type="pct"/>
                  <w:vMerge w:val="restar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vertAlign w:val="baseline"/>
                    </w:rPr>
                    <w:t>1、河北唐山海港经济开发区</w:t>
                  </w:r>
                </w:p>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vertAlign w:val="baseline"/>
                    </w:rPr>
                    <w:t>2、中心城区</w:t>
                  </w:r>
                </w:p>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vertAlign w:val="baseline"/>
                    </w:rPr>
                    <w:t>3、大气环境高排放区重点管控区</w:t>
                  </w:r>
                </w:p>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vertAlign w:val="baseline"/>
                    </w:rPr>
                    <w:t>4、水环境工业污染重点管控区</w:t>
                  </w:r>
                </w:p>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vertAlign w:val="baseline"/>
                    </w:rPr>
                    <w:t>5、土壤建设用地污染风险重点管控</w:t>
                  </w:r>
                </w:p>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vertAlign w:val="baseline"/>
                    </w:rPr>
                    <w:t>6、禁燃区</w:t>
                  </w:r>
                </w:p>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rightChars="0"/>
                    <w:jc w:val="left"/>
                    <w:textAlignment w:val="auto"/>
                    <w:rPr>
                      <w:rFonts w:hint="default" w:ascii="Calibri" w:hAnsi="Calibri" w:eastAsia="宋体"/>
                      <w:color w:val="auto"/>
                      <w:lang w:val="en-US" w:eastAsia="zh-CN"/>
                    </w:rPr>
                  </w:pPr>
                  <w:r>
                    <w:rPr>
                      <w:rFonts w:hint="default" w:ascii="Times New Roman" w:hAnsi="Times New Roman" w:eastAsia="宋体" w:cs="Times New Roman"/>
                      <w:color w:val="auto"/>
                      <w:sz w:val="21"/>
                      <w:szCs w:val="21"/>
                      <w:highlight w:val="none"/>
                      <w:vertAlign w:val="baseline"/>
                    </w:rPr>
                    <w:t>7、土地资源重点管控区</w:t>
                  </w:r>
                </w:p>
              </w:tc>
              <w:tc>
                <w:tcPr>
                  <w:tcW w:w="337"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空间布局约束</w:t>
                  </w:r>
                </w:p>
              </w:tc>
              <w:tc>
                <w:tcPr>
                  <w:tcW w:w="2313"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rPr>
                    <w:t>禁止新建、扩建高污染项目，严格控制高耗能、高排放项目准入。新建、改建和扩建项目按照相关规定实行减量置换或者等量置换。</w:t>
                  </w:r>
                </w:p>
              </w:tc>
              <w:tc>
                <w:tcPr>
                  <w:tcW w:w="916"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kern w:val="0"/>
                      <w:sz w:val="21"/>
                      <w:szCs w:val="21"/>
                      <w:highlight w:val="none"/>
                      <w:vertAlign w:val="baseline"/>
                      <w:lang w:val="en-US" w:eastAsia="zh-CN" w:bidi="ar-SA"/>
                    </w:rPr>
                    <w:t>本项目不属于高污染、高耗能、高排放项目。</w:t>
                  </w:r>
                </w:p>
              </w:tc>
              <w:tc>
                <w:tcPr>
                  <w:tcW w:w="299"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0" w:hRule="atLeast"/>
                <w:jc w:val="center"/>
              </w:trPr>
              <w:tc>
                <w:tcPr>
                  <w:tcW w:w="566" w:type="pct"/>
                  <w:gridSpan w:val="3"/>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ascii="Calibri" w:hAnsi="Calibri" w:eastAsia="宋体" w:cs="Times New Roman"/>
                      <w:color w:val="auto"/>
                      <w:sz w:val="21"/>
                      <w:szCs w:val="21"/>
                    </w:rPr>
                  </w:pPr>
                </w:p>
              </w:tc>
              <w:tc>
                <w:tcPr>
                  <w:tcW w:w="56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ascii="Calibri" w:hAnsi="Calibri" w:eastAsia="宋体" w:cs="Times New Roman"/>
                      <w:color w:val="auto"/>
                      <w:sz w:val="21"/>
                      <w:szCs w:val="21"/>
                    </w:rPr>
                  </w:pPr>
                </w:p>
              </w:tc>
              <w:tc>
                <w:tcPr>
                  <w:tcW w:w="337"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污染物排放管控</w:t>
                  </w:r>
                </w:p>
              </w:tc>
              <w:tc>
                <w:tcPr>
                  <w:tcW w:w="2313" w:type="pct"/>
                  <w:tcBorders>
                    <w:tl2br w:val="nil"/>
                    <w:tr2bl w:val="nil"/>
                  </w:tcBorders>
                  <w:noWrap w:val="0"/>
                  <w:vAlign w:val="center"/>
                </w:tcPr>
                <w:p>
                  <w:pPr>
                    <w:pStyle w:val="10"/>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vertAlign w:val="baseline"/>
                    </w:rPr>
                  </w:pPr>
                  <w:r>
                    <w:rPr>
                      <w:rFonts w:hint="default" w:ascii="Times New Roman" w:hAnsi="Times New Roman" w:eastAsia="宋体" w:cs="Times New Roman"/>
                      <w:color w:val="auto"/>
                      <w:sz w:val="21"/>
                      <w:szCs w:val="21"/>
                      <w:highlight w:val="none"/>
                      <w:vertAlign w:val="baseline"/>
                    </w:rPr>
                    <w:t>1、深化企业超低排放标准治理，加快“五大行业”全流程达标治理。钢铁、焦化、电力、水泥、平板玻璃等五大行业在点源达到超低排放的基础上强化无组织排放管理，完成全流程整治。</w:t>
                  </w:r>
                </w:p>
                <w:p>
                  <w:pPr>
                    <w:pStyle w:val="10"/>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rPr>
                    <w:t>2、开发区应当同步规划、配套建设相应的工业污水集中处理设施以及管网，并安装自动在线监控装置；向污水集中处理设施排放工业废水的，应当按照国家有关规定进行预处理，达到集中处理设施处理工艺要求后方可排放。</w:t>
                  </w:r>
                </w:p>
              </w:tc>
              <w:tc>
                <w:tcPr>
                  <w:tcW w:w="916"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sz w:val="21"/>
                      <w:szCs w:val="21"/>
                      <w:highlight w:val="none"/>
                      <w:vertAlign w:val="baseline"/>
                      <w:lang w:val="en-US" w:eastAsia="zh-CN"/>
                    </w:rPr>
                    <w:t>本项目为管道运输，不属于五大行业；废水循环使用不外排。</w:t>
                  </w:r>
                </w:p>
              </w:tc>
              <w:tc>
                <w:tcPr>
                  <w:tcW w:w="299"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0" w:hRule="atLeast"/>
                <w:jc w:val="center"/>
              </w:trPr>
              <w:tc>
                <w:tcPr>
                  <w:tcW w:w="566" w:type="pct"/>
                  <w:gridSpan w:val="3"/>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rPr>
                  </w:pPr>
                </w:p>
              </w:tc>
              <w:tc>
                <w:tcPr>
                  <w:tcW w:w="56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rPr>
                  </w:pPr>
                </w:p>
              </w:tc>
              <w:tc>
                <w:tcPr>
                  <w:tcW w:w="337"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环境风险管控</w:t>
                  </w:r>
                </w:p>
              </w:tc>
              <w:tc>
                <w:tcPr>
                  <w:tcW w:w="2313" w:type="pct"/>
                  <w:tcBorders>
                    <w:tl2br w:val="nil"/>
                    <w:tr2bl w:val="nil"/>
                  </w:tcBorders>
                  <w:noWrap w:val="0"/>
                  <w:vAlign w:val="center"/>
                </w:tcPr>
                <w:p>
                  <w:pPr>
                    <w:pStyle w:val="10"/>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1、企业编制《突发环境事件应急预案》，成立应急组织机构，定期开展应急演练，提高区域环境风险防范能力。</w:t>
                  </w:r>
                </w:p>
                <w:p>
                  <w:pPr>
                    <w:pStyle w:val="10"/>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2、开发区内企业可能发生苯泄漏及火灾爆炸事故的装置主要有苯储罐、苯输送管线的阀门及泵等部位。应在上述部位设置苯泄漏检测报警装置和水雾喷淋装置。</w:t>
                  </w:r>
                </w:p>
                <w:p>
                  <w:pPr>
                    <w:pStyle w:val="10"/>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3、土壤污染重点监管单位应严格控制有毒有害物质排放，并按年度向所在地生态环境主管部门报告排放情况；建立土壤污染隐患排查制度，及时开展隐患排查，发现土壤污染隐患并采取措施消除或者降低污染隐患，保证持续有效防止有毒有害</w:t>
                  </w:r>
                </w:p>
                <w:p>
                  <w:pPr>
                    <w:pStyle w:val="10"/>
                    <w:keepNext w:val="0"/>
                    <w:keepLines w:val="0"/>
                    <w:pageBreakBefore w:val="0"/>
                    <w:widowControl/>
                    <w:numPr>
                      <w:ilvl w:val="0"/>
                      <w:numId w:val="0"/>
                    </w:numPr>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rPr>
                    <w:t>物质渗漏、流失、扬散；制定、实施自行监测方案，按照相关技术规范要求开展土壤、地下水环境监测，并将监测数据报所在地生态环境主管部门。</w:t>
                  </w:r>
                </w:p>
              </w:tc>
              <w:tc>
                <w:tcPr>
                  <w:tcW w:w="916"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sz w:val="21"/>
                      <w:szCs w:val="21"/>
                      <w:highlight w:val="none"/>
                      <w:vertAlign w:val="baseline"/>
                      <w:lang w:val="en-US" w:eastAsia="zh-CN"/>
                    </w:rPr>
                    <w:t>本项目要求企业及时编制突发环境事件应急预案；不涉及危化品；本项目不属于土壤污染重点监管单位。</w:t>
                  </w:r>
                </w:p>
              </w:tc>
              <w:tc>
                <w:tcPr>
                  <w:tcW w:w="299"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符合</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0" w:hRule="atLeast"/>
                <w:jc w:val="center"/>
              </w:trPr>
              <w:tc>
                <w:tcPr>
                  <w:tcW w:w="566" w:type="pct"/>
                  <w:gridSpan w:val="3"/>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rPr>
                  </w:pPr>
                </w:p>
              </w:tc>
              <w:tc>
                <w:tcPr>
                  <w:tcW w:w="56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jc w:val="left"/>
                    <w:textAlignment w:val="auto"/>
                    <w:rPr>
                      <w:rFonts w:hint="default" w:ascii="Times New Roman" w:hAnsi="Times New Roman" w:eastAsia="宋体" w:cs="Times New Roman"/>
                      <w:color w:val="auto"/>
                      <w:sz w:val="21"/>
                      <w:szCs w:val="21"/>
                      <w:highlight w:val="none"/>
                    </w:rPr>
                  </w:pPr>
                </w:p>
              </w:tc>
              <w:tc>
                <w:tcPr>
                  <w:tcW w:w="337"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资源利用效率要求</w:t>
                  </w:r>
                </w:p>
              </w:tc>
              <w:tc>
                <w:tcPr>
                  <w:tcW w:w="231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1、王滩镇（沿海地区）位于深层地下水禁采区，执行全市资源利用总体管控要求中地下水禁采区管控要求。</w:t>
                  </w:r>
                </w:p>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2、提高水资源利用效率，减少新鲜水用量。</w:t>
                  </w:r>
                </w:p>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3、禁燃区执行全市资源利用总体管控要求中禁燃区管控要求。</w:t>
                  </w:r>
                </w:p>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2"/>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rPr>
                    <w:t>4、城镇开发边界外区域，暂不开发建设，待土地性质调整后方可开发利用。</w:t>
                  </w:r>
                </w:p>
              </w:tc>
              <w:tc>
                <w:tcPr>
                  <w:tcW w:w="916"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eastAsia" w:ascii="Times New Roman" w:hAnsi="Times New Roman" w:eastAsia="宋体" w:cs="Times New Roman"/>
                      <w:color w:val="auto"/>
                      <w:sz w:val="21"/>
                      <w:szCs w:val="21"/>
                      <w:highlight w:val="none"/>
                      <w:vertAlign w:val="baseline"/>
                      <w:lang w:val="en-US" w:eastAsia="zh-CN"/>
                    </w:rPr>
                    <w:t>本项目供水为园区供水，不开采地下水。</w:t>
                  </w:r>
                </w:p>
              </w:tc>
              <w:tc>
                <w:tcPr>
                  <w:tcW w:w="299" w:type="pct"/>
                  <w:tcBorders>
                    <w:tl2br w:val="nil"/>
                    <w:tr2bl w:val="nil"/>
                  </w:tcBorders>
                  <w:noWrap w:val="0"/>
                  <w:vAlign w:val="center"/>
                </w:tcPr>
                <w:p>
                  <w:pPr>
                    <w:pStyle w:val="10"/>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color w:val="auto"/>
                      <w:kern w:val="0"/>
                      <w:sz w:val="21"/>
                      <w:szCs w:val="21"/>
                      <w:highlight w:val="none"/>
                      <w:vertAlign w:val="baseline"/>
                      <w:lang w:val="en-US" w:eastAsia="zh-CN" w:bidi="ar-SA"/>
                    </w:rPr>
                  </w:pPr>
                  <w:r>
                    <w:rPr>
                      <w:rFonts w:hint="default" w:ascii="Times New Roman" w:hAnsi="Times New Roman" w:eastAsia="宋体" w:cs="Times New Roman"/>
                      <w:color w:val="auto"/>
                      <w:sz w:val="21"/>
                      <w:szCs w:val="21"/>
                      <w:highlight w:val="none"/>
                      <w:vertAlign w:val="baseline"/>
                      <w:lang w:val="en-US" w:eastAsia="zh-CN"/>
                    </w:rPr>
                    <w:t>符合</w:t>
                  </w:r>
                </w:p>
              </w:tc>
            </w:tr>
          </w:tbl>
          <w:p>
            <w:pPr>
              <w:pStyle w:val="67"/>
              <w:widowControl/>
              <w:spacing w:line="480" w:lineRule="exact"/>
              <w:ind w:firstLine="420"/>
              <w:rPr>
                <w:rFonts w:hint="eastAsia" w:eastAsia="宋体" w:cs="Times New Roman"/>
                <w:color w:val="auto"/>
                <w:sz w:val="24"/>
                <w:szCs w:val="24"/>
                <w:lang w:eastAsia="zh-CN"/>
              </w:rPr>
            </w:pPr>
            <w:r>
              <w:rPr>
                <w:rFonts w:hint="default" w:ascii="Times New Roman" w:hAnsi="Times New Roman" w:eastAsia="宋体" w:cs="Times New Roman"/>
                <w:color w:val="auto"/>
                <w:sz w:val="24"/>
                <w:szCs w:val="24"/>
                <w:highlight w:val="none"/>
                <w:lang w:eastAsia="zh-CN"/>
              </w:rPr>
              <w:t>综上，本项目建设符合</w:t>
            </w:r>
            <w:r>
              <w:rPr>
                <w:rFonts w:hint="default" w:ascii="Times New Roman" w:hAnsi="Times New Roman" w:eastAsia="宋体" w:cs="Times New Roman"/>
                <w:color w:val="auto"/>
                <w:sz w:val="24"/>
                <w:szCs w:val="24"/>
                <w:highlight w:val="none"/>
                <w:lang w:val="en-US" w:eastAsia="zh-CN"/>
              </w:rPr>
              <w:t>《唐山市生态环境准入清单（2023年版）》</w:t>
            </w:r>
            <w:r>
              <w:rPr>
                <w:rFonts w:hint="default" w:ascii="Times New Roman" w:hAnsi="Times New Roman" w:eastAsia="宋体" w:cs="Times New Roman"/>
                <w:color w:val="auto"/>
                <w:sz w:val="24"/>
                <w:szCs w:val="24"/>
                <w:highlight w:val="none"/>
                <w:lang w:eastAsia="zh-CN"/>
              </w:rPr>
              <w:t>相关要求</w:t>
            </w:r>
            <w:r>
              <w:rPr>
                <w:rFonts w:hint="eastAsia" w:ascii="Times New Roman" w:hAnsi="Times New Roman" w:eastAsia="宋体" w:cs="Times New Roman"/>
                <w:color w:val="auto"/>
                <w:sz w:val="24"/>
                <w:szCs w:val="24"/>
                <w:highlight w:val="none"/>
                <w:lang w:eastAsia="zh-CN"/>
              </w:rPr>
              <w:t>，</w:t>
            </w:r>
            <w:r>
              <w:rPr>
                <w:rFonts w:hint="default" w:ascii="Times New Roman" w:hAnsi="Times New Roman" w:eastAsia="宋体" w:cs="Times New Roman"/>
                <w:color w:val="auto"/>
                <w:sz w:val="24"/>
                <w:szCs w:val="24"/>
                <w:highlight w:val="none"/>
                <w:lang w:eastAsia="zh-CN"/>
              </w:rPr>
              <w:t>符合“三线一单”的相关要求。</w:t>
            </w:r>
          </w:p>
          <w:p>
            <w:pPr>
              <w:keepNext w:val="0"/>
              <w:keepLines w:val="0"/>
              <w:suppressLineNumbers w:val="0"/>
              <w:spacing w:before="0" w:beforeAutospacing="0" w:after="0" w:afterAutospacing="0" w:line="480" w:lineRule="exact"/>
              <w:ind w:left="0" w:right="0" w:firstLine="482" w:firstLineChars="200"/>
              <w:rPr>
                <w:rFonts w:ascii="Times New Roman" w:hAnsi="Times New Roman" w:eastAsia="宋体" w:cs="Times New Roman"/>
                <w:b/>
                <w:color w:val="auto"/>
                <w:sz w:val="24"/>
                <w:szCs w:val="24"/>
              </w:rPr>
            </w:pPr>
            <w:r>
              <w:rPr>
                <w:rFonts w:ascii="Times New Roman" w:hAnsi="Times New Roman" w:eastAsia="宋体" w:cs="Times New Roman"/>
                <w:b/>
                <w:color w:val="auto"/>
                <w:sz w:val="24"/>
                <w:szCs w:val="24"/>
              </w:rPr>
              <w:t>1.2、政策符合性及选址合理性分析</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（1）产业政策符合性</w:t>
            </w:r>
          </w:p>
          <w:p>
            <w:pPr>
              <w:pStyle w:val="9"/>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color w:val="auto"/>
                <w:sz w:val="24"/>
                <w:szCs w:val="24"/>
              </w:rPr>
            </w:pPr>
            <w:r>
              <w:rPr>
                <w:color w:val="auto"/>
                <w:sz w:val="24"/>
                <w:szCs w:val="24"/>
              </w:rPr>
              <w:t>本项目为</w:t>
            </w:r>
            <w:r>
              <w:rPr>
                <w:rFonts w:hint="eastAsia"/>
                <w:color w:val="auto"/>
                <w:sz w:val="24"/>
                <w:szCs w:val="24"/>
                <w:highlight w:val="none"/>
              </w:rPr>
              <w:t>煤炭</w:t>
            </w:r>
            <w:r>
              <w:rPr>
                <w:rFonts w:hint="eastAsia"/>
                <w:color w:val="auto"/>
                <w:sz w:val="24"/>
                <w:szCs w:val="24"/>
                <w:highlight w:val="none"/>
                <w:lang w:eastAsia="zh-CN"/>
              </w:rPr>
              <w:t>、矿石运输</w:t>
            </w:r>
            <w:r>
              <w:rPr>
                <w:rFonts w:hint="eastAsia"/>
                <w:color w:val="auto"/>
                <w:sz w:val="24"/>
                <w:szCs w:val="24"/>
                <w:highlight w:val="none"/>
              </w:rPr>
              <w:t>项目</w:t>
            </w:r>
            <w:r>
              <w:rPr>
                <w:color w:val="auto"/>
                <w:sz w:val="24"/>
                <w:szCs w:val="24"/>
              </w:rPr>
              <w:t>，不属于国家《产业结构调整指导目录（20</w:t>
            </w:r>
            <w:r>
              <w:rPr>
                <w:rFonts w:hint="eastAsia"/>
                <w:color w:val="auto"/>
                <w:sz w:val="24"/>
                <w:szCs w:val="24"/>
                <w:lang w:val="en-US" w:eastAsia="zh-CN"/>
              </w:rPr>
              <w:t>24</w:t>
            </w:r>
            <w:r>
              <w:rPr>
                <w:color w:val="auto"/>
                <w:sz w:val="24"/>
                <w:szCs w:val="24"/>
              </w:rPr>
              <w:t>年本）》中禁止、限制类，属于允许类；且</w:t>
            </w:r>
            <w:r>
              <w:rPr>
                <w:rFonts w:hint="eastAsia"/>
                <w:color w:val="auto"/>
                <w:sz w:val="24"/>
                <w:szCs w:val="24"/>
                <w:lang w:eastAsia="zh-CN"/>
              </w:rPr>
              <w:t>唐山海港经济开发区行政审批局</w:t>
            </w:r>
            <w:r>
              <w:rPr>
                <w:color w:val="auto"/>
                <w:sz w:val="24"/>
                <w:szCs w:val="24"/>
              </w:rPr>
              <w:t>已对本项目备案，备案编号：</w:t>
            </w:r>
            <w:r>
              <w:rPr>
                <w:rFonts w:hint="eastAsia"/>
                <w:color w:val="auto"/>
                <w:sz w:val="24"/>
                <w:szCs w:val="24"/>
                <w:lang w:eastAsia="zh-CN"/>
              </w:rPr>
              <w:t>海审批投资备字[202</w:t>
            </w:r>
            <w:r>
              <w:rPr>
                <w:rFonts w:hint="eastAsia"/>
                <w:color w:val="auto"/>
                <w:sz w:val="24"/>
                <w:szCs w:val="24"/>
                <w:lang w:val="en-US" w:eastAsia="zh-CN"/>
              </w:rPr>
              <w:t>4]47</w:t>
            </w:r>
            <w:r>
              <w:rPr>
                <w:rFonts w:hint="eastAsia"/>
                <w:color w:val="auto"/>
                <w:sz w:val="24"/>
                <w:szCs w:val="24"/>
                <w:lang w:eastAsia="zh-CN"/>
              </w:rPr>
              <w:t>号</w:t>
            </w:r>
            <w:r>
              <w:rPr>
                <w:color w:val="auto"/>
                <w:sz w:val="24"/>
                <w:szCs w:val="24"/>
              </w:rPr>
              <w:t>。项目建设符合国家及地方产业政策。</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highlight w:val="none"/>
              </w:rPr>
            </w:pP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2</w:t>
            </w:r>
            <w:r>
              <w:rPr>
                <w:rFonts w:hint="eastAsia" w:ascii="Times New Roman" w:hAnsi="Times New Roman" w:eastAsia="宋体" w:cs="Times New Roman"/>
                <w:color w:val="auto"/>
                <w:sz w:val="24"/>
                <w:szCs w:val="24"/>
                <w:lang w:eastAsia="zh-CN"/>
              </w:rPr>
              <w:t>）</w:t>
            </w:r>
            <w:r>
              <w:rPr>
                <w:rFonts w:ascii="Times New Roman" w:hAnsi="Times New Roman" w:eastAsia="宋体" w:cs="Times New Roman"/>
                <w:color w:val="auto"/>
                <w:sz w:val="24"/>
                <w:szCs w:val="24"/>
              </w:rPr>
              <w:t>选址合理性</w:t>
            </w:r>
          </w:p>
          <w:p>
            <w:pPr>
              <w:pStyle w:val="9"/>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bCs/>
                <w:color w:val="auto"/>
                <w:sz w:val="24"/>
                <w:szCs w:val="24"/>
                <w:highlight w:val="none"/>
                <w:lang w:eastAsia="zh-CN"/>
              </w:rPr>
            </w:pPr>
            <w:r>
              <w:rPr>
                <w:bCs/>
                <w:color w:val="auto"/>
                <w:sz w:val="24"/>
                <w:szCs w:val="24"/>
                <w:highlight w:val="none"/>
              </w:rPr>
              <w:t>本项目位于</w:t>
            </w:r>
            <w:r>
              <w:rPr>
                <w:rFonts w:hint="eastAsia"/>
                <w:bCs/>
                <w:color w:val="auto"/>
                <w:sz w:val="24"/>
                <w:szCs w:val="24"/>
                <w:highlight w:val="none"/>
                <w:lang w:eastAsia="zh-CN"/>
              </w:rPr>
              <w:t>河北省唐山市海港开发区港兴大街西南约605米</w:t>
            </w:r>
            <w:r>
              <w:rPr>
                <w:bCs/>
                <w:color w:val="auto"/>
                <w:sz w:val="24"/>
                <w:szCs w:val="24"/>
                <w:highlight w:val="none"/>
              </w:rPr>
              <w:t>，</w:t>
            </w:r>
            <w:r>
              <w:rPr>
                <w:rFonts w:hint="eastAsia"/>
                <w:color w:val="auto"/>
                <w:sz w:val="24"/>
                <w:szCs w:val="24"/>
                <w:highlight w:val="none"/>
                <w:lang w:eastAsia="zh-CN"/>
              </w:rPr>
              <w:t>选址位于</w:t>
            </w:r>
            <w:r>
              <w:rPr>
                <w:rFonts w:hint="eastAsia"/>
                <w:color w:val="auto"/>
                <w:sz w:val="24"/>
                <w:szCs w:val="24"/>
                <w:highlight w:val="none"/>
                <w:lang w:val="en-US" w:eastAsia="zh-CN"/>
              </w:rPr>
              <w:t>唐山海港经济开发区港口物流区，主要进行煤炭、矿石运输，属于满足开发区发展补链需要的企业，属于鼓励进区企业。且</w:t>
            </w:r>
            <w:r>
              <w:rPr>
                <w:rFonts w:hint="eastAsia"/>
                <w:bCs/>
                <w:color w:val="auto"/>
                <w:sz w:val="24"/>
                <w:szCs w:val="24"/>
                <w:highlight w:val="none"/>
                <w:lang w:eastAsia="zh-CN"/>
              </w:rPr>
              <w:t>根据唐山市自然资源和规划局海港经济开发区分局关于唐山环港廊道港区连接线项目用地情况说明可知，本项目占地符合唐山海港经济开发区国土空间总体规划。</w:t>
            </w:r>
          </w:p>
          <w:p>
            <w:pPr>
              <w:pStyle w:val="9"/>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eastAsia="宋体" w:cs="Times New Roman"/>
                <w:color w:val="auto"/>
                <w:sz w:val="21"/>
                <w:szCs w:val="21"/>
                <w:lang w:eastAsia="zh-CN"/>
              </w:rPr>
            </w:pPr>
            <w:r>
              <w:rPr>
                <w:rFonts w:hint="default" w:ascii="Times New Roman" w:hAnsi="Times New Roman" w:cs="Times New Roman"/>
                <w:color w:val="auto"/>
                <w:sz w:val="24"/>
                <w:szCs w:val="24"/>
                <w:highlight w:val="none"/>
                <w:lang w:val="en-US" w:eastAsia="zh-CN" w:bidi="ar"/>
              </w:rPr>
              <w:t>评价区域内</w:t>
            </w:r>
            <w:r>
              <w:rPr>
                <w:rFonts w:hint="default" w:ascii="Times New Roman" w:hAnsi="Times New Roman" w:eastAsia="宋体" w:cs="Times New Roman"/>
                <w:strike w:val="0"/>
                <w:dstrike w:val="0"/>
                <w:color w:val="auto"/>
                <w:sz w:val="24"/>
                <w:szCs w:val="24"/>
                <w:highlight w:val="none"/>
                <w:lang w:bidi="ar"/>
              </w:rPr>
              <w:t>不涉及基本农田保护区、地质公园、重要湿地、天然林、生活饮用水水源保护区、风景名胜区、自然保护区等环境敏感区域</w:t>
            </w:r>
            <w:r>
              <w:rPr>
                <w:rFonts w:hint="default" w:ascii="Times New Roman" w:hAnsi="Times New Roman" w:cs="Times New Roman"/>
                <w:color w:val="auto"/>
                <w:sz w:val="24"/>
                <w:szCs w:val="24"/>
                <w:highlight w:val="none"/>
                <w:lang w:val="en-US" w:eastAsia="zh-CN" w:bidi="ar"/>
              </w:rPr>
              <w:t>，</w:t>
            </w:r>
            <w:r>
              <w:rPr>
                <w:rFonts w:hint="default" w:ascii="Times New Roman" w:hAnsi="Times New Roman" w:eastAsia="宋体" w:cs="Times New Roman"/>
                <w:color w:val="auto"/>
                <w:sz w:val="24"/>
                <w:szCs w:val="24"/>
                <w:highlight w:val="none"/>
                <w:lang w:bidi="ar"/>
              </w:rPr>
              <w:t>项目选址</w:t>
            </w:r>
            <w:r>
              <w:rPr>
                <w:rFonts w:hint="eastAsia"/>
                <w:bCs/>
                <w:color w:val="auto"/>
                <w:sz w:val="24"/>
                <w:szCs w:val="24"/>
                <w:highlight w:val="none"/>
              </w:rPr>
              <w:t>可</w:t>
            </w:r>
            <w:r>
              <w:rPr>
                <w:rFonts w:hint="eastAsia"/>
                <w:bCs/>
                <w:color w:val="auto"/>
                <w:sz w:val="24"/>
                <w:szCs w:val="24"/>
              </w:rPr>
              <w:t>行</w:t>
            </w:r>
            <w:r>
              <w:rPr>
                <w:bCs/>
                <w:color w:val="auto"/>
                <w:sz w:val="24"/>
                <w:szCs w:val="24"/>
              </w:rPr>
              <w:t>。</w:t>
            </w:r>
          </w:p>
        </w:tc>
      </w:tr>
    </w:tbl>
    <w:p>
      <w:pPr>
        <w:keepNext w:val="0"/>
        <w:keepLines w:val="0"/>
        <w:pageBreakBefore w:val="0"/>
        <w:widowControl w:val="0"/>
        <w:kinsoku/>
        <w:wordWrap/>
        <w:overflowPunct/>
        <w:topLinePunct w:val="0"/>
        <w:autoSpaceDE/>
        <w:autoSpaceDN/>
        <w:bidi w:val="0"/>
        <w:adjustRightInd/>
        <w:snapToGrid/>
        <w:spacing w:line="500" w:lineRule="exact"/>
        <w:ind w:firstLine="420" w:firstLineChars="200"/>
        <w:textAlignment w:val="auto"/>
        <w:outlineLvl w:val="9"/>
        <w:rPr>
          <w:rFonts w:eastAsia="黑体"/>
          <w:color w:val="auto"/>
          <w:sz w:val="21"/>
          <w:szCs w:val="21"/>
        </w:rPr>
      </w:pPr>
    </w:p>
    <w:p>
      <w:pPr>
        <w:spacing w:line="360" w:lineRule="auto"/>
        <w:outlineLvl w:val="9"/>
        <w:rPr>
          <w:rFonts w:eastAsia="黑体"/>
          <w:color w:val="auto"/>
          <w:sz w:val="30"/>
        </w:rPr>
        <w:sectPr>
          <w:footerReference r:id="rId4" w:type="default"/>
          <w:pgSz w:w="11906" w:h="16838"/>
          <w:pgMar w:top="1701" w:right="1531" w:bottom="1701" w:left="1531" w:header="851" w:footer="1077" w:gutter="0"/>
          <w:pgBorders>
            <w:top w:val="none" w:sz="0" w:space="0"/>
            <w:left w:val="none" w:sz="0" w:space="0"/>
            <w:bottom w:val="none" w:sz="0" w:space="0"/>
            <w:right w:val="none" w:sz="0" w:space="0"/>
          </w:pgBorders>
          <w:pgNumType w:fmt="decimal" w:start="1"/>
          <w:cols w:space="720" w:num="1"/>
          <w:rtlGutter w:val="0"/>
          <w:docGrid w:linePitch="312" w:charSpace="0"/>
        </w:sectPr>
      </w:pPr>
    </w:p>
    <w:p>
      <w:pPr>
        <w:spacing w:line="360" w:lineRule="auto"/>
        <w:jc w:val="center"/>
        <w:outlineLvl w:val="0"/>
        <w:rPr>
          <w:rFonts w:ascii="黑体" w:hAnsi="黑体" w:eastAsia="黑体"/>
          <w:snapToGrid w:val="0"/>
          <w:color w:val="auto"/>
          <w:sz w:val="30"/>
          <w:szCs w:val="30"/>
        </w:rPr>
      </w:pPr>
      <w:bookmarkStart w:id="2" w:name="_Toc10540"/>
      <w:r>
        <w:rPr>
          <w:rFonts w:hint="eastAsia" w:ascii="黑体" w:hAnsi="黑体" w:eastAsia="黑体"/>
          <w:snapToGrid w:val="0"/>
          <w:color w:val="auto"/>
          <w:sz w:val="30"/>
          <w:szCs w:val="30"/>
        </w:rPr>
        <w:t>二、建设项目工程分析</w:t>
      </w:r>
      <w:bookmarkEnd w:id="2"/>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389"/>
        <w:gridCol w:w="8449"/>
        <w:gridCol w:w="22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222" w:type="dxa"/>
            <w:noWrap w:val="0"/>
            <w:vAlign w:val="center"/>
          </w:tcPr>
          <w:p>
            <w:pPr>
              <w:pStyle w:val="23"/>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olor w:val="auto"/>
                <w:sz w:val="21"/>
                <w:szCs w:val="21"/>
                <w:highlight w:val="none"/>
                <w:lang w:eastAsia="zh-CN"/>
              </w:rPr>
            </w:pPr>
            <w:r>
              <w:rPr>
                <w:rFonts w:hint="eastAsia" w:ascii="Times New Roman" w:hAnsi="Times New Roman"/>
                <w:color w:val="auto"/>
                <w:sz w:val="21"/>
                <w:szCs w:val="21"/>
                <w:highlight w:val="none"/>
                <w:lang w:eastAsia="zh-CN"/>
              </w:rPr>
              <w:t>地理位置</w:t>
            </w:r>
          </w:p>
        </w:tc>
        <w:tc>
          <w:tcPr>
            <w:tcW w:w="4418" w:type="dxa"/>
            <w:noWrap w:val="0"/>
            <w:vAlign w:val="top"/>
          </w:tcPr>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cs="Times New Roman"/>
                <w:bCs/>
                <w:color w:val="auto"/>
                <w:szCs w:val="21"/>
                <w:highlight w:val="none"/>
                <w:lang w:eastAsia="zh-CN"/>
              </w:rPr>
            </w:pPr>
            <w:r>
              <w:rPr>
                <w:rFonts w:hint="eastAsia" w:cs="Times New Roman"/>
                <w:bCs/>
                <w:color w:val="auto"/>
                <w:szCs w:val="21"/>
                <w:highlight w:val="none"/>
                <w:lang w:val="en-US" w:eastAsia="zh-CN"/>
              </w:rPr>
              <w:t>1、</w:t>
            </w:r>
            <w:r>
              <w:rPr>
                <w:rFonts w:hint="eastAsia" w:cs="Times New Roman"/>
                <w:bCs/>
                <w:color w:val="auto"/>
                <w:szCs w:val="21"/>
                <w:highlight w:val="none"/>
                <w:lang w:eastAsia="zh-CN"/>
              </w:rPr>
              <w:t>河北唐山海港经济开发区（</w:t>
            </w:r>
            <w:r>
              <w:rPr>
                <w:rFonts w:hint="eastAsia" w:cs="Times New Roman"/>
                <w:bCs/>
                <w:color w:val="auto"/>
                <w:szCs w:val="21"/>
                <w:highlight w:val="none"/>
                <w:lang w:val="en-US" w:eastAsia="zh-CN"/>
              </w:rPr>
              <w:t>36#、37#泊位堆场、开滦配煤中心堆场物料</w:t>
            </w:r>
            <w:r>
              <w:rPr>
                <w:rFonts w:hint="eastAsia" w:cs="Times New Roman"/>
                <w:bCs/>
                <w:color w:val="auto"/>
                <w:szCs w:val="21"/>
                <w:highlight w:val="none"/>
                <w:lang w:eastAsia="zh-CN"/>
              </w:rPr>
              <w:t>）—河北唐山海港经济开发区（</w:t>
            </w:r>
            <w:r>
              <w:rPr>
                <w:rFonts w:hint="eastAsia" w:cs="Times New Roman"/>
                <w:bCs/>
                <w:color w:val="auto"/>
                <w:szCs w:val="21"/>
                <w:highlight w:val="none"/>
                <w:lang w:val="en-US" w:eastAsia="zh-CN"/>
              </w:rPr>
              <w:t>管廊项目管带机系统、其他拟建场</w:t>
            </w:r>
            <w:r>
              <w:rPr>
                <w:rFonts w:hint="eastAsia" w:cs="Times New Roman"/>
                <w:bCs/>
                <w:color w:val="auto"/>
                <w:szCs w:val="21"/>
                <w:highlight w:val="none"/>
                <w:lang w:eastAsia="zh-CN"/>
              </w:rPr>
              <w:t>）；</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default" w:cs="Times New Roman"/>
                <w:bCs/>
                <w:color w:val="auto"/>
                <w:szCs w:val="21"/>
                <w:highlight w:val="none"/>
                <w:lang w:val="en-US" w:eastAsia="zh-CN"/>
              </w:rPr>
            </w:pPr>
            <w:r>
              <w:rPr>
                <w:rFonts w:hint="eastAsia" w:cs="Times New Roman"/>
                <w:bCs/>
                <w:color w:val="auto"/>
                <w:szCs w:val="21"/>
                <w:highlight w:val="none"/>
                <w:lang w:val="en-US" w:eastAsia="zh-CN"/>
              </w:rPr>
              <w:t>2、</w:t>
            </w:r>
            <w:r>
              <w:rPr>
                <w:rFonts w:hint="eastAsia" w:cs="Times New Roman"/>
                <w:bCs/>
                <w:color w:val="auto"/>
                <w:szCs w:val="21"/>
                <w:highlight w:val="none"/>
                <w:lang w:eastAsia="zh-CN"/>
              </w:rPr>
              <w:t>河北唐山海港经济开发区（</w:t>
            </w:r>
            <w:r>
              <w:rPr>
                <w:rFonts w:hint="eastAsia" w:cs="Times New Roman"/>
                <w:bCs/>
                <w:color w:val="auto"/>
                <w:szCs w:val="21"/>
                <w:highlight w:val="none"/>
                <w:lang w:val="en-US" w:eastAsia="zh-CN"/>
              </w:rPr>
              <w:t>51#、52#泊位堆场物料</w:t>
            </w:r>
            <w:r>
              <w:rPr>
                <w:rFonts w:hint="eastAsia" w:cs="Times New Roman"/>
                <w:bCs/>
                <w:color w:val="auto"/>
                <w:szCs w:val="21"/>
                <w:highlight w:val="none"/>
                <w:lang w:eastAsia="zh-CN"/>
              </w:rPr>
              <w:t>）—河北唐山海港经济开发区（</w:t>
            </w:r>
            <w:r>
              <w:rPr>
                <w:rFonts w:hint="eastAsia" w:cs="Times New Roman"/>
                <w:bCs/>
                <w:color w:val="auto"/>
                <w:szCs w:val="21"/>
                <w:highlight w:val="none"/>
                <w:lang w:val="en-US" w:eastAsia="zh-CN"/>
              </w:rPr>
              <w:t>凤凰云港、其他拟建场区</w:t>
            </w:r>
            <w:r>
              <w:rPr>
                <w:rFonts w:hint="eastAsia" w:cs="Times New Roman"/>
                <w:bCs/>
                <w:color w:val="auto"/>
                <w:szCs w:val="21"/>
                <w:highlight w:val="none"/>
                <w:lang w:eastAsia="zh-CN"/>
              </w:rPr>
              <w:t>）。</w:t>
            </w:r>
          </w:p>
        </w:tc>
        <w:tc>
          <w:tcPr>
            <w:tcW w:w="4418" w:type="dxa"/>
            <w:noWrap w:val="0"/>
            <w:vAlign w:val="top"/>
          </w:tcPr>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cs="Times New Roman"/>
                <w:bCs/>
                <w:color w:val="auto"/>
                <w:szCs w:val="21"/>
                <w:highlight w:val="none"/>
                <w:lang w:val="en-US"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381" w:hRule="atLeast"/>
          <w:jc w:val="center"/>
        </w:trPr>
        <w:tc>
          <w:tcPr>
            <w:tcW w:w="222" w:type="dxa"/>
            <w:noWrap w:val="0"/>
            <w:vAlign w:val="center"/>
          </w:tcPr>
          <w:p>
            <w:pPr>
              <w:pStyle w:val="23"/>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kern w:val="0"/>
                <w:sz w:val="21"/>
                <w:szCs w:val="21"/>
                <w:highlight w:val="none"/>
                <w:lang w:val="en-US" w:eastAsia="zh-CN" w:bidi="ar-SA"/>
              </w:rPr>
            </w:pPr>
            <w:r>
              <w:rPr>
                <w:rFonts w:hint="eastAsia" w:ascii="Times New Roman" w:hAnsi="Times New Roman"/>
                <w:color w:val="auto"/>
                <w:sz w:val="21"/>
                <w:szCs w:val="21"/>
                <w:highlight w:val="none"/>
                <w:lang w:eastAsia="zh-CN"/>
              </w:rPr>
              <w:t>项目组成及规模</w:t>
            </w:r>
          </w:p>
        </w:tc>
        <w:tc>
          <w:tcPr>
            <w:tcW w:w="4418" w:type="dxa"/>
            <w:noWrap w:val="0"/>
            <w:vAlign w:val="top"/>
          </w:tcPr>
          <w:p>
            <w:pPr>
              <w:pStyle w:val="67"/>
              <w:widowControl/>
              <w:spacing w:line="480" w:lineRule="exact"/>
              <w:ind w:firstLine="0" w:firstLineChars="0"/>
              <w:rPr>
                <w:rFonts w:cs="Times New Roman"/>
                <w:b/>
                <w:bCs/>
                <w:color w:val="auto"/>
                <w:sz w:val="24"/>
                <w:szCs w:val="24"/>
                <w:highlight w:val="none"/>
              </w:rPr>
            </w:pPr>
            <w:r>
              <w:rPr>
                <w:rFonts w:hint="eastAsia" w:cs="Times New Roman"/>
                <w:b/>
                <w:bCs/>
                <w:color w:val="auto"/>
                <w:sz w:val="24"/>
                <w:szCs w:val="24"/>
                <w:highlight w:val="none"/>
              </w:rPr>
              <w:t>2.1</w:t>
            </w:r>
            <w:r>
              <w:rPr>
                <w:rFonts w:cs="Times New Roman"/>
                <w:b/>
                <w:bCs/>
                <w:color w:val="auto"/>
                <w:sz w:val="24"/>
                <w:szCs w:val="24"/>
                <w:highlight w:val="none"/>
              </w:rPr>
              <w:t>、项目背景</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河北省是钢铁生产大省，其中唐山市规模最大。按照国家和河北省关于推进钢铁产业转型升级和调整优化钢铁产业布局的有关要求和河北省唐山市委、市政府优化钢铁产业布局、推进重点钢铁企业退城搬迁的总体战略部署，唐山国堂钢铁有限公司、河北华西特种钢铁有限公司、唐山市天顺煤焦化工有限公司、唐山中厚板材有限公司、河北天柱钢铁集团有限公司五家企业已搬迁至海港开发区。</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五家企业紧邻京唐港区，为满足生产需要，五家企业生产所需的铁矿石和焦煤运输将依托唐山环港廊道运输有限公司管带机廊道项目（以下简称“管廊项目”）运输，管廊项目起点为首钢矿石码头辅建区北侧，终点为开发区后方的钢厂及焦化厂。本工程拟打通京唐港36#、37#泊位堆场、开滦配煤中心堆场物料、京唐港51#、52#泊位堆场物料向唐山海港区慧轮达物流有限公司、唐山美达供应链管理有限公司、管廊项目及拟建凤凰云港等场区供料的路由。</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本项目建成后可实现码头至五家企业全程带式输送机连通，增加京唐港区带式输送机疏港能力，完善京唐港区港口服务功能，为五家搬迁企业提供原料运输，助力唐山市钢铁产业结构调整。</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highlight w:val="none"/>
              </w:rPr>
            </w:pPr>
            <w:r>
              <w:rPr>
                <w:rFonts w:hint="eastAsia" w:cs="Times New Roman"/>
                <w:color w:val="auto"/>
                <w:sz w:val="24"/>
                <w:szCs w:val="24"/>
                <w:highlight w:val="none"/>
                <w:lang w:eastAsia="zh-CN"/>
              </w:rPr>
              <w:t>唐山环港廊道运输有限公司</w:t>
            </w:r>
            <w:r>
              <w:rPr>
                <w:rFonts w:hint="eastAsia" w:cs="Times New Roman"/>
                <w:color w:val="auto"/>
                <w:sz w:val="24"/>
                <w:szCs w:val="24"/>
                <w:highlight w:val="none"/>
              </w:rPr>
              <w:t>拟</w:t>
            </w:r>
            <w:r>
              <w:rPr>
                <w:rFonts w:cs="Times New Roman"/>
                <w:color w:val="auto"/>
                <w:sz w:val="24"/>
                <w:szCs w:val="24"/>
                <w:highlight w:val="none"/>
              </w:rPr>
              <w:t>投资</w:t>
            </w:r>
            <w:r>
              <w:rPr>
                <w:rFonts w:hint="eastAsia" w:cs="Times New Roman"/>
                <w:color w:val="auto"/>
                <w:sz w:val="24"/>
                <w:szCs w:val="24"/>
                <w:highlight w:val="none"/>
                <w:lang w:val="en-US" w:eastAsia="zh-CN"/>
              </w:rPr>
              <w:t>70780.63</w:t>
            </w:r>
            <w:r>
              <w:rPr>
                <w:rFonts w:cs="Times New Roman"/>
                <w:color w:val="auto"/>
                <w:sz w:val="24"/>
                <w:szCs w:val="24"/>
                <w:highlight w:val="none"/>
              </w:rPr>
              <w:t>万元</w:t>
            </w:r>
            <w:r>
              <w:rPr>
                <w:rFonts w:hint="eastAsia" w:cs="Times New Roman"/>
                <w:color w:val="auto"/>
                <w:sz w:val="24"/>
                <w:szCs w:val="24"/>
                <w:highlight w:val="none"/>
                <w:lang w:eastAsia="zh-CN"/>
              </w:rPr>
              <w:t>在河北唐山海港经济开发区</w:t>
            </w:r>
            <w:r>
              <w:rPr>
                <w:rFonts w:cs="Times New Roman"/>
                <w:color w:val="auto"/>
                <w:sz w:val="24"/>
                <w:szCs w:val="24"/>
                <w:highlight w:val="none"/>
              </w:rPr>
              <w:t>建设</w:t>
            </w:r>
            <w:r>
              <w:rPr>
                <w:rFonts w:hint="eastAsia" w:cs="Times New Roman"/>
                <w:color w:val="auto"/>
                <w:sz w:val="24"/>
                <w:szCs w:val="24"/>
                <w:highlight w:val="none"/>
                <w:lang w:eastAsia="zh-CN"/>
              </w:rPr>
              <w:t>唐山环港廊道港区连接线项目。本项目</w:t>
            </w:r>
            <w:r>
              <w:rPr>
                <w:rFonts w:cs="Times New Roman"/>
                <w:color w:val="auto"/>
                <w:sz w:val="24"/>
                <w:szCs w:val="24"/>
                <w:highlight w:val="none"/>
              </w:rPr>
              <w:t>属于《建设项目环境影响评价分类管理名录》（2021）中“四、煤炭开采和洗选业-6其他煤炭采选069</w:t>
            </w:r>
            <w:r>
              <w:rPr>
                <w:rFonts w:hint="eastAsia" w:cs="Times New Roman"/>
                <w:color w:val="auto"/>
                <w:sz w:val="24"/>
                <w:szCs w:val="24"/>
                <w:highlight w:val="none"/>
              </w:rPr>
              <w:t>-煤炭洗选、配煤；</w:t>
            </w:r>
            <w:r>
              <w:rPr>
                <w:rFonts w:hint="eastAsia" w:cs="Times New Roman"/>
                <w:b/>
                <w:bCs/>
                <w:color w:val="auto"/>
                <w:sz w:val="24"/>
                <w:szCs w:val="24"/>
                <w:highlight w:val="none"/>
              </w:rPr>
              <w:t>煤炭储存、集运</w:t>
            </w:r>
            <w:r>
              <w:rPr>
                <w:rFonts w:hint="eastAsia" w:cs="Times New Roman"/>
                <w:color w:val="auto"/>
                <w:sz w:val="24"/>
                <w:szCs w:val="24"/>
                <w:highlight w:val="none"/>
              </w:rPr>
              <w:t>；风井场地、瓦斯抽放站；矿区修复治理工程（含煤矿火烧区治理工程）</w:t>
            </w:r>
            <w:r>
              <w:rPr>
                <w:rFonts w:cs="Times New Roman"/>
                <w:color w:val="auto"/>
                <w:sz w:val="24"/>
                <w:szCs w:val="24"/>
                <w:highlight w:val="none"/>
              </w:rPr>
              <w:t>”</w:t>
            </w:r>
            <w:r>
              <w:rPr>
                <w:rFonts w:hint="eastAsia" w:cs="Times New Roman"/>
                <w:color w:val="auto"/>
                <w:sz w:val="24"/>
                <w:szCs w:val="24"/>
                <w:highlight w:val="none"/>
                <w:lang w:eastAsia="zh-CN"/>
              </w:rPr>
              <w:t>；“六、黑色金属矿采选业</w:t>
            </w:r>
            <w:r>
              <w:rPr>
                <w:rFonts w:hint="eastAsia" w:cs="Times New Roman"/>
                <w:color w:val="auto"/>
                <w:sz w:val="24"/>
                <w:szCs w:val="24"/>
                <w:highlight w:val="none"/>
                <w:lang w:val="en-US" w:eastAsia="zh-CN"/>
              </w:rPr>
              <w:t>-9铁矿采选081-单独的矿石破碎、</w:t>
            </w:r>
            <w:r>
              <w:rPr>
                <w:rFonts w:hint="eastAsia" w:cs="Times New Roman"/>
                <w:b/>
                <w:bCs/>
                <w:color w:val="auto"/>
                <w:sz w:val="24"/>
                <w:szCs w:val="24"/>
                <w:highlight w:val="none"/>
                <w:lang w:val="en-US" w:eastAsia="zh-CN"/>
              </w:rPr>
              <w:t>集运</w:t>
            </w:r>
            <w:r>
              <w:rPr>
                <w:rFonts w:hint="eastAsia" w:cs="Times New Roman"/>
                <w:color w:val="auto"/>
                <w:sz w:val="24"/>
                <w:szCs w:val="24"/>
                <w:highlight w:val="none"/>
                <w:lang w:val="en-US" w:eastAsia="zh-CN"/>
              </w:rPr>
              <w:t>；矿区修复治理工程</w:t>
            </w:r>
            <w:r>
              <w:rPr>
                <w:rFonts w:hint="eastAsia" w:cs="Times New Roman"/>
                <w:color w:val="auto"/>
                <w:sz w:val="24"/>
                <w:szCs w:val="24"/>
                <w:highlight w:val="none"/>
                <w:lang w:eastAsia="zh-CN"/>
              </w:rPr>
              <w:t>；</w:t>
            </w:r>
            <w:r>
              <w:rPr>
                <w:rFonts w:hint="eastAsia" w:cs="Times New Roman"/>
                <w:color w:val="auto"/>
                <w:sz w:val="24"/>
                <w:szCs w:val="24"/>
                <w:highlight w:val="none"/>
                <w:lang w:val="en-US" w:eastAsia="zh-CN"/>
              </w:rPr>
              <w:t>五十二、交通运输业、管道运输业</w:t>
            </w:r>
            <w:r>
              <w:rPr>
                <w:rFonts w:hint="eastAsia" w:cs="Times New Roman"/>
                <w:color w:val="auto"/>
                <w:sz w:val="24"/>
                <w:szCs w:val="24"/>
                <w:highlight w:val="none"/>
                <w:lang w:eastAsia="zh-CN"/>
              </w:rPr>
              <w:t>”</w:t>
            </w:r>
            <w:r>
              <w:rPr>
                <w:rFonts w:cs="Times New Roman"/>
                <w:color w:val="auto"/>
                <w:sz w:val="24"/>
                <w:szCs w:val="24"/>
                <w:highlight w:val="none"/>
              </w:rPr>
              <w:t>，应编制环境影响报告表。</w:t>
            </w:r>
            <w:r>
              <w:rPr>
                <w:rFonts w:hint="eastAsia" w:cs="Times New Roman"/>
                <w:color w:val="auto"/>
                <w:sz w:val="24"/>
                <w:szCs w:val="24"/>
                <w:highlight w:val="none"/>
                <w:lang w:eastAsia="zh-CN"/>
              </w:rPr>
              <w:t>唐山环港廊道运输有限公司</w:t>
            </w:r>
            <w:r>
              <w:rPr>
                <w:rFonts w:cs="Times New Roman"/>
                <w:color w:val="auto"/>
                <w:sz w:val="24"/>
                <w:szCs w:val="24"/>
                <w:highlight w:val="none"/>
              </w:rPr>
              <w:t>委托我单位承担该项目的环境影响报告表的编制工作，我单位接受委托后，立即开展了现场踏勘、资料收集等工作，并按照《建设项目环境影响报告表编制技术指南（</w:t>
            </w:r>
            <w:r>
              <w:rPr>
                <w:rFonts w:hint="eastAsia" w:cs="Times New Roman"/>
                <w:color w:val="auto"/>
                <w:sz w:val="24"/>
                <w:szCs w:val="24"/>
                <w:highlight w:val="none"/>
                <w:lang w:eastAsia="zh-CN"/>
              </w:rPr>
              <w:t>生态影响</w:t>
            </w:r>
            <w:r>
              <w:rPr>
                <w:rFonts w:cs="Times New Roman"/>
                <w:color w:val="auto"/>
                <w:sz w:val="24"/>
                <w:szCs w:val="24"/>
                <w:highlight w:val="none"/>
              </w:rPr>
              <w:t>类）（试行）》的规定编制完成了本项目环境影响报告表。</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0" w:firstLineChars="0"/>
              <w:textAlignment w:val="auto"/>
              <w:rPr>
                <w:rFonts w:hint="eastAsia" w:eastAsia="宋体" w:cs="Times New Roman"/>
                <w:color w:val="auto"/>
                <w:sz w:val="24"/>
                <w:szCs w:val="24"/>
                <w:highlight w:val="none"/>
                <w:lang w:eastAsia="zh-CN"/>
              </w:rPr>
            </w:pPr>
            <w:r>
              <w:rPr>
                <w:rFonts w:hint="eastAsia" w:cs="Times New Roman"/>
                <w:b/>
                <w:bCs/>
                <w:color w:val="auto"/>
                <w:sz w:val="24"/>
                <w:szCs w:val="24"/>
                <w:highlight w:val="none"/>
              </w:rPr>
              <w:t>2.2</w:t>
            </w:r>
            <w:r>
              <w:rPr>
                <w:rFonts w:cs="Times New Roman"/>
                <w:b/>
                <w:bCs/>
                <w:color w:val="auto"/>
                <w:sz w:val="24"/>
                <w:szCs w:val="24"/>
                <w:highlight w:val="none"/>
              </w:rPr>
              <w:t>、</w:t>
            </w:r>
            <w:r>
              <w:rPr>
                <w:rFonts w:hint="eastAsia" w:cs="Times New Roman"/>
                <w:b/>
                <w:bCs/>
                <w:color w:val="auto"/>
                <w:sz w:val="24"/>
                <w:szCs w:val="24"/>
                <w:highlight w:val="none"/>
                <w:lang w:eastAsia="zh-CN"/>
              </w:rPr>
              <w:t>项目概况</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highlight w:val="none"/>
              </w:rPr>
            </w:pPr>
            <w:r>
              <w:rPr>
                <w:rFonts w:cs="Times New Roman"/>
                <w:color w:val="auto"/>
                <w:sz w:val="24"/>
                <w:szCs w:val="24"/>
                <w:highlight w:val="none"/>
              </w:rPr>
              <w:t>（1）项目名称：</w:t>
            </w:r>
            <w:r>
              <w:rPr>
                <w:rFonts w:hint="eastAsia" w:cs="Times New Roman"/>
                <w:color w:val="auto"/>
                <w:sz w:val="24"/>
                <w:szCs w:val="24"/>
                <w:highlight w:val="none"/>
                <w:lang w:eastAsia="zh-CN"/>
              </w:rPr>
              <w:t>唐山环港廊道港区连接线项目</w:t>
            </w:r>
            <w:r>
              <w:rPr>
                <w:rFonts w:cs="Times New Roman"/>
                <w:color w:val="auto"/>
                <w:sz w:val="24"/>
                <w:szCs w:val="24"/>
                <w:highlight w:val="none"/>
              </w:rPr>
              <w:t>。</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highlight w:val="none"/>
              </w:rPr>
            </w:pPr>
            <w:r>
              <w:rPr>
                <w:rFonts w:cs="Times New Roman"/>
                <w:color w:val="auto"/>
                <w:sz w:val="24"/>
                <w:szCs w:val="24"/>
                <w:highlight w:val="none"/>
              </w:rPr>
              <w:t>（2）建设单位：</w:t>
            </w:r>
            <w:r>
              <w:rPr>
                <w:rFonts w:hint="eastAsia" w:cs="Times New Roman"/>
                <w:color w:val="auto"/>
                <w:sz w:val="24"/>
                <w:szCs w:val="24"/>
                <w:highlight w:val="none"/>
                <w:lang w:eastAsia="zh-CN"/>
              </w:rPr>
              <w:t>唐山环港廊道运输有限公司</w:t>
            </w:r>
            <w:r>
              <w:rPr>
                <w:rFonts w:cs="Times New Roman"/>
                <w:color w:val="auto"/>
                <w:sz w:val="24"/>
                <w:szCs w:val="24"/>
                <w:highlight w:val="none"/>
              </w:rPr>
              <w:t>。</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highlight w:val="none"/>
              </w:rPr>
            </w:pPr>
            <w:r>
              <w:rPr>
                <w:rFonts w:cs="Times New Roman"/>
                <w:color w:val="auto"/>
                <w:sz w:val="24"/>
                <w:szCs w:val="24"/>
                <w:highlight w:val="none"/>
              </w:rPr>
              <w:t>（3）建设性质：</w:t>
            </w:r>
            <w:r>
              <w:rPr>
                <w:rFonts w:hint="eastAsia" w:cs="Times New Roman"/>
                <w:color w:val="auto"/>
                <w:sz w:val="24"/>
                <w:szCs w:val="24"/>
                <w:highlight w:val="none"/>
              </w:rPr>
              <w:t>新建</w:t>
            </w:r>
            <w:r>
              <w:rPr>
                <w:rFonts w:cs="Times New Roman"/>
                <w:color w:val="auto"/>
                <w:sz w:val="24"/>
                <w:szCs w:val="24"/>
                <w:highlight w:val="none"/>
              </w:rPr>
              <w:t>。</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highlight w:val="none"/>
              </w:rPr>
            </w:pPr>
            <w:r>
              <w:rPr>
                <w:rFonts w:cs="Times New Roman"/>
                <w:color w:val="auto"/>
                <w:sz w:val="24"/>
                <w:szCs w:val="24"/>
                <w:highlight w:val="none"/>
              </w:rPr>
              <w:t>（4）建设地点：本项目位于</w:t>
            </w:r>
            <w:r>
              <w:rPr>
                <w:rFonts w:hint="eastAsia" w:cs="Times New Roman"/>
                <w:color w:val="auto"/>
                <w:sz w:val="24"/>
                <w:szCs w:val="24"/>
                <w:highlight w:val="none"/>
                <w:lang w:eastAsia="zh-CN"/>
              </w:rPr>
              <w:t>河北省唐山市海港开发区港兴大街西南约605米</w:t>
            </w:r>
            <w:r>
              <w:rPr>
                <w:rFonts w:cs="Times New Roman"/>
                <w:color w:val="auto"/>
                <w:sz w:val="24"/>
                <w:szCs w:val="24"/>
                <w:highlight w:val="none"/>
              </w:rPr>
              <w:t>。</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cs="Times New Roman"/>
                <w:color w:val="auto"/>
                <w:sz w:val="24"/>
                <w:szCs w:val="24"/>
                <w:highlight w:val="none"/>
              </w:rPr>
            </w:pPr>
            <w:r>
              <w:rPr>
                <w:rFonts w:cs="Times New Roman"/>
                <w:color w:val="auto"/>
                <w:sz w:val="24"/>
                <w:szCs w:val="24"/>
                <w:highlight w:val="none"/>
              </w:rPr>
              <w:t>（5）建设内容及规模</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rPr>
              <w:t>主要建设内容及规模</w:t>
            </w:r>
            <w:r>
              <w:rPr>
                <w:rFonts w:hint="eastAsia" w:cs="Times New Roman"/>
                <w:color w:val="auto"/>
                <w:sz w:val="24"/>
                <w:szCs w:val="24"/>
                <w:highlight w:val="none"/>
                <w:lang w:eastAsia="zh-CN"/>
              </w:rPr>
              <w:t>：</w:t>
            </w:r>
            <w:r>
              <w:rPr>
                <w:rFonts w:hint="eastAsia" w:cs="Times New Roman"/>
                <w:color w:val="auto"/>
                <w:sz w:val="24"/>
                <w:szCs w:val="24"/>
                <w:highlight w:val="none"/>
              </w:rPr>
              <w:t>本项目新建2条水平输送线，包括带式输送机和管带机，输送距离约5000m。设计运量为铁矿石1700万吨/年、焦煤350万吨/年，本工程普通带式输送机额定输送能力3600t/h</w:t>
            </w:r>
            <w:r>
              <w:rPr>
                <w:rFonts w:hint="eastAsia" w:cs="Times New Roman"/>
                <w:color w:val="auto"/>
                <w:sz w:val="24"/>
                <w:szCs w:val="24"/>
                <w:highlight w:val="none"/>
                <w:lang w:eastAsia="zh-CN"/>
              </w:rPr>
              <w:t>（</w:t>
            </w:r>
            <w:r>
              <w:rPr>
                <w:rFonts w:hint="eastAsia" w:cs="Times New Roman"/>
                <w:color w:val="auto"/>
                <w:sz w:val="24"/>
                <w:szCs w:val="24"/>
                <w:highlight w:val="none"/>
              </w:rPr>
              <w:t>铁矿石</w:t>
            </w:r>
            <w:r>
              <w:rPr>
                <w:rFonts w:hint="eastAsia" w:cs="Times New Roman"/>
                <w:color w:val="auto"/>
                <w:sz w:val="24"/>
                <w:szCs w:val="24"/>
                <w:highlight w:val="none"/>
                <w:lang w:eastAsia="zh-CN"/>
              </w:rPr>
              <w:t>）</w:t>
            </w:r>
            <w:r>
              <w:rPr>
                <w:rFonts w:hint="eastAsia" w:cs="Times New Roman"/>
                <w:color w:val="auto"/>
                <w:sz w:val="24"/>
                <w:szCs w:val="24"/>
                <w:highlight w:val="none"/>
              </w:rPr>
              <w:t>、带宽1400mm</w:t>
            </w:r>
            <w:r>
              <w:rPr>
                <w:rFonts w:hint="eastAsia" w:cs="Times New Roman"/>
                <w:color w:val="auto"/>
                <w:sz w:val="24"/>
                <w:szCs w:val="24"/>
                <w:highlight w:val="none"/>
                <w:lang w:eastAsia="zh-CN"/>
              </w:rPr>
              <w:t>；</w:t>
            </w:r>
            <w:r>
              <w:rPr>
                <w:rFonts w:hint="eastAsia" w:cs="Times New Roman"/>
                <w:color w:val="auto"/>
                <w:sz w:val="24"/>
                <w:szCs w:val="24"/>
                <w:highlight w:val="none"/>
              </w:rPr>
              <w:t>管带机额定输送能力为3600t/h</w:t>
            </w:r>
            <w:r>
              <w:rPr>
                <w:rFonts w:hint="eastAsia" w:cs="Times New Roman"/>
                <w:color w:val="auto"/>
                <w:sz w:val="24"/>
                <w:szCs w:val="24"/>
                <w:highlight w:val="none"/>
                <w:lang w:eastAsia="zh-CN"/>
              </w:rPr>
              <w:t>（</w:t>
            </w:r>
            <w:r>
              <w:rPr>
                <w:rFonts w:hint="eastAsia" w:cs="Times New Roman"/>
                <w:color w:val="auto"/>
                <w:sz w:val="24"/>
                <w:szCs w:val="24"/>
                <w:highlight w:val="none"/>
              </w:rPr>
              <w:t>铁矿石</w:t>
            </w:r>
            <w:r>
              <w:rPr>
                <w:rFonts w:hint="eastAsia" w:cs="Times New Roman"/>
                <w:color w:val="auto"/>
                <w:sz w:val="24"/>
                <w:szCs w:val="24"/>
                <w:highlight w:val="none"/>
                <w:lang w:eastAsia="zh-CN"/>
              </w:rPr>
              <w:t>），</w:t>
            </w:r>
            <w:r>
              <w:rPr>
                <w:rFonts w:hint="eastAsia" w:cs="Times New Roman"/>
                <w:color w:val="auto"/>
                <w:sz w:val="24"/>
                <w:szCs w:val="24"/>
                <w:highlight w:val="none"/>
              </w:rPr>
              <w:t>管径500mm</w:t>
            </w:r>
            <w:r>
              <w:rPr>
                <w:rFonts w:hint="eastAsia" w:cs="Times New Roman"/>
                <w:color w:val="auto"/>
                <w:sz w:val="24"/>
                <w:szCs w:val="24"/>
                <w:highlight w:val="none"/>
                <w:lang w:eastAsia="zh-CN"/>
              </w:rPr>
              <w:t>，</w:t>
            </w:r>
            <w:r>
              <w:rPr>
                <w:rFonts w:hint="eastAsia" w:cs="Times New Roman"/>
                <w:color w:val="auto"/>
                <w:sz w:val="24"/>
                <w:szCs w:val="24"/>
                <w:highlight w:val="none"/>
              </w:rPr>
              <w:t>带宽1850mm。拟打通京唐港36#、37#泊位堆场、开滦配煤中心堆场、京唐港51#、52#泊位堆场向唐山海港区慧轮达物流有限公司、唐山美达供应链管理有限公司</w:t>
            </w:r>
            <w:r>
              <w:rPr>
                <w:rFonts w:hint="eastAsia" w:cs="Times New Roman"/>
                <w:color w:val="auto"/>
                <w:sz w:val="24"/>
                <w:szCs w:val="24"/>
                <w:highlight w:val="none"/>
                <w:lang w:eastAsia="zh-CN"/>
              </w:rPr>
              <w:t>、</w:t>
            </w:r>
            <w:r>
              <w:rPr>
                <w:rFonts w:hint="eastAsia" w:cs="Times New Roman"/>
                <w:color w:val="auto"/>
                <w:sz w:val="24"/>
                <w:szCs w:val="24"/>
                <w:highlight w:val="none"/>
              </w:rPr>
              <w:t>管带机廊道项目及拟建凤凰云港等场区供料的路由。</w:t>
            </w:r>
          </w:p>
          <w:p>
            <w:pPr>
              <w:pStyle w:val="67"/>
              <w:keepNext w:val="0"/>
              <w:keepLines w:val="0"/>
              <w:pageBreakBefore w:val="0"/>
              <w:widowControl/>
              <w:kinsoku/>
              <w:wordWrap/>
              <w:overflowPunct/>
              <w:topLinePunct w:val="0"/>
              <w:autoSpaceDE/>
              <w:autoSpaceDN/>
              <w:bidi w:val="0"/>
              <w:adjustRightInd w:val="0"/>
              <w:snapToGrid w:val="0"/>
              <w:spacing w:line="500" w:lineRule="exact"/>
              <w:ind w:firstLine="420"/>
              <w:textAlignment w:val="auto"/>
              <w:rPr>
                <w:rFonts w:hint="eastAsia" w:cs="Times New Roman"/>
                <w:color w:val="auto"/>
                <w:sz w:val="24"/>
                <w:szCs w:val="24"/>
                <w:highlight w:val="yellow"/>
                <w:lang w:val="en-US" w:eastAsia="zh-CN"/>
              </w:rPr>
            </w:pPr>
            <w:r>
              <w:rPr>
                <w:rFonts w:hint="eastAsia" w:cs="Times New Roman"/>
                <w:color w:val="auto"/>
                <w:sz w:val="24"/>
                <w:szCs w:val="24"/>
                <w:highlight w:val="none"/>
                <w:lang w:val="en-US" w:eastAsia="zh-CN"/>
              </w:rPr>
              <w:t>不再建设办公楼，不设生活设施</w:t>
            </w:r>
            <w:r>
              <w:rPr>
                <w:rFonts w:hint="eastAsia" w:cs="Times New Roman"/>
                <w:b w:val="0"/>
                <w:bCs w:val="0"/>
                <w:color w:val="auto"/>
                <w:sz w:val="24"/>
                <w:szCs w:val="24"/>
                <w:highlight w:val="none"/>
                <w:lang w:val="en-US" w:eastAsia="zh-CN"/>
              </w:rPr>
              <w:t>。</w:t>
            </w:r>
          </w:p>
          <w:p>
            <w:pPr>
              <w:keepNext w:val="0"/>
              <w:keepLines w:val="0"/>
              <w:suppressLineNumbers w:val="0"/>
              <w:autoSpaceDE w:val="0"/>
              <w:autoSpaceDN w:val="0"/>
              <w:spacing w:before="0" w:beforeAutospacing="0" w:after="0" w:afterAutospacing="0" w:line="500" w:lineRule="exact"/>
              <w:ind w:left="0" w:right="0"/>
              <w:jc w:val="center"/>
              <w:rPr>
                <w:rFonts w:ascii="Times New Roman" w:hAnsi="Times New Roman" w:eastAsia="宋体" w:cs="Times New Roman"/>
                <w:b/>
                <w:color w:val="auto"/>
                <w:highlight w:val="none"/>
                <w:lang w:val="zh-CN"/>
              </w:rPr>
            </w:pPr>
            <w:r>
              <w:rPr>
                <w:rFonts w:ascii="Times New Roman" w:hAnsi="Times New Roman" w:eastAsia="宋体" w:cs="Times New Roman"/>
                <w:b/>
                <w:color w:val="auto"/>
                <w:highlight w:val="none"/>
                <w:lang w:val="zh-CN"/>
              </w:rPr>
              <w:t>表</w:t>
            </w:r>
            <w:r>
              <w:rPr>
                <w:rFonts w:hint="eastAsia" w:ascii="Times New Roman" w:hAnsi="Times New Roman" w:eastAsia="宋体" w:cs="Times New Roman"/>
                <w:b/>
                <w:color w:val="auto"/>
                <w:highlight w:val="none"/>
              </w:rPr>
              <w:t>2-</w:t>
            </w:r>
            <w:r>
              <w:rPr>
                <w:rFonts w:hint="eastAsia" w:ascii="Times New Roman" w:hAnsi="Times New Roman" w:eastAsia="宋体" w:cs="Times New Roman"/>
                <w:b/>
                <w:color w:val="auto"/>
                <w:highlight w:val="none"/>
                <w:lang w:val="en-US" w:eastAsia="zh-CN"/>
              </w:rPr>
              <w:t>1</w:t>
            </w:r>
            <w:r>
              <w:rPr>
                <w:rFonts w:ascii="Times New Roman" w:hAnsi="Times New Roman" w:eastAsia="宋体" w:cs="Times New Roman"/>
                <w:b/>
                <w:color w:val="auto"/>
                <w:highlight w:val="none"/>
                <w:lang w:val="zh-CN"/>
              </w:rPr>
              <w:t xml:space="preserve">  项目工程组成一览表</w:t>
            </w:r>
          </w:p>
          <w:tbl>
            <w:tblPr>
              <w:tblStyle w:val="27"/>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651"/>
              <w:gridCol w:w="845"/>
              <w:gridCol w:w="679"/>
              <w:gridCol w:w="602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blHeader/>
                <w:jc w:val="center"/>
              </w:trPr>
              <w:tc>
                <w:tcPr>
                  <w:tcW w:w="397" w:type="pct"/>
                  <w:tcBorders>
                    <w:bottom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bCs/>
                      <w:color w:val="auto"/>
                      <w:szCs w:val="21"/>
                      <w:highlight w:val="none"/>
                      <w:lang w:val="zh-CN"/>
                    </w:rPr>
                  </w:pPr>
                  <w:r>
                    <w:rPr>
                      <w:rFonts w:ascii="Times New Roman" w:hAnsi="Times New Roman" w:eastAsia="宋体" w:cs="Times New Roman"/>
                      <w:b/>
                      <w:bCs/>
                      <w:color w:val="auto"/>
                      <w:szCs w:val="21"/>
                      <w:highlight w:val="none"/>
                      <w:lang w:val="zh-CN"/>
                    </w:rPr>
                    <w:t>工程类别</w:t>
                  </w: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bCs/>
                      <w:color w:val="auto"/>
                      <w:szCs w:val="21"/>
                      <w:highlight w:val="none"/>
                      <w:lang w:val="zh-CN"/>
                    </w:rPr>
                  </w:pPr>
                  <w:r>
                    <w:rPr>
                      <w:rFonts w:ascii="Times New Roman" w:hAnsi="Times New Roman" w:eastAsia="宋体" w:cs="Times New Roman"/>
                      <w:b/>
                      <w:bCs/>
                      <w:color w:val="auto"/>
                      <w:szCs w:val="21"/>
                      <w:highlight w:val="none"/>
                      <w:lang w:val="zh-CN"/>
                    </w:rPr>
                    <w:t>工程名称</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bCs/>
                      <w:color w:val="auto"/>
                      <w:szCs w:val="21"/>
                      <w:highlight w:val="none"/>
                      <w:lang w:val="zh-CN"/>
                    </w:rPr>
                  </w:pPr>
                  <w:r>
                    <w:rPr>
                      <w:rFonts w:ascii="Times New Roman" w:hAnsi="Times New Roman" w:eastAsia="宋体" w:cs="Times New Roman"/>
                      <w:b/>
                      <w:bCs/>
                      <w:color w:val="auto"/>
                      <w:szCs w:val="21"/>
                      <w:highlight w:val="none"/>
                      <w:lang w:val="zh-CN"/>
                    </w:rPr>
                    <w:t>工程内容</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397" w:type="pct"/>
                  <w:vMerge w:val="restart"/>
                  <w:tcBorders>
                    <w:top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主体工程</w:t>
                  </w: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eastAsia" w:ascii="Times New Roman" w:hAnsi="Times New Roman" w:eastAsia="宋体" w:cs="Times New Roman"/>
                      <w:b w:val="0"/>
                      <w:bCs w:val="0"/>
                      <w:color w:val="auto"/>
                      <w:szCs w:val="21"/>
                      <w:highlight w:val="none"/>
                      <w:lang w:eastAsia="zh-CN"/>
                    </w:rPr>
                  </w:pPr>
                  <w:r>
                    <w:rPr>
                      <w:rFonts w:hint="eastAsia" w:cs="Times New Roman"/>
                      <w:b w:val="0"/>
                      <w:bCs w:val="0"/>
                      <w:color w:val="auto"/>
                      <w:szCs w:val="21"/>
                      <w:highlight w:val="none"/>
                      <w:lang w:eastAsia="zh-CN"/>
                    </w:rPr>
                    <w:t>输送</w:t>
                  </w:r>
                  <w:r>
                    <w:rPr>
                      <w:rFonts w:hint="eastAsia" w:ascii="Times New Roman" w:hAnsi="Times New Roman" w:eastAsia="宋体" w:cs="Times New Roman"/>
                      <w:b w:val="0"/>
                      <w:bCs w:val="0"/>
                      <w:color w:val="auto"/>
                      <w:szCs w:val="21"/>
                      <w:highlight w:val="none"/>
                      <w:lang w:eastAsia="zh-CN"/>
                    </w:rPr>
                    <w:t>廊道</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ascii="Times New Roman" w:hAnsi="Times New Roman" w:eastAsia="宋体" w:cs="Times New Roman"/>
                      <w:color w:val="auto"/>
                      <w:szCs w:val="21"/>
                      <w:highlight w:val="none"/>
                      <w:lang w:val="zh-CN"/>
                    </w:rPr>
                  </w:pPr>
                  <w:r>
                    <w:rPr>
                      <w:rFonts w:hint="eastAsia" w:ascii="Times New Roman" w:hAnsi="Times New Roman" w:eastAsia="宋体" w:cs="Times New Roman"/>
                      <w:color w:val="auto"/>
                      <w:szCs w:val="21"/>
                      <w:highlight w:val="none"/>
                      <w:lang w:val="zh-CN" w:eastAsia="zh-CN"/>
                    </w:rPr>
                    <w:t>钢结构，</w:t>
                  </w:r>
                  <w:r>
                    <w:rPr>
                      <w:rFonts w:hint="eastAsia" w:ascii="Times New Roman" w:hAnsi="Times New Roman" w:eastAsia="宋体" w:cs="Times New Roman"/>
                      <w:color w:val="auto"/>
                      <w:szCs w:val="21"/>
                      <w:highlight w:val="none"/>
                      <w:lang w:val="en-US" w:eastAsia="zh-CN"/>
                    </w:rPr>
                    <w:t>5</w:t>
                  </w:r>
                  <w:r>
                    <w:rPr>
                      <w:rFonts w:hint="eastAsia" w:ascii="Times New Roman" w:hAnsi="Times New Roman" w:eastAsia="宋体" w:cs="Times New Roman"/>
                      <w:color w:val="auto"/>
                      <w:szCs w:val="21"/>
                      <w:highlight w:val="none"/>
                      <w:lang w:val="zh-CN" w:eastAsia="zh-CN"/>
                    </w:rPr>
                    <w:t>000m，围护结构为双层彩钢</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42" w:hRule="atLeast"/>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eastAsia="宋体" w:cs="Times New Roman"/>
                      <w:b w:val="0"/>
                      <w:bCs w:val="0"/>
                      <w:color w:val="auto"/>
                      <w:szCs w:val="21"/>
                      <w:highlight w:val="none"/>
                      <w:lang w:val="en-US" w:eastAsia="zh-CN"/>
                    </w:rPr>
                    <w:t>TH1转接机房</w:t>
                  </w:r>
                </w:p>
              </w:tc>
              <w:tc>
                <w:tcPr>
                  <w:tcW w:w="3673" w:type="pct"/>
                  <w:noWrap w:val="0"/>
                  <w:vAlign w:val="center"/>
                </w:tcPr>
                <w:p>
                  <w:pPr>
                    <w:keepNext w:val="0"/>
                    <w:keepLines w:val="0"/>
                    <w:widowControl/>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color w:val="auto"/>
                      <w:szCs w:val="21"/>
                      <w:highlight w:val="none"/>
                      <w:lang w:val="en-US" w:eastAsia="zh-CN"/>
                    </w:rPr>
                  </w:pPr>
                  <w:r>
                    <w:rPr>
                      <w:rFonts w:hint="eastAsia" w:ascii="Times New Roman" w:hAnsi="Times New Roman" w:eastAsia="宋体" w:cs="Times New Roman"/>
                      <w:color w:val="000000"/>
                      <w:kern w:val="0"/>
                      <w:sz w:val="20"/>
                      <w:szCs w:val="20"/>
                      <w:lang w:val="en-US" w:eastAsia="zh-CN" w:bidi="ar"/>
                    </w:rPr>
                    <w:t>5</w:t>
                  </w:r>
                  <w:r>
                    <w:rPr>
                      <w:rFonts w:hint="default" w:ascii="Times New Roman" w:hAnsi="Times New Roman" w:eastAsia="宋体" w:cs="Times New Roman"/>
                      <w:color w:val="000000"/>
                      <w:kern w:val="0"/>
                      <w:sz w:val="20"/>
                      <w:szCs w:val="20"/>
                      <w:lang w:val="en-US" w:eastAsia="zh-CN" w:bidi="ar"/>
                    </w:rPr>
                    <w:t>F</w:t>
                  </w:r>
                  <w:r>
                    <w:rPr>
                      <w:rFonts w:hint="eastAsia" w:ascii="宋体" w:hAnsi="宋体" w:eastAsia="宋体" w:cs="宋体"/>
                      <w:color w:val="000000"/>
                      <w:kern w:val="0"/>
                      <w:sz w:val="20"/>
                      <w:szCs w:val="20"/>
                      <w:lang w:val="en-US" w:eastAsia="zh-CN" w:bidi="ar"/>
                    </w:rPr>
                    <w:t>，钢筋砼框架结构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eastAsia" w:ascii="Times New Roman" w:hAnsi="Times New Roman" w:eastAsia="宋体" w:cs="Times New Roman"/>
                      <w:b w:val="0"/>
                      <w:bCs w:val="0"/>
                      <w:color w:val="auto"/>
                      <w:szCs w:val="21"/>
                      <w:highlight w:val="none"/>
                      <w:lang w:eastAsia="zh-CN"/>
                    </w:rPr>
                  </w:pPr>
                  <w:r>
                    <w:rPr>
                      <w:rFonts w:hint="eastAsia" w:ascii="Times New Roman" w:hAnsi="Times New Roman" w:eastAsia="宋体" w:cs="Times New Roman"/>
                      <w:b w:val="0"/>
                      <w:bCs w:val="0"/>
                      <w:color w:val="auto"/>
                      <w:szCs w:val="21"/>
                      <w:highlight w:val="none"/>
                      <w:lang w:val="en-US" w:eastAsia="zh-CN"/>
                    </w:rPr>
                    <w:t>TH2转接机房</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hint="eastAsia" w:ascii="Times New Roman" w:hAnsi="Times New Roman" w:eastAsia="宋体" w:cs="Times New Roman"/>
                      <w:color w:val="auto"/>
                      <w:szCs w:val="21"/>
                      <w:highlight w:val="none"/>
                      <w:lang w:val="zh-CN"/>
                    </w:rPr>
                  </w:pPr>
                  <w:r>
                    <w:rPr>
                      <w:rFonts w:hint="eastAsia" w:ascii="Times New Roman" w:hAnsi="Times New Roman" w:eastAsia="宋体" w:cs="Times New Roman"/>
                      <w:color w:val="000000"/>
                      <w:kern w:val="0"/>
                      <w:sz w:val="20"/>
                      <w:szCs w:val="20"/>
                      <w:lang w:val="en-US" w:eastAsia="zh-CN" w:bidi="ar"/>
                    </w:rPr>
                    <w:t>5</w:t>
                  </w:r>
                  <w:r>
                    <w:rPr>
                      <w:rFonts w:hint="default" w:ascii="Times New Roman" w:hAnsi="Times New Roman" w:eastAsia="宋体" w:cs="Times New Roman"/>
                      <w:color w:val="000000"/>
                      <w:kern w:val="0"/>
                      <w:sz w:val="20"/>
                      <w:szCs w:val="20"/>
                      <w:lang w:val="en-US" w:eastAsia="zh-CN" w:bidi="ar"/>
                    </w:rPr>
                    <w:t>F</w:t>
                  </w:r>
                  <w:r>
                    <w:rPr>
                      <w:rFonts w:hint="eastAsia" w:ascii="宋体" w:hAnsi="宋体" w:eastAsia="宋体" w:cs="宋体"/>
                      <w:color w:val="000000"/>
                      <w:kern w:val="0"/>
                      <w:sz w:val="20"/>
                      <w:szCs w:val="20"/>
                      <w:lang w:val="en-US" w:eastAsia="zh-CN" w:bidi="ar"/>
                    </w:rPr>
                    <w:t>，钢筋砼框架结构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eastAsia" w:ascii="Times New Roman" w:hAnsi="Times New Roman" w:eastAsia="宋体" w:cs="Times New Roman"/>
                      <w:b w:val="0"/>
                      <w:bCs w:val="0"/>
                      <w:color w:val="auto"/>
                      <w:szCs w:val="21"/>
                      <w:highlight w:val="none"/>
                      <w:lang w:eastAsia="zh-CN"/>
                    </w:rPr>
                  </w:pPr>
                  <w:r>
                    <w:rPr>
                      <w:rFonts w:hint="eastAsia" w:ascii="Times New Roman" w:hAnsi="Times New Roman" w:eastAsia="宋体" w:cs="Times New Roman"/>
                      <w:b w:val="0"/>
                      <w:bCs w:val="0"/>
                      <w:color w:val="auto"/>
                      <w:szCs w:val="21"/>
                      <w:highlight w:val="none"/>
                      <w:lang w:val="en-US" w:eastAsia="zh-CN"/>
                    </w:rPr>
                    <w:t>TH3转接机房</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hint="eastAsia" w:ascii="Times New Roman" w:hAnsi="Times New Roman" w:eastAsia="宋体" w:cs="Times New Roman"/>
                      <w:color w:val="auto"/>
                      <w:szCs w:val="21"/>
                      <w:highlight w:val="none"/>
                      <w:lang w:val="zh-CN"/>
                    </w:rPr>
                  </w:pPr>
                  <w:r>
                    <w:rPr>
                      <w:rFonts w:hint="eastAsia" w:ascii="Times New Roman" w:hAnsi="Times New Roman" w:eastAsia="宋体" w:cs="Times New Roman"/>
                      <w:color w:val="000000"/>
                      <w:kern w:val="0"/>
                      <w:sz w:val="20"/>
                      <w:szCs w:val="20"/>
                      <w:lang w:val="en-US" w:eastAsia="zh-CN" w:bidi="ar"/>
                    </w:rPr>
                    <w:t>5</w:t>
                  </w:r>
                  <w:r>
                    <w:rPr>
                      <w:rFonts w:hint="default" w:ascii="Times New Roman" w:hAnsi="Times New Roman" w:eastAsia="宋体" w:cs="Times New Roman"/>
                      <w:color w:val="000000"/>
                      <w:kern w:val="0"/>
                      <w:sz w:val="20"/>
                      <w:szCs w:val="20"/>
                      <w:lang w:val="en-US" w:eastAsia="zh-CN" w:bidi="ar"/>
                    </w:rPr>
                    <w:t>F</w:t>
                  </w:r>
                  <w:r>
                    <w:rPr>
                      <w:rFonts w:hint="eastAsia" w:ascii="宋体" w:hAnsi="宋体" w:eastAsia="宋体" w:cs="宋体"/>
                      <w:color w:val="000000"/>
                      <w:kern w:val="0"/>
                      <w:sz w:val="20"/>
                      <w:szCs w:val="20"/>
                      <w:lang w:val="en-US" w:eastAsia="zh-CN" w:bidi="ar"/>
                    </w:rPr>
                    <w:t>，钢筋砼框架结构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eastAsia" w:ascii="Times New Roman" w:hAnsi="Times New Roman" w:eastAsia="宋体" w:cs="Times New Roman"/>
                      <w:b w:val="0"/>
                      <w:bCs w:val="0"/>
                      <w:color w:val="auto"/>
                      <w:szCs w:val="21"/>
                      <w:highlight w:val="none"/>
                      <w:lang w:val="en-US" w:eastAsia="zh-CN"/>
                    </w:rPr>
                  </w:pPr>
                  <w:r>
                    <w:rPr>
                      <w:rFonts w:hint="eastAsia" w:ascii="Times New Roman" w:hAnsi="Times New Roman" w:eastAsia="宋体" w:cs="Times New Roman"/>
                      <w:b w:val="0"/>
                      <w:bCs w:val="0"/>
                      <w:color w:val="auto"/>
                      <w:szCs w:val="21"/>
                      <w:highlight w:val="none"/>
                      <w:lang w:val="en-US" w:eastAsia="zh-CN"/>
                    </w:rPr>
                    <w:t>TH4转接机房</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hint="eastAsia"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000000"/>
                      <w:kern w:val="0"/>
                      <w:sz w:val="20"/>
                      <w:szCs w:val="20"/>
                      <w:lang w:val="en-US" w:eastAsia="zh-CN" w:bidi="ar"/>
                    </w:rPr>
                    <w:t>4F</w:t>
                  </w:r>
                  <w:r>
                    <w:rPr>
                      <w:rFonts w:hint="eastAsia" w:ascii="宋体" w:hAnsi="宋体" w:eastAsia="宋体" w:cs="宋体"/>
                      <w:color w:val="000000"/>
                      <w:kern w:val="0"/>
                      <w:sz w:val="20"/>
                      <w:szCs w:val="20"/>
                      <w:lang w:val="en-US" w:eastAsia="zh-CN" w:bidi="ar"/>
                    </w:rPr>
                    <w:t>，钢筋砼框架结构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eastAsia" w:ascii="Times New Roman" w:hAnsi="Times New Roman" w:eastAsia="宋体" w:cs="Times New Roman"/>
                      <w:b w:val="0"/>
                      <w:bCs w:val="0"/>
                      <w:color w:val="auto"/>
                      <w:szCs w:val="21"/>
                      <w:highlight w:val="none"/>
                      <w:lang w:eastAsia="zh-CN"/>
                    </w:rPr>
                  </w:pPr>
                  <w:r>
                    <w:rPr>
                      <w:rFonts w:hint="eastAsia" w:ascii="Times New Roman" w:hAnsi="Times New Roman" w:eastAsia="宋体" w:cs="Times New Roman"/>
                      <w:b w:val="0"/>
                      <w:bCs w:val="0"/>
                      <w:color w:val="auto"/>
                      <w:szCs w:val="21"/>
                      <w:highlight w:val="none"/>
                      <w:lang w:val="en-US" w:eastAsia="zh-CN"/>
                    </w:rPr>
                    <w:t>TG1转接机房</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hint="eastAsia" w:ascii="Times New Roman" w:hAnsi="Times New Roman" w:eastAsia="宋体" w:cs="Times New Roman"/>
                      <w:color w:val="auto"/>
                      <w:szCs w:val="21"/>
                      <w:highlight w:val="none"/>
                      <w:lang w:val="zh-CN"/>
                    </w:rPr>
                  </w:pPr>
                  <w:r>
                    <w:rPr>
                      <w:rFonts w:hint="eastAsia" w:ascii="Times New Roman" w:hAnsi="Times New Roman" w:eastAsia="宋体" w:cs="Times New Roman"/>
                      <w:color w:val="000000"/>
                      <w:kern w:val="0"/>
                      <w:sz w:val="20"/>
                      <w:szCs w:val="20"/>
                      <w:lang w:val="en-US" w:eastAsia="zh-CN" w:bidi="ar"/>
                    </w:rPr>
                    <w:t>2</w:t>
                  </w:r>
                  <w:r>
                    <w:rPr>
                      <w:rFonts w:hint="default" w:ascii="Times New Roman" w:hAnsi="Times New Roman" w:eastAsia="宋体" w:cs="Times New Roman"/>
                      <w:color w:val="000000"/>
                      <w:kern w:val="0"/>
                      <w:sz w:val="20"/>
                      <w:szCs w:val="20"/>
                      <w:lang w:val="en-US" w:eastAsia="zh-CN" w:bidi="ar"/>
                    </w:rPr>
                    <w:t>F</w:t>
                  </w:r>
                  <w:r>
                    <w:rPr>
                      <w:rFonts w:hint="eastAsia" w:ascii="宋体" w:hAnsi="宋体" w:eastAsia="宋体" w:cs="宋体"/>
                      <w:color w:val="000000"/>
                      <w:kern w:val="0"/>
                      <w:sz w:val="20"/>
                      <w:szCs w:val="20"/>
                      <w:lang w:val="en-US" w:eastAsia="zh-CN" w:bidi="ar"/>
                    </w:rPr>
                    <w:t>，钢筋砼框架结构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eastAsia" w:ascii="Times New Roman" w:hAnsi="Times New Roman" w:eastAsia="宋体" w:cs="Times New Roman"/>
                      <w:b w:val="0"/>
                      <w:bCs w:val="0"/>
                      <w:color w:val="auto"/>
                      <w:szCs w:val="21"/>
                      <w:highlight w:val="none"/>
                      <w:lang w:eastAsia="zh-CN"/>
                    </w:rPr>
                  </w:pPr>
                  <w:r>
                    <w:rPr>
                      <w:rFonts w:hint="eastAsia" w:ascii="Times New Roman" w:hAnsi="Times New Roman" w:eastAsia="宋体" w:cs="Times New Roman"/>
                      <w:b w:val="0"/>
                      <w:bCs w:val="0"/>
                      <w:color w:val="auto"/>
                      <w:szCs w:val="21"/>
                      <w:highlight w:val="none"/>
                      <w:lang w:val="en-US" w:eastAsia="zh-CN"/>
                    </w:rPr>
                    <w:t>TG2转接机房</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hint="eastAsia" w:ascii="Times New Roman" w:hAnsi="Times New Roman" w:eastAsia="宋体" w:cs="Times New Roman"/>
                      <w:color w:val="auto"/>
                      <w:szCs w:val="21"/>
                      <w:highlight w:val="none"/>
                      <w:lang w:val="zh-CN"/>
                    </w:rPr>
                  </w:pPr>
                  <w:r>
                    <w:rPr>
                      <w:rFonts w:hint="eastAsia" w:ascii="Times New Roman" w:hAnsi="Times New Roman" w:eastAsia="宋体" w:cs="Times New Roman"/>
                      <w:color w:val="000000"/>
                      <w:kern w:val="0"/>
                      <w:sz w:val="20"/>
                      <w:szCs w:val="20"/>
                      <w:lang w:val="en-US" w:eastAsia="zh-CN" w:bidi="ar"/>
                    </w:rPr>
                    <w:t>5</w:t>
                  </w:r>
                  <w:r>
                    <w:rPr>
                      <w:rFonts w:hint="default" w:ascii="Times New Roman" w:hAnsi="Times New Roman" w:eastAsia="宋体" w:cs="Times New Roman"/>
                      <w:color w:val="000000"/>
                      <w:kern w:val="0"/>
                      <w:sz w:val="20"/>
                      <w:szCs w:val="20"/>
                      <w:lang w:val="en-US" w:eastAsia="zh-CN" w:bidi="ar"/>
                    </w:rPr>
                    <w:t>F</w:t>
                  </w:r>
                  <w:r>
                    <w:rPr>
                      <w:rFonts w:hint="eastAsia" w:ascii="宋体" w:hAnsi="宋体" w:eastAsia="宋体" w:cs="宋体"/>
                      <w:color w:val="000000"/>
                      <w:kern w:val="0"/>
                      <w:sz w:val="20"/>
                      <w:szCs w:val="20"/>
                      <w:lang w:val="en-US" w:eastAsia="zh-CN" w:bidi="ar"/>
                    </w:rPr>
                    <w:t>，钢筋砼框架结构</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504" w:hRule="atLeast"/>
                <w:jc w:val="center"/>
              </w:trPr>
              <w:tc>
                <w:tcPr>
                  <w:tcW w:w="397" w:type="pct"/>
                  <w:tcBorders>
                    <w:top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辅助工程</w:t>
                  </w: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hint="default" w:ascii="Times New Roman" w:hAnsi="Times New Roman" w:eastAsia="宋体" w:cs="Times New Roman"/>
                      <w:b w:val="0"/>
                      <w:bCs w:val="0"/>
                      <w:color w:val="auto"/>
                      <w:szCs w:val="21"/>
                      <w:highlight w:val="none"/>
                      <w:lang w:val="en-US" w:eastAsia="zh-CN"/>
                    </w:rPr>
                  </w:pPr>
                  <w:r>
                    <w:rPr>
                      <w:rFonts w:hint="eastAsia" w:ascii="Times New Roman" w:hAnsi="Times New Roman" w:eastAsia="宋体" w:cs="Times New Roman"/>
                      <w:b w:val="0"/>
                      <w:bCs w:val="0"/>
                      <w:color w:val="auto"/>
                      <w:szCs w:val="21"/>
                      <w:highlight w:val="none"/>
                      <w:lang w:val="en-US" w:eastAsia="zh-CN"/>
                    </w:rPr>
                    <w:t>B1#、B2#变电所，1#、2#柴油发电机房，2座箱泵一体化泵站</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kern w:val="2"/>
                      <w:sz w:val="21"/>
                      <w:szCs w:val="21"/>
                      <w:highlight w:val="none"/>
                      <w:lang w:val="en-US" w:eastAsia="zh-CN" w:bidi="ar-SA"/>
                    </w:rPr>
                    <w:t>建筑面积1807.04m</w:t>
                  </w:r>
                  <w:r>
                    <w:rPr>
                      <w:rFonts w:hint="eastAsia" w:ascii="Times New Roman" w:hAnsi="Times New Roman" w:eastAsia="宋体" w:cs="Times New Roman"/>
                      <w:color w:val="auto"/>
                      <w:kern w:val="2"/>
                      <w:sz w:val="21"/>
                      <w:szCs w:val="21"/>
                      <w:highlight w:val="none"/>
                      <w:vertAlign w:val="superscript"/>
                      <w:lang w:val="en-US" w:eastAsia="zh-CN" w:bidi="ar-SA"/>
                    </w:rPr>
                    <w:t>2</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97" w:type="pct"/>
                  <w:vMerge w:val="restart"/>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公用工程</w:t>
                  </w: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供水</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ascii="Times New Roman" w:hAnsi="Times New Roman" w:eastAsia="宋体" w:cs="Times New Roman"/>
                      <w:color w:val="auto"/>
                      <w:szCs w:val="21"/>
                      <w:highlight w:val="none"/>
                      <w:lang w:val="zh-CN"/>
                    </w:rPr>
                  </w:pPr>
                  <w:r>
                    <w:rPr>
                      <w:rFonts w:ascii="Times New Roman" w:hAnsi="Times New Roman" w:eastAsia="宋体" w:cs="Times New Roman"/>
                      <w:color w:val="auto"/>
                      <w:szCs w:val="21"/>
                      <w:highlight w:val="none"/>
                      <w:lang w:val="zh-CN"/>
                    </w:rPr>
                    <w:t>项目</w:t>
                  </w:r>
                  <w:r>
                    <w:rPr>
                      <w:rFonts w:hint="eastAsia" w:ascii="Times New Roman" w:hAnsi="Times New Roman" w:eastAsia="宋体" w:cs="Times New Roman"/>
                      <w:color w:val="auto"/>
                      <w:szCs w:val="21"/>
                      <w:highlight w:val="none"/>
                      <w:lang w:val="zh-CN"/>
                    </w:rPr>
                    <w:t>生产生活用水由园区管网，</w:t>
                  </w:r>
                  <w:r>
                    <w:rPr>
                      <w:rFonts w:ascii="Times New Roman" w:hAnsi="Times New Roman" w:eastAsia="宋体" w:cs="Times New Roman"/>
                      <w:color w:val="auto"/>
                      <w:szCs w:val="21"/>
                      <w:highlight w:val="none"/>
                      <w:lang w:val="zh-CN"/>
                    </w:rPr>
                    <w:t>可满足用水需求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供电</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ascii="Times New Roman" w:hAnsi="Times New Roman" w:eastAsia="宋体" w:cs="Times New Roman"/>
                      <w:color w:val="auto"/>
                      <w:szCs w:val="21"/>
                      <w:highlight w:val="none"/>
                      <w:lang w:val="zh-CN"/>
                    </w:rPr>
                  </w:pPr>
                  <w:r>
                    <w:rPr>
                      <w:rFonts w:ascii="Times New Roman" w:hAnsi="Times New Roman" w:eastAsia="宋体" w:cs="Times New Roman"/>
                      <w:color w:val="auto"/>
                      <w:szCs w:val="21"/>
                      <w:highlight w:val="none"/>
                      <w:lang w:val="zh-CN"/>
                    </w:rPr>
                    <w:t>本项目用电由</w:t>
                  </w:r>
                  <w:r>
                    <w:rPr>
                      <w:rFonts w:hint="eastAsia" w:ascii="Times New Roman" w:hAnsi="Times New Roman" w:eastAsia="宋体" w:cs="Times New Roman"/>
                      <w:color w:val="auto"/>
                      <w:szCs w:val="21"/>
                      <w:highlight w:val="none"/>
                      <w:lang w:val="zh-CN"/>
                    </w:rPr>
                    <w:t>园区</w:t>
                  </w:r>
                  <w:r>
                    <w:rPr>
                      <w:rFonts w:ascii="Times New Roman" w:hAnsi="Times New Roman" w:eastAsia="宋体" w:cs="Times New Roman"/>
                      <w:color w:val="auto"/>
                      <w:szCs w:val="21"/>
                      <w:highlight w:val="none"/>
                      <w:lang w:val="zh-CN"/>
                    </w:rPr>
                    <w:t>电网提供</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929" w:type="pct"/>
                  <w:gridSpan w:val="2"/>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供暖</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leftChars="0" w:right="0" w:rightChars="0" w:firstLine="0" w:firstLineChars="0"/>
                    <w:jc w:val="center"/>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lang w:val="zh-CN"/>
                    </w:rPr>
                    <w:t>本项目不需要供暖</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97" w:type="pct"/>
                  <w:vMerge w:val="restart"/>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环保工程</w:t>
                  </w:r>
                </w:p>
              </w:tc>
              <w:tc>
                <w:tcPr>
                  <w:tcW w:w="515" w:type="pct"/>
                  <w:tcBorders>
                    <w:righ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大气污染治理</w:t>
                  </w:r>
                </w:p>
              </w:tc>
              <w:tc>
                <w:tcPr>
                  <w:tcW w:w="413" w:type="pct"/>
                  <w:tcBorders>
                    <w:lef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运营期</w:t>
                  </w:r>
                </w:p>
              </w:tc>
              <w:tc>
                <w:tcPr>
                  <w:tcW w:w="3673" w:type="pct"/>
                  <w:noWrap w:val="0"/>
                  <w:vAlign w:val="center"/>
                </w:tcPr>
                <w:p>
                  <w:pPr>
                    <w:pStyle w:val="64"/>
                    <w:keepNext w:val="0"/>
                    <w:keepLines w:val="0"/>
                    <w:suppressLineNumbers w:val="0"/>
                    <w:spacing w:before="0" w:beforeAutospacing="0" w:after="0" w:afterAutospacing="0" w:line="0" w:lineRule="atLeast"/>
                    <w:ind w:left="0" w:right="0"/>
                    <w:rPr>
                      <w:rFonts w:hint="eastAsia" w:ascii="Times New Roman" w:hAnsi="Times New Roman" w:eastAsia="宋体" w:cs="Times New Roman"/>
                      <w:color w:val="auto"/>
                      <w:kern w:val="2"/>
                      <w:sz w:val="21"/>
                      <w:szCs w:val="21"/>
                      <w:highlight w:val="none"/>
                      <w:lang w:val="zh-CN" w:eastAsia="zh-CN"/>
                    </w:rPr>
                  </w:pPr>
                  <w:r>
                    <w:rPr>
                      <w:rFonts w:hint="eastAsia" w:ascii="Times New Roman" w:hAnsi="Times New Roman" w:eastAsia="宋体" w:cs="Times New Roman"/>
                      <w:color w:val="auto"/>
                      <w:kern w:val="2"/>
                      <w:sz w:val="21"/>
                      <w:szCs w:val="21"/>
                      <w:highlight w:val="none"/>
                      <w:lang w:val="en-US" w:eastAsia="zh-CN"/>
                    </w:rPr>
                    <w:t>各转接机房</w:t>
                  </w:r>
                  <w:r>
                    <w:rPr>
                      <w:rFonts w:hint="eastAsia" w:ascii="Times New Roman" w:hAnsi="Times New Roman" w:cs="Times New Roman"/>
                      <w:color w:val="auto"/>
                      <w:kern w:val="2"/>
                      <w:sz w:val="21"/>
                      <w:szCs w:val="21"/>
                      <w:highlight w:val="none"/>
                      <w:lang w:val="en-US" w:eastAsia="zh-CN"/>
                    </w:rPr>
                    <w:t>上料、</w:t>
                  </w:r>
                  <w:r>
                    <w:rPr>
                      <w:rFonts w:hint="eastAsia" w:ascii="Times New Roman" w:hAnsi="Times New Roman" w:eastAsia="宋体" w:cs="Times New Roman"/>
                      <w:color w:val="auto"/>
                      <w:kern w:val="2"/>
                      <w:sz w:val="21"/>
                      <w:szCs w:val="21"/>
                      <w:highlight w:val="none"/>
                      <w:lang w:val="en-US" w:eastAsia="zh-CN"/>
                    </w:rPr>
                    <w:t>转运废气经微干雾抑尘处理后，颗粒物经无组织方式排放</w:t>
                  </w:r>
                  <w:r>
                    <w:rPr>
                      <w:rFonts w:hint="eastAsia" w:ascii="Times New Roman" w:hAnsi="Times New Roman" w:eastAsia="宋体" w:cs="Times New Roman"/>
                      <w:color w:val="auto"/>
                      <w:kern w:val="2"/>
                      <w:sz w:val="21"/>
                      <w:szCs w:val="21"/>
                      <w:highlight w:val="none"/>
                      <w:lang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515" w:type="pct"/>
                  <w:tcBorders>
                    <w:righ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废水污染治理</w:t>
                  </w:r>
                </w:p>
              </w:tc>
              <w:tc>
                <w:tcPr>
                  <w:tcW w:w="413" w:type="pct"/>
                  <w:tcBorders>
                    <w:lef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运营期</w:t>
                  </w:r>
                </w:p>
              </w:tc>
              <w:tc>
                <w:tcPr>
                  <w:tcW w:w="3673" w:type="pct"/>
                  <w:noWrap w:val="0"/>
                  <w:vAlign w:val="center"/>
                </w:tcPr>
                <w:p>
                  <w:pPr>
                    <w:pStyle w:val="64"/>
                    <w:keepNext w:val="0"/>
                    <w:keepLines w:val="0"/>
                    <w:suppressLineNumbers w:val="0"/>
                    <w:spacing w:before="0" w:beforeAutospacing="0" w:after="0" w:afterAutospacing="0" w:line="0" w:lineRule="atLeast"/>
                    <w:ind w:left="0" w:right="0"/>
                    <w:rPr>
                      <w:rFonts w:hint="eastAsia" w:ascii="Times New Roman" w:hAnsi="Times New Roman" w:eastAsia="宋体" w:cs="Times New Roman"/>
                      <w:color w:val="auto"/>
                      <w:kern w:val="2"/>
                      <w:sz w:val="21"/>
                      <w:szCs w:val="21"/>
                      <w:highlight w:val="none"/>
                      <w:lang w:val="zh-CN" w:eastAsia="zh-CN"/>
                    </w:rPr>
                  </w:pPr>
                  <w:r>
                    <w:rPr>
                      <w:rFonts w:hint="eastAsia" w:ascii="Times New Roman" w:hAnsi="Times New Roman" w:eastAsia="宋体" w:cs="Times New Roman"/>
                      <w:color w:val="auto"/>
                      <w:kern w:val="2"/>
                      <w:sz w:val="21"/>
                      <w:szCs w:val="21"/>
                      <w:highlight w:val="none"/>
                      <w:lang w:val="en-US" w:eastAsia="zh-CN"/>
                    </w:rPr>
                    <w:t>本项目废水主要为管带机展开段及机房地面冲洗废水，经沉淀池沉淀后回用于管带机展开段及机房地面冲洗。</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515" w:type="pct"/>
                  <w:tcBorders>
                    <w:righ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噪声防治</w:t>
                  </w:r>
                </w:p>
              </w:tc>
              <w:tc>
                <w:tcPr>
                  <w:tcW w:w="413" w:type="pct"/>
                  <w:tcBorders>
                    <w:lef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运营期</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right="0"/>
                    <w:rPr>
                      <w:rFonts w:ascii="Times New Roman" w:hAnsi="Times New Roman" w:eastAsia="宋体" w:cs="Times New Roman"/>
                      <w:color w:val="auto"/>
                      <w:szCs w:val="21"/>
                      <w:highlight w:val="none"/>
                      <w:lang w:val="zh-CN"/>
                    </w:rPr>
                  </w:pPr>
                  <w:r>
                    <w:rPr>
                      <w:rFonts w:ascii="Times New Roman" w:hAnsi="Times New Roman" w:eastAsia="宋体" w:cs="Times New Roman"/>
                      <w:color w:val="auto"/>
                      <w:szCs w:val="21"/>
                      <w:highlight w:val="none"/>
                      <w:lang w:val="zh-CN"/>
                    </w:rPr>
                    <w:t>将各生产设备置于封闭的</w:t>
                  </w:r>
                  <w:r>
                    <w:rPr>
                      <w:rFonts w:hint="eastAsia" w:ascii="Times New Roman" w:hAnsi="Times New Roman" w:eastAsia="宋体" w:cs="Times New Roman"/>
                      <w:color w:val="auto"/>
                      <w:szCs w:val="21"/>
                      <w:highlight w:val="none"/>
                      <w:lang w:val="zh-CN"/>
                    </w:rPr>
                    <w:t>站房</w:t>
                  </w:r>
                  <w:r>
                    <w:rPr>
                      <w:rFonts w:ascii="Times New Roman" w:hAnsi="Times New Roman" w:eastAsia="宋体" w:cs="Times New Roman"/>
                      <w:color w:val="auto"/>
                      <w:szCs w:val="21"/>
                      <w:highlight w:val="none"/>
                      <w:lang w:val="zh-CN"/>
                    </w:rPr>
                    <w:t>内，设备加装减振基础。</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515" w:type="pct"/>
                  <w:tcBorders>
                    <w:righ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固废处理</w:t>
                  </w:r>
                </w:p>
              </w:tc>
              <w:tc>
                <w:tcPr>
                  <w:tcW w:w="413" w:type="pct"/>
                  <w:tcBorders>
                    <w:lef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运营期</w:t>
                  </w:r>
                </w:p>
              </w:tc>
              <w:tc>
                <w:tcPr>
                  <w:tcW w:w="3673" w:type="pct"/>
                  <w:noWrap w:val="0"/>
                  <w:vAlign w:val="center"/>
                </w:tcPr>
                <w:p>
                  <w:pPr>
                    <w:keepNext w:val="0"/>
                    <w:keepLines w:val="0"/>
                    <w:suppressLineNumbers w:val="0"/>
                    <w:autoSpaceDE w:val="0"/>
                    <w:autoSpaceDN w:val="0"/>
                    <w:adjustRightInd w:val="0"/>
                    <w:spacing w:before="0" w:beforeAutospacing="0" w:after="0" w:afterAutospacing="0" w:line="0" w:lineRule="atLeast"/>
                    <w:ind w:left="0" w:right="0"/>
                    <w:rPr>
                      <w:rFonts w:ascii="Times New Roman" w:hAnsi="Times New Roman" w:eastAsia="宋体" w:cs="Times New Roman"/>
                      <w:bCs/>
                      <w:color w:val="auto"/>
                      <w:szCs w:val="21"/>
                      <w:highlight w:val="none"/>
                    </w:rPr>
                  </w:pPr>
                  <w:r>
                    <w:rPr>
                      <w:rFonts w:ascii="Times New Roman" w:hAnsi="Times New Roman" w:eastAsia="宋体" w:cs="Times New Roman"/>
                      <w:b/>
                      <w:bCs/>
                      <w:color w:val="auto"/>
                      <w:szCs w:val="21"/>
                      <w:highlight w:val="none"/>
                      <w:lang w:val="zh-CN"/>
                    </w:rPr>
                    <w:t>危险废物</w:t>
                  </w:r>
                  <w:r>
                    <w:rPr>
                      <w:rFonts w:ascii="Times New Roman" w:hAnsi="Times New Roman" w:eastAsia="宋体" w:cs="Times New Roman"/>
                      <w:bCs/>
                      <w:color w:val="auto"/>
                      <w:szCs w:val="21"/>
                      <w:highlight w:val="none"/>
                      <w:lang w:val="zh-CN"/>
                    </w:rPr>
                    <w:t>：</w:t>
                  </w:r>
                  <w:r>
                    <w:rPr>
                      <w:rFonts w:ascii="Times New Roman" w:hAnsi="Times New Roman" w:eastAsia="宋体" w:cs="Times New Roman"/>
                      <w:bCs/>
                      <w:color w:val="auto"/>
                      <w:szCs w:val="21"/>
                      <w:highlight w:val="none"/>
                    </w:rPr>
                    <w:t>生产设备维护保养过程会产生废齿轮油、</w:t>
                  </w:r>
                  <w:r>
                    <w:rPr>
                      <w:rFonts w:hint="eastAsia" w:ascii="Times New Roman" w:hAnsi="Times New Roman" w:eastAsia="宋体" w:cs="Times New Roman"/>
                      <w:bCs/>
                      <w:color w:val="auto"/>
                      <w:szCs w:val="21"/>
                      <w:highlight w:val="none"/>
                    </w:rPr>
                    <w:t>废润滑油、</w:t>
                  </w:r>
                  <w:r>
                    <w:rPr>
                      <w:rFonts w:ascii="Times New Roman" w:hAnsi="Times New Roman" w:eastAsia="宋体" w:cs="Times New Roman"/>
                      <w:bCs/>
                      <w:color w:val="auto"/>
                      <w:szCs w:val="21"/>
                      <w:highlight w:val="none"/>
                    </w:rPr>
                    <w:t>废油桶</w:t>
                  </w:r>
                  <w:r>
                    <w:rPr>
                      <w:rFonts w:ascii="Times New Roman" w:hAnsi="Times New Roman" w:eastAsia="宋体" w:cs="Times New Roman"/>
                      <w:color w:val="auto"/>
                      <w:szCs w:val="21"/>
                      <w:highlight w:val="none"/>
                    </w:rPr>
                    <w:t>，暂存于</w:t>
                  </w:r>
                  <w:r>
                    <w:rPr>
                      <w:rFonts w:hint="eastAsia" w:ascii="Times New Roman" w:hAnsi="Times New Roman" w:eastAsia="宋体" w:cs="Times New Roman"/>
                      <w:color w:val="auto"/>
                      <w:szCs w:val="21"/>
                      <w:highlight w:val="none"/>
                      <w:lang w:eastAsia="zh-CN"/>
                    </w:rPr>
                    <w:t>管廊项目</w:t>
                  </w:r>
                  <w:r>
                    <w:rPr>
                      <w:rFonts w:ascii="Times New Roman" w:hAnsi="Times New Roman" w:eastAsia="宋体" w:cs="Times New Roman"/>
                      <w:color w:val="auto"/>
                      <w:szCs w:val="21"/>
                      <w:highlight w:val="none"/>
                    </w:rPr>
                    <w:t>危废间内，由有资质的单位处理。</w:t>
                  </w:r>
                </w:p>
                <w:p>
                  <w:pPr>
                    <w:keepNext w:val="0"/>
                    <w:keepLines w:val="0"/>
                    <w:suppressLineNumbers w:val="0"/>
                    <w:adjustRightInd w:val="0"/>
                    <w:spacing w:before="0" w:beforeAutospacing="0" w:after="0" w:afterAutospacing="0" w:line="0" w:lineRule="atLeast"/>
                    <w:ind w:left="0" w:right="0"/>
                    <w:rPr>
                      <w:rFonts w:ascii="Times New Roman" w:hAnsi="Times New Roman" w:eastAsia="宋体" w:cs="Times New Roman"/>
                      <w:color w:val="auto"/>
                      <w:szCs w:val="21"/>
                      <w:highlight w:val="none"/>
                    </w:rPr>
                  </w:pPr>
                  <w:r>
                    <w:rPr>
                      <w:rFonts w:ascii="Times New Roman" w:hAnsi="Times New Roman" w:eastAsia="宋体" w:cs="Times New Roman"/>
                      <w:b/>
                      <w:bCs/>
                      <w:color w:val="auto"/>
                      <w:szCs w:val="21"/>
                      <w:highlight w:val="none"/>
                      <w:lang w:val="zh-CN"/>
                    </w:rPr>
                    <w:t>一般固废</w:t>
                  </w:r>
                  <w:r>
                    <w:rPr>
                      <w:rFonts w:ascii="Times New Roman" w:hAnsi="Times New Roman" w:eastAsia="宋体" w:cs="Times New Roman"/>
                      <w:b/>
                      <w:color w:val="auto"/>
                      <w:szCs w:val="21"/>
                      <w:highlight w:val="none"/>
                      <w:lang w:val="zh-CN"/>
                    </w:rPr>
                    <w:t>：</w:t>
                  </w:r>
                  <w:r>
                    <w:rPr>
                      <w:rFonts w:hint="eastAsia" w:ascii="Times New Roman" w:hAnsi="Times New Roman" w:eastAsia="宋体" w:cs="Times New Roman"/>
                      <w:color w:val="auto"/>
                      <w:szCs w:val="21"/>
                      <w:highlight w:val="none"/>
                      <w:lang w:val="en-US" w:eastAsia="zh-CN"/>
                    </w:rPr>
                    <w:t>废皮带外售橡胶企业综合利用；沉淀池污泥定期清掏，外售综合利用；</w:t>
                  </w:r>
                </w:p>
                <w:p>
                  <w:pPr>
                    <w:keepNext w:val="0"/>
                    <w:keepLines w:val="0"/>
                    <w:suppressLineNumbers w:val="0"/>
                    <w:adjustRightInd w:val="0"/>
                    <w:spacing w:before="0" w:beforeAutospacing="0" w:after="0" w:afterAutospacing="0" w:line="0" w:lineRule="atLeast"/>
                    <w:ind w:left="0" w:right="0"/>
                    <w:rPr>
                      <w:rFonts w:ascii="Times New Roman" w:hAnsi="Times New Roman" w:eastAsia="宋体" w:cs="Times New Roman"/>
                      <w:color w:val="auto"/>
                      <w:szCs w:val="21"/>
                      <w:highlight w:val="none"/>
                      <w:lang w:val="zh-CN"/>
                    </w:rPr>
                  </w:pPr>
                  <w:r>
                    <w:rPr>
                      <w:rFonts w:ascii="Times New Roman" w:hAnsi="Times New Roman" w:eastAsia="宋体" w:cs="Times New Roman"/>
                      <w:b/>
                      <w:color w:val="auto"/>
                      <w:szCs w:val="21"/>
                      <w:highlight w:val="none"/>
                    </w:rPr>
                    <w:t>生活垃圾：</w:t>
                  </w:r>
                  <w:r>
                    <w:rPr>
                      <w:rFonts w:ascii="Times New Roman" w:hAnsi="Times New Roman" w:eastAsia="宋体" w:cs="Times New Roman"/>
                      <w:color w:val="auto"/>
                      <w:szCs w:val="21"/>
                      <w:highlight w:val="none"/>
                    </w:rPr>
                    <w:t>生活垃圾由当地环卫部门指定垃圾处理点统一处理。</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97" w:type="pct"/>
                  <w:vMerge w:val="continue"/>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p>
              </w:tc>
              <w:tc>
                <w:tcPr>
                  <w:tcW w:w="515" w:type="pct"/>
                  <w:tcBorders>
                    <w:righ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防渗工程</w:t>
                  </w:r>
                </w:p>
              </w:tc>
              <w:tc>
                <w:tcPr>
                  <w:tcW w:w="413" w:type="pct"/>
                  <w:tcBorders>
                    <w:left w:val="single" w:color="auto" w:sz="4" w:space="0"/>
                  </w:tcBorders>
                  <w:noWrap w:val="0"/>
                  <w:vAlign w:val="center"/>
                </w:tcPr>
                <w:p>
                  <w:pPr>
                    <w:keepNext w:val="0"/>
                    <w:keepLines w:val="0"/>
                    <w:suppressLineNumbers w:val="0"/>
                    <w:autoSpaceDE w:val="0"/>
                    <w:autoSpaceDN w:val="0"/>
                    <w:adjustRightInd w:val="0"/>
                    <w:spacing w:before="0" w:beforeAutospacing="0" w:after="0" w:afterAutospacing="0" w:line="0" w:lineRule="atLeast"/>
                    <w:ind w:left="0" w:right="0"/>
                    <w:jc w:val="center"/>
                    <w:rPr>
                      <w:rFonts w:ascii="Times New Roman" w:hAnsi="Times New Roman" w:eastAsia="宋体" w:cs="Times New Roman"/>
                      <w:b w:val="0"/>
                      <w:bCs w:val="0"/>
                      <w:color w:val="auto"/>
                      <w:szCs w:val="21"/>
                      <w:highlight w:val="none"/>
                      <w:lang w:val="zh-CN"/>
                    </w:rPr>
                  </w:pPr>
                  <w:r>
                    <w:rPr>
                      <w:rFonts w:ascii="Times New Roman" w:hAnsi="Times New Roman" w:eastAsia="宋体" w:cs="Times New Roman"/>
                      <w:b w:val="0"/>
                      <w:bCs w:val="0"/>
                      <w:color w:val="auto"/>
                      <w:szCs w:val="21"/>
                      <w:highlight w:val="none"/>
                      <w:lang w:val="zh-CN"/>
                    </w:rPr>
                    <w:t>运营期</w:t>
                  </w:r>
                </w:p>
              </w:tc>
              <w:tc>
                <w:tcPr>
                  <w:tcW w:w="3673" w:type="pct"/>
                  <w:noWrap w:val="0"/>
                  <w:vAlign w:val="center"/>
                </w:tcPr>
                <w:p>
                  <w:pPr>
                    <w:keepNext w:val="0"/>
                    <w:keepLines w:val="0"/>
                    <w:suppressLineNumbers w:val="0"/>
                    <w:adjustRightInd w:val="0"/>
                    <w:spacing w:before="0" w:beforeAutospacing="0" w:after="0" w:afterAutospacing="0" w:line="0" w:lineRule="atLeast"/>
                    <w:ind w:left="0" w:right="0"/>
                    <w:rPr>
                      <w:rFonts w:ascii="Times New Roman" w:hAnsi="Times New Roman" w:eastAsia="宋体" w:cs="Times New Roman"/>
                      <w:color w:val="auto"/>
                      <w:highlight w:val="none"/>
                      <w:lang w:val="zh-CN"/>
                    </w:rPr>
                  </w:pPr>
                  <w:r>
                    <w:rPr>
                      <w:rFonts w:hint="eastAsia" w:ascii="Times New Roman" w:hAnsi="Times New Roman" w:eastAsia="宋体" w:cs="Times New Roman"/>
                      <w:color w:val="auto"/>
                      <w:szCs w:val="21"/>
                      <w:highlight w:val="none"/>
                      <w:lang w:eastAsia="zh-CN"/>
                    </w:rPr>
                    <w:t>沉淀</w:t>
                  </w:r>
                  <w:r>
                    <w:rPr>
                      <w:rFonts w:ascii="Times New Roman" w:hAnsi="Times New Roman" w:eastAsia="宋体" w:cs="Times New Roman"/>
                      <w:color w:val="auto"/>
                      <w:szCs w:val="21"/>
                      <w:highlight w:val="none"/>
                    </w:rPr>
                    <w:t>池底部及四壁均采用混凝土浇筑防渗</w:t>
                  </w:r>
                  <w:r>
                    <w:rPr>
                      <w:rFonts w:hint="eastAsia" w:ascii="Times New Roman" w:hAnsi="Times New Roman" w:eastAsia="宋体" w:cs="Times New Roman"/>
                      <w:color w:val="auto"/>
                      <w:szCs w:val="21"/>
                      <w:highlight w:val="none"/>
                      <w:lang w:eastAsia="zh-CN"/>
                    </w:rPr>
                    <w:t>，并在其表面涂防渗层，</w:t>
                  </w:r>
                  <w:r>
                    <w:rPr>
                      <w:rFonts w:ascii="Times New Roman" w:hAnsi="Times New Roman" w:eastAsia="宋体" w:cs="Times New Roman"/>
                      <w:color w:val="auto"/>
                      <w:szCs w:val="21"/>
                      <w:highlight w:val="none"/>
                    </w:rPr>
                    <w:t>渗透系数小于1×10</w:t>
                  </w:r>
                  <w:r>
                    <w:rPr>
                      <w:rFonts w:ascii="Times New Roman" w:hAnsi="Times New Roman" w:eastAsia="宋体" w:cs="Times New Roman"/>
                      <w:color w:val="auto"/>
                      <w:szCs w:val="21"/>
                      <w:highlight w:val="none"/>
                      <w:vertAlign w:val="superscript"/>
                    </w:rPr>
                    <w:t>-</w:t>
                  </w:r>
                  <w:r>
                    <w:rPr>
                      <w:rFonts w:hint="eastAsia" w:ascii="Times New Roman" w:hAnsi="Times New Roman" w:eastAsia="宋体" w:cs="Times New Roman"/>
                      <w:color w:val="auto"/>
                      <w:szCs w:val="21"/>
                      <w:highlight w:val="none"/>
                      <w:vertAlign w:val="superscript"/>
                      <w:lang w:val="en-US" w:eastAsia="zh-CN"/>
                    </w:rPr>
                    <w:t>7</w:t>
                  </w:r>
                  <w:r>
                    <w:rPr>
                      <w:rFonts w:ascii="Times New Roman" w:hAnsi="Times New Roman" w:eastAsia="宋体" w:cs="Times New Roman"/>
                      <w:color w:val="auto"/>
                      <w:szCs w:val="21"/>
                      <w:highlight w:val="none"/>
                    </w:rPr>
                    <w:t>cm/s</w:t>
                  </w:r>
                  <w:r>
                    <w:rPr>
                      <w:rFonts w:hint="eastAsia" w:ascii="Times New Roman" w:hAnsi="Times New Roman" w:eastAsia="宋体" w:cs="Times New Roman"/>
                      <w:color w:val="auto"/>
                      <w:szCs w:val="21"/>
                      <w:highlight w:val="none"/>
                      <w:lang w:eastAsia="zh-CN"/>
                    </w:rPr>
                    <w:t>；</w:t>
                  </w:r>
                </w:p>
              </w:tc>
            </w:tr>
          </w:tbl>
          <w:p>
            <w:pPr>
              <w:keepNext w:val="0"/>
              <w:keepLines w:val="0"/>
              <w:suppressLineNumbers w:val="0"/>
              <w:autoSpaceDE w:val="0"/>
              <w:autoSpaceDN w:val="0"/>
              <w:spacing w:before="0" w:beforeAutospacing="0" w:after="0" w:afterAutospacing="0" w:line="240" w:lineRule="auto"/>
              <w:ind w:left="0" w:leftChars="0" w:right="0" w:rightChars="0" w:firstLine="0" w:firstLineChars="0"/>
              <w:jc w:val="center"/>
              <w:rPr>
                <w:rFonts w:ascii="Times New Roman" w:hAnsi="Times New Roman" w:eastAsia="宋体" w:cs="Times New Roman"/>
                <w:b/>
                <w:snapToGrid w:val="0"/>
                <w:color w:val="auto"/>
                <w:spacing w:val="4"/>
                <w:highlight w:val="none"/>
                <w:lang w:val="zh-CN"/>
              </w:rPr>
            </w:pPr>
            <w:r>
              <w:rPr>
                <w:rFonts w:ascii="Times New Roman" w:hAnsi="Times New Roman" w:eastAsia="宋体" w:cs="Times New Roman"/>
                <w:b/>
                <w:snapToGrid w:val="0"/>
                <w:color w:val="auto"/>
                <w:spacing w:val="4"/>
                <w:highlight w:val="none"/>
                <w:lang w:val="zh-CN"/>
              </w:rPr>
              <w:t>表</w:t>
            </w:r>
            <w:r>
              <w:rPr>
                <w:rFonts w:hint="eastAsia" w:ascii="Times New Roman" w:hAnsi="Times New Roman" w:eastAsia="宋体" w:cs="Times New Roman"/>
                <w:b/>
                <w:snapToGrid w:val="0"/>
                <w:color w:val="auto"/>
                <w:spacing w:val="4"/>
                <w:highlight w:val="none"/>
              </w:rPr>
              <w:t>2-</w:t>
            </w:r>
            <w:r>
              <w:rPr>
                <w:rFonts w:hint="eastAsia" w:ascii="Times New Roman" w:hAnsi="Times New Roman" w:eastAsia="宋体" w:cs="Times New Roman"/>
                <w:b/>
                <w:snapToGrid w:val="0"/>
                <w:color w:val="auto"/>
                <w:spacing w:val="4"/>
                <w:highlight w:val="none"/>
                <w:lang w:val="en-US" w:eastAsia="zh-CN"/>
              </w:rPr>
              <w:t>2</w:t>
            </w:r>
            <w:r>
              <w:rPr>
                <w:rFonts w:ascii="Times New Roman" w:hAnsi="Times New Roman" w:eastAsia="宋体" w:cs="Times New Roman"/>
                <w:b/>
                <w:snapToGrid w:val="0"/>
                <w:color w:val="auto"/>
                <w:spacing w:val="4"/>
                <w:highlight w:val="none"/>
                <w:lang w:val="zh-CN"/>
              </w:rPr>
              <w:t xml:space="preserve">    项目主要建构筑物一览表</w:t>
            </w:r>
          </w:p>
          <w:tbl>
            <w:tblPr>
              <w:tblStyle w:val="27"/>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Layout w:type="autofit"/>
              <w:tblCellMar>
                <w:top w:w="0" w:type="dxa"/>
                <w:left w:w="108" w:type="dxa"/>
                <w:bottom w:w="0" w:type="dxa"/>
                <w:right w:w="108" w:type="dxa"/>
              </w:tblCellMar>
            </w:tblPr>
            <w:tblGrid>
              <w:gridCol w:w="604"/>
              <w:gridCol w:w="1180"/>
              <w:gridCol w:w="1081"/>
              <w:gridCol w:w="1035"/>
              <w:gridCol w:w="2343"/>
              <w:gridCol w:w="195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b/>
                      <w:snapToGrid w:val="0"/>
                      <w:color w:val="auto"/>
                      <w:spacing w:val="4"/>
                      <w:szCs w:val="21"/>
                      <w:highlight w:val="none"/>
                      <w:lang w:val="zh-CN"/>
                    </w:rPr>
                  </w:pPr>
                  <w:r>
                    <w:rPr>
                      <w:rFonts w:ascii="Times New Roman" w:hAnsi="Times New Roman" w:eastAsia="宋体" w:cs="Times New Roman"/>
                      <w:b/>
                      <w:snapToGrid w:val="0"/>
                      <w:color w:val="auto"/>
                      <w:spacing w:val="4"/>
                      <w:szCs w:val="21"/>
                      <w:highlight w:val="none"/>
                      <w:lang w:val="zh-CN"/>
                    </w:rPr>
                    <w:t>序号</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b/>
                      <w:snapToGrid w:val="0"/>
                      <w:color w:val="auto"/>
                      <w:spacing w:val="4"/>
                      <w:szCs w:val="21"/>
                      <w:highlight w:val="none"/>
                      <w:lang w:val="zh-CN"/>
                    </w:rPr>
                  </w:pPr>
                  <w:r>
                    <w:rPr>
                      <w:rFonts w:ascii="Times New Roman" w:hAnsi="Times New Roman" w:eastAsia="宋体" w:cs="Times New Roman"/>
                      <w:b/>
                      <w:snapToGrid w:val="0"/>
                      <w:color w:val="auto"/>
                      <w:spacing w:val="4"/>
                      <w:szCs w:val="21"/>
                      <w:highlight w:val="none"/>
                      <w:lang w:val="zh-CN"/>
                    </w:rPr>
                    <w:t>项目</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b/>
                      <w:snapToGrid w:val="0"/>
                      <w:color w:val="auto"/>
                      <w:spacing w:val="4"/>
                      <w:szCs w:val="21"/>
                      <w:highlight w:val="none"/>
                      <w:lang w:val="zh-CN"/>
                    </w:rPr>
                  </w:pPr>
                  <w:r>
                    <w:rPr>
                      <w:rFonts w:hint="eastAsia" w:ascii="Times New Roman" w:hAnsi="Times New Roman" w:eastAsia="宋体" w:cs="Times New Roman"/>
                      <w:b/>
                      <w:snapToGrid w:val="0"/>
                      <w:color w:val="auto"/>
                      <w:spacing w:val="4"/>
                      <w:szCs w:val="21"/>
                      <w:highlight w:val="none"/>
                      <w:lang w:val="zh-CN"/>
                    </w:rPr>
                    <w:t>占地</w:t>
                  </w:r>
                  <w:r>
                    <w:rPr>
                      <w:rFonts w:ascii="Times New Roman" w:hAnsi="Times New Roman" w:eastAsia="宋体" w:cs="Times New Roman"/>
                      <w:b/>
                      <w:snapToGrid w:val="0"/>
                      <w:color w:val="auto"/>
                      <w:spacing w:val="4"/>
                      <w:szCs w:val="21"/>
                      <w:highlight w:val="none"/>
                      <w:lang w:val="zh-CN"/>
                    </w:rPr>
                    <w:t>面积</w:t>
                  </w:r>
                  <w:r>
                    <w:rPr>
                      <w:rFonts w:hint="eastAsia" w:ascii="Times New Roman" w:hAnsi="Times New Roman" w:eastAsia="宋体" w:cs="Times New Roman"/>
                      <w:b/>
                      <w:snapToGrid w:val="0"/>
                      <w:color w:val="auto"/>
                      <w:spacing w:val="4"/>
                      <w:szCs w:val="21"/>
                      <w:highlight w:val="none"/>
                      <w:lang w:val="zh-CN"/>
                    </w:rPr>
                    <w:t>m</w:t>
                  </w:r>
                  <w:r>
                    <w:rPr>
                      <w:rFonts w:ascii="Times New Roman" w:hAnsi="Times New Roman" w:eastAsia="宋体" w:cs="Times New Roman"/>
                      <w:b/>
                      <w:snapToGrid w:val="0"/>
                      <w:color w:val="auto"/>
                      <w:spacing w:val="4"/>
                      <w:szCs w:val="21"/>
                      <w:highlight w:val="none"/>
                      <w:vertAlign w:val="superscript"/>
                      <w:lang w:val="zh-CN"/>
                    </w:rPr>
                    <w:t>2</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b/>
                      <w:snapToGrid w:val="0"/>
                      <w:color w:val="auto"/>
                      <w:spacing w:val="4"/>
                      <w:szCs w:val="21"/>
                      <w:highlight w:val="none"/>
                      <w:lang w:val="zh-CN"/>
                    </w:rPr>
                  </w:pPr>
                  <w:r>
                    <w:rPr>
                      <w:rFonts w:ascii="Times New Roman" w:hAnsi="Times New Roman" w:eastAsia="宋体" w:cs="Times New Roman"/>
                      <w:b/>
                      <w:snapToGrid w:val="0"/>
                      <w:color w:val="auto"/>
                      <w:spacing w:val="4"/>
                      <w:szCs w:val="21"/>
                      <w:highlight w:val="none"/>
                      <w:lang w:val="zh-CN"/>
                    </w:rPr>
                    <w:t>建筑面积</w:t>
                  </w:r>
                  <w:r>
                    <w:rPr>
                      <w:rFonts w:hint="eastAsia" w:ascii="Times New Roman" w:hAnsi="Times New Roman" w:eastAsia="宋体" w:cs="Times New Roman"/>
                      <w:b/>
                      <w:snapToGrid w:val="0"/>
                      <w:color w:val="auto"/>
                      <w:spacing w:val="4"/>
                      <w:szCs w:val="21"/>
                      <w:highlight w:val="none"/>
                      <w:lang w:val="zh-CN"/>
                    </w:rPr>
                    <w:t>m</w:t>
                  </w:r>
                  <w:r>
                    <w:rPr>
                      <w:rFonts w:ascii="Times New Roman" w:hAnsi="Times New Roman" w:eastAsia="宋体" w:cs="Times New Roman"/>
                      <w:b/>
                      <w:snapToGrid w:val="0"/>
                      <w:color w:val="auto"/>
                      <w:spacing w:val="4"/>
                      <w:szCs w:val="21"/>
                      <w:highlight w:val="none"/>
                      <w:vertAlign w:val="superscript"/>
                      <w:lang w:val="zh-CN"/>
                    </w:rPr>
                    <w:t>2</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b/>
                      <w:snapToGrid w:val="0"/>
                      <w:color w:val="auto"/>
                      <w:spacing w:val="4"/>
                      <w:szCs w:val="21"/>
                      <w:highlight w:val="none"/>
                      <w:lang w:val="zh-CN"/>
                    </w:rPr>
                  </w:pPr>
                  <w:r>
                    <w:rPr>
                      <w:rFonts w:ascii="Times New Roman" w:hAnsi="Times New Roman" w:eastAsia="宋体" w:cs="Times New Roman"/>
                      <w:b/>
                      <w:snapToGrid w:val="0"/>
                      <w:color w:val="auto"/>
                      <w:spacing w:val="4"/>
                      <w:szCs w:val="21"/>
                      <w:highlight w:val="none"/>
                      <w:lang w:val="zh-CN"/>
                    </w:rPr>
                    <w:t>规格尺寸（m）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b/>
                      <w:snapToGrid w:val="0"/>
                      <w:color w:val="auto"/>
                      <w:spacing w:val="4"/>
                      <w:szCs w:val="21"/>
                      <w:highlight w:val="none"/>
                      <w:lang w:val="zh-CN"/>
                    </w:rPr>
                  </w:pPr>
                  <w:r>
                    <w:rPr>
                      <w:rFonts w:ascii="Times New Roman" w:hAnsi="Times New Roman" w:eastAsia="宋体" w:cs="Times New Roman"/>
                      <w:b/>
                      <w:snapToGrid w:val="0"/>
                      <w:color w:val="auto"/>
                      <w:spacing w:val="4"/>
                      <w:szCs w:val="21"/>
                      <w:highlight w:val="none"/>
                      <w:lang w:val="zh-CN"/>
                    </w:rPr>
                    <w:t>结构形式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snapToGrid w:val="0"/>
                      <w:color w:val="auto"/>
                      <w:spacing w:val="4"/>
                      <w:szCs w:val="21"/>
                      <w:highlight w:val="none"/>
                    </w:rPr>
                  </w:pPr>
                  <w:r>
                    <w:rPr>
                      <w:rFonts w:ascii="Times New Roman" w:hAnsi="Times New Roman" w:eastAsia="宋体" w:cs="Times New Roman"/>
                      <w:snapToGrid w:val="0"/>
                      <w:color w:val="auto"/>
                      <w:spacing w:val="4"/>
                      <w:szCs w:val="21"/>
                      <w:highlight w:val="none"/>
                    </w:rPr>
                    <w:t>1</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color w:val="auto"/>
                      <w:spacing w:val="6"/>
                      <w:szCs w:val="21"/>
                      <w:highlight w:val="none"/>
                      <w:lang w:val="en-US" w:eastAsia="zh-CN"/>
                    </w:rPr>
                    <w:t>TH1转接机房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 xml:space="preserve">168.00 </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 xml:space="preserve">168.00 </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eastAsia="zh-CN"/>
                    </w:rPr>
                  </w:pPr>
                  <w:r>
                    <w:rPr>
                      <w:rFonts w:hint="eastAsia" w:ascii="Times New Roman" w:hAnsi="Times New Roman" w:eastAsia="宋体" w:cs="Times New Roman"/>
                      <w:color w:val="auto"/>
                      <w:spacing w:val="6"/>
                      <w:szCs w:val="21"/>
                      <w:highlight w:val="none"/>
                      <w:lang w:val="en-US" w:eastAsia="zh-CN"/>
                    </w:rPr>
                    <w:t>12.0m×14.0m，高31.0m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地上五层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钢框架结构，维护结构为双层彩钢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snapToGrid w:val="0"/>
                      <w:color w:val="auto"/>
                      <w:spacing w:val="4"/>
                      <w:kern w:val="2"/>
                      <w:sz w:val="21"/>
                      <w:szCs w:val="21"/>
                      <w:highlight w:val="none"/>
                      <w:lang w:val="en-US" w:eastAsia="zh-CN" w:bidi="ar-SA"/>
                    </w:rPr>
                  </w:pPr>
                  <w:r>
                    <w:rPr>
                      <w:rFonts w:ascii="Times New Roman" w:hAnsi="Times New Roman" w:eastAsia="宋体" w:cs="Times New Roman"/>
                      <w:snapToGrid w:val="0"/>
                      <w:color w:val="auto"/>
                      <w:spacing w:val="4"/>
                      <w:szCs w:val="21"/>
                      <w:highlight w:val="none"/>
                    </w:rPr>
                    <w:t>2</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color w:val="auto"/>
                      <w:spacing w:val="6"/>
                      <w:szCs w:val="21"/>
                      <w:highlight w:val="none"/>
                      <w:lang w:val="en-US" w:eastAsia="zh-CN"/>
                    </w:rPr>
                    <w:t>TH2转接机房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143.75</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143.75</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11.5m×12.5m，高28.5m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地上五层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钢框架结构，维护结构为双层彩钢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90"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ascii="Times New Roman" w:hAnsi="Times New Roman" w:eastAsia="宋体" w:cs="Times New Roman"/>
                      <w:snapToGrid w:val="0"/>
                      <w:color w:val="auto"/>
                      <w:spacing w:val="4"/>
                      <w:kern w:val="2"/>
                      <w:sz w:val="21"/>
                      <w:szCs w:val="21"/>
                      <w:highlight w:val="none"/>
                      <w:lang w:val="en-US" w:eastAsia="zh-CN" w:bidi="ar-SA"/>
                    </w:rPr>
                  </w:pPr>
                  <w:r>
                    <w:rPr>
                      <w:rFonts w:hint="eastAsia" w:ascii="Times New Roman" w:hAnsi="Times New Roman" w:eastAsia="宋体" w:cs="Times New Roman"/>
                      <w:snapToGrid w:val="0"/>
                      <w:color w:val="auto"/>
                      <w:spacing w:val="4"/>
                      <w:szCs w:val="21"/>
                      <w:highlight w:val="none"/>
                    </w:rPr>
                    <w:t>3</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color w:val="auto"/>
                      <w:spacing w:val="6"/>
                      <w:szCs w:val="21"/>
                      <w:highlight w:val="none"/>
                      <w:lang w:val="en-US" w:eastAsia="zh-CN"/>
                    </w:rPr>
                    <w:t>TH3转接机房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137.5</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137.5</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eastAsia="zh-CN"/>
                    </w:rPr>
                  </w:pPr>
                  <w:r>
                    <w:rPr>
                      <w:rFonts w:hint="eastAsia" w:ascii="Times New Roman" w:hAnsi="Times New Roman" w:eastAsia="宋体" w:cs="Times New Roman"/>
                      <w:color w:val="auto"/>
                      <w:spacing w:val="6"/>
                      <w:szCs w:val="21"/>
                      <w:highlight w:val="none"/>
                      <w:lang w:val="en-US" w:eastAsia="zh-CN"/>
                    </w:rPr>
                    <w:t>11.0m×12.5m，高30.5m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eastAsia="zh-CN"/>
                    </w:rPr>
                  </w:pPr>
                  <w:r>
                    <w:rPr>
                      <w:rFonts w:hint="eastAsia" w:ascii="Times New Roman" w:hAnsi="Times New Roman" w:eastAsia="宋体" w:cs="Times New Roman"/>
                      <w:color w:val="auto"/>
                      <w:spacing w:val="6"/>
                      <w:szCs w:val="21"/>
                      <w:highlight w:val="none"/>
                      <w:lang w:val="en-US" w:eastAsia="zh-CN"/>
                    </w:rPr>
                    <w:t>地上五层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钢框架结构，维护结构为双层彩钢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kern w:val="2"/>
                      <w:sz w:val="21"/>
                      <w:szCs w:val="21"/>
                      <w:highlight w:val="none"/>
                      <w:lang w:val="en-US" w:eastAsia="zh-CN" w:bidi="ar-SA"/>
                    </w:rPr>
                  </w:pPr>
                  <w:r>
                    <w:rPr>
                      <w:rFonts w:hint="eastAsia" w:ascii="Times New Roman" w:hAnsi="Times New Roman" w:eastAsia="宋体" w:cs="Times New Roman"/>
                      <w:snapToGrid w:val="0"/>
                      <w:color w:val="auto"/>
                      <w:spacing w:val="4"/>
                      <w:szCs w:val="21"/>
                      <w:highlight w:val="none"/>
                      <w:lang w:val="en-US" w:eastAsia="zh-CN"/>
                    </w:rPr>
                    <w:t>4</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color w:val="auto"/>
                      <w:spacing w:val="6"/>
                      <w:szCs w:val="21"/>
                      <w:highlight w:val="none"/>
                      <w:lang w:val="en-US" w:eastAsia="zh-CN"/>
                    </w:rPr>
                    <w:t>TH4转接机房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97.75</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97.75</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eastAsia="zh-CN"/>
                    </w:rPr>
                  </w:pPr>
                  <w:r>
                    <w:rPr>
                      <w:rFonts w:hint="eastAsia" w:ascii="Times New Roman" w:hAnsi="Times New Roman" w:eastAsia="宋体" w:cs="Times New Roman"/>
                      <w:color w:val="auto"/>
                      <w:spacing w:val="6"/>
                      <w:szCs w:val="21"/>
                      <w:highlight w:val="none"/>
                      <w:lang w:val="en-US" w:eastAsia="zh-CN"/>
                    </w:rPr>
                    <w:t>8.5m×11.5m，高24.0m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地上四层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钢框架结构，维护结构为双层彩钢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eastAsia" w:ascii="Times New Roman" w:hAnsi="Times New Roman" w:eastAsia="宋体" w:cs="Times New Roman"/>
                      <w:snapToGrid w:val="0"/>
                      <w:color w:val="auto"/>
                      <w:spacing w:val="4"/>
                      <w:kern w:val="2"/>
                      <w:sz w:val="21"/>
                      <w:szCs w:val="21"/>
                      <w:highlight w:val="none"/>
                      <w:lang w:val="en-US" w:eastAsia="zh-CN" w:bidi="ar-SA"/>
                    </w:rPr>
                  </w:pPr>
                  <w:r>
                    <w:rPr>
                      <w:rFonts w:hint="eastAsia" w:ascii="Times New Roman" w:hAnsi="Times New Roman" w:eastAsia="宋体" w:cs="Times New Roman"/>
                      <w:snapToGrid w:val="0"/>
                      <w:color w:val="auto"/>
                      <w:spacing w:val="4"/>
                      <w:szCs w:val="21"/>
                      <w:highlight w:val="none"/>
                      <w:lang w:val="en-US" w:eastAsia="zh-CN"/>
                    </w:rPr>
                    <w:t>5</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color w:val="auto"/>
                      <w:spacing w:val="6"/>
                      <w:szCs w:val="21"/>
                      <w:highlight w:val="none"/>
                      <w:lang w:val="en-US" w:eastAsia="zh-CN"/>
                    </w:rPr>
                    <w:t>TG1转接机房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64</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64</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8.0m×8.0m，高12.7m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地上二层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钢框架结构，维护结构为双层彩钢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kern w:val="2"/>
                      <w:sz w:val="21"/>
                      <w:szCs w:val="21"/>
                      <w:highlight w:val="none"/>
                      <w:lang w:val="en-US" w:eastAsia="zh-CN" w:bidi="ar-SA"/>
                    </w:rPr>
                  </w:pPr>
                  <w:r>
                    <w:rPr>
                      <w:rFonts w:hint="eastAsia" w:ascii="Times New Roman" w:hAnsi="Times New Roman" w:eastAsia="宋体" w:cs="Times New Roman"/>
                      <w:snapToGrid w:val="0"/>
                      <w:color w:val="auto"/>
                      <w:spacing w:val="4"/>
                      <w:szCs w:val="21"/>
                      <w:highlight w:val="none"/>
                      <w:lang w:val="en-US" w:eastAsia="zh-CN"/>
                    </w:rPr>
                    <w:t>6</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color w:val="auto"/>
                      <w:spacing w:val="6"/>
                      <w:szCs w:val="21"/>
                      <w:highlight w:val="none"/>
                      <w:lang w:val="en-US" w:eastAsia="zh-CN"/>
                    </w:rPr>
                    <w:t>TG2转接机房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3080</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3080</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88.0m×35.0m，高35.0m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地上五层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钢框架结构，维护结构为双层彩钢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eastAsia" w:ascii="Times New Roman" w:hAnsi="Times New Roman" w:eastAsia="宋体" w:cs="Times New Roman"/>
                      <w:snapToGrid w:val="0"/>
                      <w:color w:val="auto"/>
                      <w:spacing w:val="4"/>
                      <w:kern w:val="2"/>
                      <w:sz w:val="21"/>
                      <w:szCs w:val="21"/>
                      <w:highlight w:val="none"/>
                      <w:lang w:val="en-US" w:eastAsia="zh-CN" w:bidi="ar-SA"/>
                    </w:rPr>
                  </w:pPr>
                  <w:r>
                    <w:rPr>
                      <w:rFonts w:hint="eastAsia" w:ascii="Times New Roman" w:hAnsi="Times New Roman" w:eastAsia="宋体" w:cs="Times New Roman"/>
                      <w:snapToGrid w:val="0"/>
                      <w:color w:val="auto"/>
                      <w:spacing w:val="4"/>
                      <w:szCs w:val="21"/>
                      <w:highlight w:val="none"/>
                      <w:lang w:val="en-US" w:eastAsia="zh-CN"/>
                    </w:rPr>
                    <w:t>7</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Calibri" w:hAnsi="Calibri"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b w:val="0"/>
                      <w:bCs w:val="0"/>
                      <w:color w:val="auto"/>
                      <w:szCs w:val="21"/>
                      <w:highlight w:val="none"/>
                      <w:lang w:val="en-US" w:eastAsia="zh-CN"/>
                    </w:rPr>
                    <w:t>B1#变电所</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363</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363</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zh-CN" w:eastAsia="zh-CN"/>
                    </w:rPr>
                  </w:pPr>
                  <w:r>
                    <w:rPr>
                      <w:rFonts w:hint="eastAsia" w:ascii="Times New Roman" w:hAnsi="Times New Roman" w:eastAsia="宋体" w:cs="Times New Roman"/>
                      <w:color w:val="auto"/>
                      <w:spacing w:val="6"/>
                      <w:szCs w:val="21"/>
                      <w:highlight w:val="none"/>
                      <w:lang w:val="en-US" w:eastAsia="zh-CN"/>
                    </w:rPr>
                    <w:t>43.20m×8.40m，高4.5m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地上一层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钢筋砼框架结构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kern w:val="2"/>
                      <w:sz w:val="21"/>
                      <w:szCs w:val="21"/>
                      <w:highlight w:val="none"/>
                      <w:lang w:val="en-US" w:eastAsia="zh-CN" w:bidi="ar-SA"/>
                    </w:rPr>
                  </w:pPr>
                  <w:r>
                    <w:rPr>
                      <w:rFonts w:hint="eastAsia" w:ascii="Times New Roman" w:hAnsi="Times New Roman" w:eastAsia="宋体" w:cs="Times New Roman"/>
                      <w:snapToGrid w:val="0"/>
                      <w:color w:val="auto"/>
                      <w:spacing w:val="4"/>
                      <w:szCs w:val="21"/>
                      <w:highlight w:val="none"/>
                      <w:lang w:val="en-US" w:eastAsia="zh-CN"/>
                    </w:rPr>
                    <w:t>8</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Calibri" w:hAnsi="Calibri" w:eastAsia="宋体" w:cs="Times New Roman"/>
                      <w:color w:val="auto"/>
                      <w:spacing w:val="6"/>
                      <w:kern w:val="2"/>
                      <w:sz w:val="21"/>
                      <w:szCs w:val="21"/>
                      <w:highlight w:val="none"/>
                      <w:lang w:val="en-US" w:eastAsia="zh-CN" w:bidi="ar-SA"/>
                    </w:rPr>
                  </w:pPr>
                  <w:r>
                    <w:rPr>
                      <w:rFonts w:hint="eastAsia" w:ascii="Times New Roman" w:hAnsi="Times New Roman" w:eastAsia="宋体" w:cs="Times New Roman"/>
                      <w:b w:val="0"/>
                      <w:bCs w:val="0"/>
                      <w:color w:val="auto"/>
                      <w:szCs w:val="21"/>
                      <w:highlight w:val="none"/>
                      <w:lang w:val="en-US" w:eastAsia="zh-CN"/>
                    </w:rPr>
                    <w:t>B2#变电所</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363</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363</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43.20m×8.40m，高4.5m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上一层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钢筋砼框架结构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kern w:val="2"/>
                      <w:sz w:val="21"/>
                      <w:szCs w:val="21"/>
                      <w:highlight w:val="none"/>
                      <w:lang w:val="en-US" w:eastAsia="zh-CN" w:bidi="ar-SA"/>
                    </w:rPr>
                  </w:pPr>
                  <w:r>
                    <w:rPr>
                      <w:rFonts w:hint="eastAsia" w:ascii="Times New Roman" w:hAnsi="Times New Roman" w:eastAsia="宋体" w:cs="Times New Roman"/>
                      <w:snapToGrid w:val="0"/>
                      <w:color w:val="auto"/>
                      <w:spacing w:val="4"/>
                      <w:kern w:val="2"/>
                      <w:sz w:val="21"/>
                      <w:szCs w:val="21"/>
                      <w:highlight w:val="none"/>
                      <w:lang w:val="en-US" w:eastAsia="zh-CN" w:bidi="ar-SA"/>
                    </w:rPr>
                    <w:t>9</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b w:val="0"/>
                      <w:bCs w:val="0"/>
                      <w:color w:val="auto"/>
                      <w:kern w:val="2"/>
                      <w:sz w:val="21"/>
                      <w:szCs w:val="21"/>
                      <w:highlight w:val="none"/>
                      <w:lang w:val="en-US" w:eastAsia="zh-CN" w:bidi="ar-SA"/>
                    </w:rPr>
                  </w:pPr>
                  <w:r>
                    <w:rPr>
                      <w:rFonts w:hint="eastAsia" w:ascii="Times New Roman" w:hAnsi="Times New Roman" w:eastAsia="宋体" w:cs="Times New Roman"/>
                      <w:b w:val="0"/>
                      <w:bCs w:val="0"/>
                      <w:color w:val="auto"/>
                      <w:szCs w:val="21"/>
                      <w:highlight w:val="none"/>
                      <w:lang w:val="en-US" w:eastAsia="zh-CN"/>
                    </w:rPr>
                    <w:t>1#柴油发电机房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363</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363</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14.40m×8.40m，高4.5m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地上一层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钢筋砼框架结构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szCs w:val="21"/>
                      <w:highlight w:val="none"/>
                      <w:lang w:val="en-US" w:eastAsia="zh-CN"/>
                    </w:rPr>
                  </w:pPr>
                  <w:r>
                    <w:rPr>
                      <w:rFonts w:hint="eastAsia" w:ascii="Times New Roman" w:hAnsi="Times New Roman" w:eastAsia="宋体" w:cs="Times New Roman"/>
                      <w:snapToGrid w:val="0"/>
                      <w:color w:val="auto"/>
                      <w:spacing w:val="4"/>
                      <w:szCs w:val="21"/>
                      <w:highlight w:val="none"/>
                      <w:lang w:val="en-US" w:eastAsia="zh-CN"/>
                    </w:rPr>
                    <w:t>10</w:t>
                  </w:r>
                </w:p>
              </w:tc>
              <w:tc>
                <w:tcPr>
                  <w:tcW w:w="71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b w:val="0"/>
                      <w:bCs w:val="0"/>
                      <w:color w:val="auto"/>
                      <w:kern w:val="2"/>
                      <w:sz w:val="21"/>
                      <w:szCs w:val="21"/>
                      <w:highlight w:val="none"/>
                      <w:lang w:val="en-US" w:eastAsia="zh-CN" w:bidi="ar-SA"/>
                    </w:rPr>
                  </w:pPr>
                  <w:r>
                    <w:rPr>
                      <w:rFonts w:hint="eastAsia" w:ascii="Times New Roman" w:hAnsi="Times New Roman" w:eastAsia="宋体" w:cs="Times New Roman"/>
                      <w:b w:val="0"/>
                      <w:bCs w:val="0"/>
                      <w:color w:val="auto"/>
                      <w:szCs w:val="21"/>
                      <w:highlight w:val="none"/>
                      <w:lang w:val="en-US" w:eastAsia="zh-CN"/>
                    </w:rPr>
                    <w:t>2#柴油发电机房</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121</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121</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14.40m×8.40m，高4.5m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地上一层</w:t>
                  </w:r>
                  <w:r>
                    <w:rPr>
                      <w:rFonts w:hint="eastAsia" w:ascii="Times New Roman" w:hAnsi="Times New Roman" w:eastAsia="宋体" w:cs="Times New Roman"/>
                      <w:color w:val="auto"/>
                      <w:spacing w:val="6"/>
                      <w:szCs w:val="21"/>
                      <w:highlight w:val="none"/>
                      <w:lang w:val="en-US" w:eastAsia="zh-CN"/>
                    </w:rPr>
                    <w:br w:type="textWrapping"/>
                  </w:r>
                  <w:r>
                    <w:rPr>
                      <w:rFonts w:hint="eastAsia" w:ascii="Times New Roman" w:hAnsi="Times New Roman" w:eastAsia="宋体" w:cs="Times New Roman"/>
                      <w:color w:val="auto"/>
                      <w:spacing w:val="6"/>
                      <w:szCs w:val="21"/>
                      <w:highlight w:val="none"/>
                      <w:lang w:val="en-US" w:eastAsia="zh-CN"/>
                    </w:rPr>
                    <w:t>钢筋砼框架结构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szCs w:val="21"/>
                      <w:highlight w:val="none"/>
                      <w:lang w:val="en-US" w:eastAsia="zh-CN"/>
                    </w:rPr>
                  </w:pPr>
                  <w:r>
                    <w:rPr>
                      <w:rFonts w:hint="eastAsia" w:ascii="Times New Roman" w:hAnsi="Times New Roman" w:eastAsia="宋体" w:cs="Times New Roman"/>
                      <w:snapToGrid w:val="0"/>
                      <w:color w:val="auto"/>
                      <w:spacing w:val="4"/>
                      <w:szCs w:val="21"/>
                      <w:highlight w:val="none"/>
                      <w:lang w:val="en-US" w:eastAsia="zh-CN"/>
                    </w:rPr>
                    <w:t>11</w:t>
                  </w:r>
                </w:p>
              </w:tc>
              <w:tc>
                <w:tcPr>
                  <w:tcW w:w="719"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 w:val="0"/>
                      <w:bCs w:val="0"/>
                      <w:color w:val="auto"/>
                      <w:szCs w:val="21"/>
                      <w:highlight w:val="no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1#箱泵一体化泵站</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390</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390</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10.0m×39.0m，高4.5m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地上一层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36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szCs w:val="21"/>
                      <w:highlight w:val="none"/>
                      <w:lang w:val="en-US" w:eastAsia="zh-CN"/>
                    </w:rPr>
                  </w:pPr>
                  <w:r>
                    <w:rPr>
                      <w:rFonts w:hint="eastAsia" w:ascii="Times New Roman" w:hAnsi="Times New Roman" w:eastAsia="宋体" w:cs="Times New Roman"/>
                      <w:snapToGrid w:val="0"/>
                      <w:color w:val="auto"/>
                      <w:spacing w:val="4"/>
                      <w:szCs w:val="21"/>
                      <w:highlight w:val="none"/>
                      <w:lang w:val="en-US" w:eastAsia="zh-CN"/>
                    </w:rPr>
                    <w:t>12</w:t>
                  </w:r>
                </w:p>
              </w:tc>
              <w:tc>
                <w:tcPr>
                  <w:tcW w:w="719"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b w:val="0"/>
                      <w:bCs w:val="0"/>
                      <w:color w:val="auto"/>
                      <w:szCs w:val="21"/>
                      <w:highlight w:val="none"/>
                      <w:lang w:val="en-US" w:eastAsia="zh-CN"/>
                    </w:rPr>
                  </w:pPr>
                  <w:r>
                    <w:rPr>
                      <w:rFonts w:hint="default" w:ascii="Times New Roman" w:hAnsi="Times New Roman" w:eastAsia="宋体" w:cs="Times New Roman"/>
                      <w:i w:val="0"/>
                      <w:iCs w:val="0"/>
                      <w:color w:val="000000"/>
                      <w:kern w:val="0"/>
                      <w:sz w:val="20"/>
                      <w:szCs w:val="20"/>
                      <w:u w:val="none"/>
                      <w:lang w:val="en-US" w:eastAsia="zh-CN" w:bidi="ar"/>
                    </w:rPr>
                    <w:t>2#箱泵一体化泵站</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390</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390</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10.0m×39.0m，高4.5m</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地上一层</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397" w:hRule="atLeast"/>
                <w:tblHeader/>
                <w:jc w:val="center"/>
              </w:trPr>
              <w:tc>
                <w:tcPr>
                  <w:tcW w:w="1087" w:type="pct"/>
                  <w:gridSpan w:val="2"/>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center"/>
                    <w:rPr>
                      <w:rFonts w:hint="default" w:ascii="Times New Roman" w:hAnsi="Times New Roman" w:eastAsia="宋体" w:cs="Times New Roman"/>
                      <w:i w:val="0"/>
                      <w:iCs w:val="0"/>
                      <w:color w:val="auto"/>
                      <w:kern w:val="2"/>
                      <w:sz w:val="22"/>
                      <w:szCs w:val="22"/>
                      <w:highlight w:val="none"/>
                      <w:u w:val="none"/>
                      <w:lang w:val="en-US" w:eastAsia="zh-CN" w:bidi="ar-SA"/>
                    </w:rPr>
                  </w:pPr>
                  <w:r>
                    <w:rPr>
                      <w:rFonts w:hint="default" w:ascii="Times New Roman" w:hAnsi="Times New Roman" w:eastAsia="宋体" w:cs="Times New Roman"/>
                      <w:color w:val="auto"/>
                      <w:spacing w:val="6"/>
                      <w:szCs w:val="21"/>
                      <w:highlight w:val="none"/>
                    </w:rPr>
                    <w:t>合计</w:t>
                  </w:r>
                </w:p>
              </w:tc>
              <w:tc>
                <w:tcPr>
                  <w:tcW w:w="659"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5681</w:t>
                  </w:r>
                </w:p>
              </w:tc>
              <w:tc>
                <w:tcPr>
                  <w:tcW w:w="63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5681</w:t>
                  </w:r>
                </w:p>
              </w:tc>
              <w:tc>
                <w:tcPr>
                  <w:tcW w:w="1428" w:type="pct"/>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pacing w:before="0" w:beforeAutospacing="0" w:after="0" w:afterAutospacing="0" w:line="0" w:lineRule="atLeast"/>
                    <w:ind w:left="0" w:right="0"/>
                    <w:jc w:val="center"/>
                    <w:rPr>
                      <w:rFonts w:hint="default" w:ascii="Times New Roman" w:hAnsi="Times New Roman" w:eastAsia="宋体" w:cs="Times New Roman"/>
                      <w:snapToGrid w:val="0"/>
                      <w:color w:val="auto"/>
                      <w:spacing w:val="4"/>
                      <w:szCs w:val="21"/>
                      <w:highlight w:val="none"/>
                      <w:lang w:val="en-US" w:eastAsia="zh-CN"/>
                    </w:rPr>
                  </w:pPr>
                  <w:r>
                    <w:rPr>
                      <w:rFonts w:hint="default" w:ascii="Times New Roman" w:hAnsi="Times New Roman" w:eastAsia="宋体" w:cs="Times New Roman"/>
                      <w:snapToGrid w:val="0"/>
                      <w:color w:val="auto"/>
                      <w:spacing w:val="4"/>
                      <w:szCs w:val="21"/>
                      <w:highlight w:val="none"/>
                      <w:lang w:val="en-US" w:eastAsia="zh-CN"/>
                    </w:rPr>
                    <w:t>/</w:t>
                  </w:r>
                </w:p>
              </w:tc>
              <w:tc>
                <w:tcPr>
                  <w:tcW w:w="119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default" w:ascii="Times New Roman" w:hAnsi="Times New Roman" w:eastAsia="宋体" w:cs="Times New Roman"/>
                      <w:color w:val="auto"/>
                      <w:spacing w:val="6"/>
                      <w:szCs w:val="21"/>
                      <w:highlight w:val="none"/>
                      <w:lang w:val="en-US" w:eastAsia="zh-CN"/>
                    </w:rPr>
                    <w:t>/</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（6）廊道交叉跨越情况</w:t>
            </w:r>
          </w:p>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0" w:firstLineChars="0"/>
              <w:jc w:val="center"/>
              <w:textAlignment w:val="auto"/>
              <w:rPr>
                <w:rFonts w:hint="eastAsia" w:ascii="Times New Roman" w:hAnsi="Times New Roman" w:eastAsia="宋体" w:cs="Times New Roman"/>
                <w:b/>
                <w:snapToGrid w:val="0"/>
                <w:color w:val="auto"/>
                <w:spacing w:val="4"/>
                <w:kern w:val="2"/>
                <w:sz w:val="21"/>
                <w:szCs w:val="24"/>
                <w:highlight w:val="none"/>
                <w:lang w:val="en-US" w:eastAsia="zh-CN" w:bidi="ar-SA"/>
              </w:rPr>
            </w:pPr>
            <w:r>
              <w:rPr>
                <w:rFonts w:hint="eastAsia" w:ascii="Times New Roman" w:hAnsi="Times New Roman" w:eastAsia="宋体" w:cs="Times New Roman"/>
                <w:b/>
                <w:snapToGrid w:val="0"/>
                <w:color w:val="auto"/>
                <w:spacing w:val="4"/>
                <w:kern w:val="2"/>
                <w:sz w:val="21"/>
                <w:szCs w:val="24"/>
                <w:highlight w:val="none"/>
                <w:lang w:val="en-US" w:eastAsia="zh-CN" w:bidi="ar-SA"/>
              </w:rPr>
              <w:t>表2-3 廊道交叉跨越情况一览表</w:t>
            </w:r>
          </w:p>
          <w:tbl>
            <w:tblPr>
              <w:tblStyle w:val="28"/>
              <w:tblW w:w="4998" w:type="pct"/>
              <w:jc w:val="center"/>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Layout w:type="autofit"/>
              <w:tblCellMar>
                <w:top w:w="0" w:type="dxa"/>
                <w:left w:w="108" w:type="dxa"/>
                <w:bottom w:w="0" w:type="dxa"/>
                <w:right w:w="108" w:type="dxa"/>
              </w:tblCellMar>
            </w:tblPr>
            <w:tblGrid>
              <w:gridCol w:w="1640"/>
              <w:gridCol w:w="2569"/>
              <w:gridCol w:w="1347"/>
              <w:gridCol w:w="1004"/>
              <w:gridCol w:w="1640"/>
            </w:tblGrid>
            <w:tr>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1000"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b/>
                      <w:bCs/>
                      <w:color w:val="auto"/>
                      <w:spacing w:val="6"/>
                      <w:szCs w:val="21"/>
                      <w:highlight w:val="none"/>
                      <w:lang w:val="en-US" w:eastAsia="zh-CN"/>
                    </w:rPr>
                  </w:pPr>
                  <w:r>
                    <w:rPr>
                      <w:rFonts w:hint="eastAsia" w:ascii="Times New Roman" w:hAnsi="Times New Roman" w:eastAsia="宋体" w:cs="Times New Roman"/>
                      <w:b/>
                      <w:bCs/>
                      <w:color w:val="auto"/>
                      <w:spacing w:val="6"/>
                      <w:szCs w:val="21"/>
                      <w:highlight w:val="none"/>
                      <w:lang w:val="en-US" w:eastAsia="zh-CN"/>
                    </w:rPr>
                    <w:t>区间</w:t>
                  </w:r>
                </w:p>
              </w:tc>
              <w:tc>
                <w:tcPr>
                  <w:tcW w:w="1566"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b/>
                      <w:bCs/>
                      <w:color w:val="auto"/>
                      <w:spacing w:val="6"/>
                      <w:szCs w:val="21"/>
                      <w:highlight w:val="none"/>
                      <w:lang w:val="en-US" w:eastAsia="zh-CN"/>
                    </w:rPr>
                  </w:pPr>
                  <w:r>
                    <w:rPr>
                      <w:rFonts w:hint="eastAsia" w:ascii="Times New Roman" w:hAnsi="Times New Roman" w:eastAsia="宋体" w:cs="Times New Roman"/>
                      <w:b/>
                      <w:bCs/>
                      <w:color w:val="auto"/>
                      <w:spacing w:val="6"/>
                      <w:szCs w:val="21"/>
                      <w:highlight w:val="none"/>
                      <w:lang w:val="en-US" w:eastAsia="zh-CN"/>
                    </w:rPr>
                    <w:t>交叉跨越名称</w:t>
                  </w:r>
                </w:p>
              </w:tc>
              <w:tc>
                <w:tcPr>
                  <w:tcW w:w="82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b/>
                      <w:bCs/>
                      <w:color w:val="auto"/>
                      <w:spacing w:val="6"/>
                      <w:szCs w:val="21"/>
                      <w:highlight w:val="none"/>
                      <w:lang w:val="en-US" w:eastAsia="zh-CN"/>
                    </w:rPr>
                  </w:pPr>
                  <w:r>
                    <w:rPr>
                      <w:rFonts w:hint="eastAsia" w:ascii="Times New Roman" w:hAnsi="Times New Roman" w:eastAsia="宋体" w:cs="Times New Roman"/>
                      <w:b/>
                      <w:bCs/>
                      <w:color w:val="auto"/>
                      <w:spacing w:val="6"/>
                      <w:szCs w:val="21"/>
                      <w:highlight w:val="none"/>
                      <w:lang w:val="en-US" w:eastAsia="zh-CN"/>
                    </w:rPr>
                    <w:t>单位</w:t>
                  </w:r>
                </w:p>
              </w:tc>
              <w:tc>
                <w:tcPr>
                  <w:tcW w:w="61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b/>
                      <w:bCs/>
                      <w:color w:val="auto"/>
                      <w:spacing w:val="6"/>
                      <w:szCs w:val="21"/>
                      <w:highlight w:val="none"/>
                      <w:lang w:val="en-US" w:eastAsia="zh-CN"/>
                    </w:rPr>
                  </w:pPr>
                  <w:r>
                    <w:rPr>
                      <w:rFonts w:hint="eastAsia" w:ascii="Times New Roman" w:hAnsi="Times New Roman" w:eastAsia="宋体" w:cs="Times New Roman"/>
                      <w:b/>
                      <w:bCs/>
                      <w:color w:val="auto"/>
                      <w:spacing w:val="6"/>
                      <w:szCs w:val="21"/>
                      <w:highlight w:val="none"/>
                      <w:lang w:val="en-US" w:eastAsia="zh-CN"/>
                    </w:rPr>
                    <w:t>数量</w:t>
                  </w:r>
                </w:p>
              </w:tc>
              <w:tc>
                <w:tcPr>
                  <w:tcW w:w="1000"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b/>
                      <w:bCs/>
                      <w:color w:val="auto"/>
                      <w:spacing w:val="6"/>
                      <w:szCs w:val="21"/>
                      <w:highlight w:val="none"/>
                      <w:lang w:val="en-US" w:eastAsia="zh-CN"/>
                    </w:rPr>
                  </w:pPr>
                  <w:r>
                    <w:rPr>
                      <w:rFonts w:hint="eastAsia" w:ascii="Times New Roman" w:hAnsi="Times New Roman" w:eastAsia="宋体" w:cs="Times New Roman"/>
                      <w:b/>
                      <w:bCs/>
                      <w:color w:val="auto"/>
                      <w:spacing w:val="6"/>
                      <w:szCs w:val="21"/>
                      <w:highlight w:val="none"/>
                      <w:lang w:val="en-US" w:eastAsia="zh-CN"/>
                    </w:rPr>
                    <w:t>跨越高度</w:t>
                  </w:r>
                </w:p>
              </w:tc>
            </w:tr>
            <w:tr>
              <w:tblPrEx>
                <w:tblBorders>
                  <w:top w:val="single" w:color="auto" w:sz="12" w:space="0"/>
                  <w:left w:val="single" w:color="auto" w:sz="12" w:space="0"/>
                  <w:bottom w:val="single" w:color="auto" w:sz="12" w:space="0"/>
                  <w:right w:val="single" w:color="auto" w:sz="12" w:space="0"/>
                  <w:insideH w:val="single" w:color="auto" w:sz="8" w:space="0"/>
                  <w:insideV w:val="single" w:color="auto" w:sz="8" w:space="0"/>
                </w:tblBorders>
                <w:tblCellMar>
                  <w:top w:w="0" w:type="dxa"/>
                  <w:left w:w="108" w:type="dxa"/>
                  <w:bottom w:w="0" w:type="dxa"/>
                  <w:right w:w="108" w:type="dxa"/>
                </w:tblCellMar>
              </w:tblPrEx>
              <w:trPr>
                <w:jc w:val="center"/>
              </w:trPr>
              <w:tc>
                <w:tcPr>
                  <w:tcW w:w="1000"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TH1-TH2</w:t>
                  </w:r>
                </w:p>
              </w:tc>
              <w:tc>
                <w:tcPr>
                  <w:tcW w:w="1566"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36#~40#泊位配套进出闸口及停车场工程段</w:t>
                  </w:r>
                </w:p>
              </w:tc>
              <w:tc>
                <w:tcPr>
                  <w:tcW w:w="821"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次</w:t>
                  </w:r>
                </w:p>
              </w:tc>
              <w:tc>
                <w:tcPr>
                  <w:tcW w:w="612"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1</w:t>
                  </w:r>
                </w:p>
              </w:tc>
              <w:tc>
                <w:tcPr>
                  <w:tcW w:w="1000" w:type="pct"/>
                  <w:tcBorders>
                    <w:tl2br w:val="nil"/>
                    <w:tr2bl w:val="nil"/>
                  </w:tcBorders>
                  <w:noWrap w:val="0"/>
                  <w:vAlign w:val="center"/>
                </w:tcPr>
                <w:p>
                  <w:pPr>
                    <w:keepNext w:val="0"/>
                    <w:keepLines w:val="0"/>
                    <w:pageBreakBefore w:val="0"/>
                    <w:suppressLineNumbers w:val="0"/>
                    <w:kinsoku/>
                    <w:wordWrap/>
                    <w:overflowPunct/>
                    <w:topLinePunct w:val="0"/>
                    <w:bidi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pacing w:val="6"/>
                      <w:szCs w:val="21"/>
                      <w:highlight w:val="none"/>
                      <w:lang w:val="en-US" w:eastAsia="zh-CN"/>
                    </w:rPr>
                  </w:pPr>
                  <w:r>
                    <w:rPr>
                      <w:rFonts w:hint="eastAsia" w:ascii="Times New Roman" w:hAnsi="Times New Roman" w:eastAsia="宋体" w:cs="Times New Roman"/>
                      <w:color w:val="auto"/>
                      <w:spacing w:val="6"/>
                      <w:szCs w:val="21"/>
                      <w:highlight w:val="none"/>
                      <w:lang w:val="en-US" w:eastAsia="zh-CN"/>
                    </w:rPr>
                    <w:t>不低于6米</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7）项目运输量分析：本工程为唐山环港廊道港区连接线项目，与管廊项目共同服务后方唐山国堂钢铁有限公司、河北华西特种钢铁有限公司、唐山市天顺煤焦化工有限公司、唐山中厚板材有限公司和河北天柱钢铁集团有限公司五家企业。其详细运输需求如下：</w:t>
            </w:r>
          </w:p>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0" w:firstLineChars="0"/>
              <w:jc w:val="center"/>
              <w:textAlignment w:val="auto"/>
              <w:rPr>
                <w:rFonts w:hint="eastAsia" w:ascii="Times New Roman" w:hAnsi="Times New Roman" w:eastAsia="宋体" w:cs="Times New Roman"/>
                <w:b/>
                <w:snapToGrid w:val="0"/>
                <w:color w:val="auto"/>
                <w:spacing w:val="4"/>
                <w:kern w:val="2"/>
                <w:sz w:val="21"/>
                <w:szCs w:val="24"/>
                <w:highlight w:val="none"/>
                <w:lang w:val="en-US" w:eastAsia="zh-CN" w:bidi="ar-SA"/>
              </w:rPr>
            </w:pPr>
            <w:r>
              <w:rPr>
                <w:rFonts w:hint="eastAsia" w:ascii="Times New Roman" w:hAnsi="Times New Roman" w:eastAsia="宋体" w:cs="Times New Roman"/>
                <w:b/>
                <w:snapToGrid w:val="0"/>
                <w:color w:val="auto"/>
                <w:spacing w:val="4"/>
                <w:kern w:val="2"/>
                <w:sz w:val="21"/>
                <w:szCs w:val="24"/>
                <w:highlight w:val="none"/>
                <w:lang w:val="en-US" w:eastAsia="zh-CN" w:bidi="ar-SA"/>
              </w:rPr>
              <w:t>表2-4 项目提供物料输送的五家企业物料需求量一览表</w:t>
            </w:r>
          </w:p>
          <w:tbl>
            <w:tblPr>
              <w:tblStyle w:val="27"/>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81"/>
              <w:gridCol w:w="1267"/>
              <w:gridCol w:w="1322"/>
              <w:gridCol w:w="2092"/>
              <w:gridCol w:w="27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7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序号</w:t>
                  </w:r>
                </w:p>
              </w:tc>
              <w:tc>
                <w:tcPr>
                  <w:tcW w:w="772"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 w:val="21"/>
                      <w:szCs w:val="21"/>
                      <w:highlight w:val="none"/>
                      <w:lang w:eastAsia="zh-CN"/>
                    </w:rPr>
                  </w:pPr>
                  <w:r>
                    <w:rPr>
                      <w:rFonts w:hint="default" w:ascii="Times New Roman" w:hAnsi="Times New Roman" w:eastAsia="宋体" w:cs="Times New Roman"/>
                      <w:b/>
                      <w:bCs/>
                      <w:color w:val="auto"/>
                      <w:sz w:val="21"/>
                      <w:szCs w:val="21"/>
                      <w:highlight w:val="none"/>
                      <w:lang w:eastAsia="zh-CN"/>
                    </w:rPr>
                    <w:t>企业</w:t>
                  </w:r>
                </w:p>
              </w:tc>
              <w:tc>
                <w:tcPr>
                  <w:tcW w:w="8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kern w:val="2"/>
                      <w:sz w:val="21"/>
                      <w:szCs w:val="21"/>
                      <w:highlight w:val="none"/>
                      <w:lang w:val="en-US" w:eastAsia="zh-CN" w:bidi="ar-SA"/>
                    </w:rPr>
                  </w:pPr>
                  <w:r>
                    <w:rPr>
                      <w:rFonts w:hint="default" w:ascii="Times New Roman" w:hAnsi="Times New Roman" w:eastAsia="宋体" w:cs="Times New Roman"/>
                      <w:b/>
                      <w:bCs/>
                      <w:color w:val="auto"/>
                      <w:kern w:val="2"/>
                      <w:sz w:val="21"/>
                      <w:szCs w:val="21"/>
                      <w:highlight w:val="none"/>
                      <w:lang w:val="en-US" w:eastAsia="zh-CN" w:bidi="ar-SA"/>
                    </w:rPr>
                    <w:t>单位产品</w:t>
                  </w:r>
                </w:p>
              </w:tc>
              <w:tc>
                <w:tcPr>
                  <w:tcW w:w="127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 w:val="21"/>
                      <w:szCs w:val="21"/>
                      <w:highlight w:val="none"/>
                      <w:lang w:eastAsia="zh-CN"/>
                    </w:rPr>
                  </w:pPr>
                  <w:r>
                    <w:rPr>
                      <w:rFonts w:hint="default" w:ascii="Times New Roman" w:hAnsi="Times New Roman" w:eastAsia="宋体" w:cs="Times New Roman"/>
                      <w:b/>
                      <w:bCs/>
                      <w:color w:val="auto"/>
                      <w:sz w:val="21"/>
                      <w:szCs w:val="21"/>
                      <w:highlight w:val="none"/>
                      <w:lang w:eastAsia="zh-CN"/>
                    </w:rPr>
                    <w:t>物料年需求量</w:t>
                  </w:r>
                </w:p>
              </w:tc>
              <w:tc>
                <w:tcPr>
                  <w:tcW w:w="166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 w:val="21"/>
                      <w:szCs w:val="21"/>
                      <w:highlight w:val="none"/>
                      <w:lang w:eastAsia="zh-CN"/>
                    </w:rPr>
                  </w:pPr>
                  <w:r>
                    <w:rPr>
                      <w:rFonts w:hint="default" w:ascii="Times New Roman" w:hAnsi="Times New Roman" w:eastAsia="宋体" w:cs="Times New Roman"/>
                      <w:b/>
                      <w:bCs/>
                      <w:color w:val="auto"/>
                      <w:sz w:val="21"/>
                      <w:szCs w:val="21"/>
                      <w:highlight w:val="none"/>
                      <w:lang w:eastAsia="zh-CN"/>
                    </w:rPr>
                    <w:t>所需物料品种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7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1</w:t>
                  </w:r>
                </w:p>
              </w:tc>
              <w:tc>
                <w:tcPr>
                  <w:tcW w:w="772"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唐山国堂钢铁有限公司</w:t>
                  </w:r>
                </w:p>
              </w:tc>
              <w:tc>
                <w:tcPr>
                  <w:tcW w:w="80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钢铁</w:t>
                  </w:r>
                </w:p>
              </w:tc>
              <w:tc>
                <w:tcPr>
                  <w:tcW w:w="127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770万吨</w:t>
                  </w:r>
                </w:p>
              </w:tc>
              <w:tc>
                <w:tcPr>
                  <w:tcW w:w="166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铁矿石、焦煤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7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2</w:t>
                  </w:r>
                </w:p>
              </w:tc>
              <w:tc>
                <w:tcPr>
                  <w:tcW w:w="772"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河北华西特种钢铁有限公司</w:t>
                  </w:r>
                </w:p>
              </w:tc>
              <w:tc>
                <w:tcPr>
                  <w:tcW w:w="80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Cs/>
                      <w:color w:val="auto"/>
                      <w:sz w:val="21"/>
                      <w:szCs w:val="21"/>
                      <w:highlight w:val="none"/>
                      <w:vertAlign w:val="baseline"/>
                      <w:lang w:val="en-US" w:eastAsia="zh-CN"/>
                    </w:rPr>
                  </w:pPr>
                  <w:r>
                    <w:rPr>
                      <w:rFonts w:hint="default" w:ascii="Times New Roman" w:hAnsi="Times New Roman" w:eastAsia="宋体" w:cs="Times New Roman"/>
                      <w:bCs/>
                      <w:color w:val="auto"/>
                      <w:sz w:val="21"/>
                      <w:szCs w:val="21"/>
                      <w:highlight w:val="none"/>
                      <w:vertAlign w:val="baseline"/>
                      <w:lang w:val="en-US" w:eastAsia="zh-CN"/>
                    </w:rPr>
                    <w:t>特种钢铁</w:t>
                  </w:r>
                </w:p>
              </w:tc>
              <w:tc>
                <w:tcPr>
                  <w:tcW w:w="127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355万吨</w:t>
                  </w:r>
                </w:p>
              </w:tc>
              <w:tc>
                <w:tcPr>
                  <w:tcW w:w="166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铁矿石</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7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val="en-US" w:eastAsia="zh-CN"/>
                    </w:rPr>
                    <w:t>3</w:t>
                  </w:r>
                </w:p>
              </w:tc>
              <w:tc>
                <w:tcPr>
                  <w:tcW w:w="772"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唐山市天顺煤焦化工有限公司</w:t>
                  </w:r>
                </w:p>
              </w:tc>
              <w:tc>
                <w:tcPr>
                  <w:tcW w:w="80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highlight w:val="none"/>
                      <w:vertAlign w:val="baseline"/>
                      <w:lang w:val="en-US" w:eastAsia="zh-CN"/>
                    </w:rPr>
                  </w:pPr>
                  <w:r>
                    <w:rPr>
                      <w:rFonts w:hint="default" w:ascii="Times New Roman" w:hAnsi="Times New Roman" w:eastAsia="宋体" w:cs="Times New Roman"/>
                      <w:color w:val="auto"/>
                      <w:sz w:val="21"/>
                      <w:szCs w:val="21"/>
                      <w:highlight w:val="none"/>
                      <w:vertAlign w:val="baseline"/>
                      <w:lang w:val="en-US" w:eastAsia="zh-CN"/>
                    </w:rPr>
                    <w:t>焦炭</w:t>
                  </w:r>
                </w:p>
              </w:tc>
              <w:tc>
                <w:tcPr>
                  <w:tcW w:w="127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380万吨</w:t>
                  </w:r>
                </w:p>
              </w:tc>
              <w:tc>
                <w:tcPr>
                  <w:tcW w:w="166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焦煤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7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4</w:t>
                  </w:r>
                </w:p>
              </w:tc>
              <w:tc>
                <w:tcPr>
                  <w:tcW w:w="772"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唐山中厚板材有限公司</w:t>
                  </w:r>
                </w:p>
              </w:tc>
              <w:tc>
                <w:tcPr>
                  <w:tcW w:w="80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kern w:val="2"/>
                      <w:sz w:val="21"/>
                      <w:szCs w:val="21"/>
                      <w:highlight w:val="none"/>
                      <w:lang w:val="en-US" w:eastAsia="zh-CN" w:bidi="ar-SA"/>
                    </w:rPr>
                    <w:t>钢铁</w:t>
                  </w:r>
                </w:p>
              </w:tc>
              <w:tc>
                <w:tcPr>
                  <w:tcW w:w="127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default" w:ascii="Times New Roman" w:hAnsi="Times New Roman" w:eastAsia="宋体" w:cs="Times New Roman"/>
                      <w:color w:val="auto"/>
                      <w:sz w:val="21"/>
                      <w:szCs w:val="21"/>
                      <w:highlight w:val="none"/>
                      <w:lang w:val="en-US" w:eastAsia="zh-CN"/>
                    </w:rPr>
                    <w:t>500万吨</w:t>
                  </w:r>
                </w:p>
              </w:tc>
              <w:tc>
                <w:tcPr>
                  <w:tcW w:w="166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铁矿石</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47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5</w:t>
                  </w:r>
                </w:p>
              </w:tc>
              <w:tc>
                <w:tcPr>
                  <w:tcW w:w="772"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河北天柱钢铁集团有限公司</w:t>
                  </w:r>
                </w:p>
              </w:tc>
              <w:tc>
                <w:tcPr>
                  <w:tcW w:w="806"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Cs/>
                      <w:color w:val="auto"/>
                      <w:sz w:val="21"/>
                      <w:szCs w:val="21"/>
                      <w:highlight w:val="none"/>
                      <w:vertAlign w:val="baseline"/>
                      <w:lang w:eastAsia="zh-CN"/>
                    </w:rPr>
                  </w:pPr>
                  <w:r>
                    <w:rPr>
                      <w:rFonts w:hint="default" w:ascii="Times New Roman" w:hAnsi="Times New Roman" w:eastAsia="宋体" w:cs="Times New Roman"/>
                      <w:bCs/>
                      <w:color w:val="auto"/>
                      <w:sz w:val="21"/>
                      <w:szCs w:val="21"/>
                      <w:highlight w:val="none"/>
                      <w:vertAlign w:val="baseline"/>
                      <w:lang w:eastAsia="zh-CN"/>
                    </w:rPr>
                    <w:t>铁水、粗钢、型钢</w:t>
                  </w:r>
                </w:p>
              </w:tc>
              <w:tc>
                <w:tcPr>
                  <w:tcW w:w="127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835万吨</w:t>
                  </w:r>
                </w:p>
              </w:tc>
              <w:tc>
                <w:tcPr>
                  <w:tcW w:w="166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铁矿石</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eastAsia="zh-CN"/>
              </w:rPr>
            </w:pPr>
            <w:r>
              <w:rPr>
                <w:rFonts w:hint="eastAsia" w:ascii="Times New Roman" w:hAnsi="Times New Roman" w:eastAsia="宋体" w:cs="Times New Roman"/>
                <w:color w:val="auto"/>
                <w:sz w:val="24"/>
                <w:szCs w:val="24"/>
                <w:highlight w:val="none"/>
                <w:lang w:val="en-US" w:eastAsia="zh-CN"/>
              </w:rPr>
              <w:t>结合以上钢铁企业、焦化企业运输需求和本项目工程条件等，预计本项目达产年铁矿石输送量为1700万t，焦煤为350万t。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（9）项目运输物料来源保障</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eastAsia="zh-CN"/>
              </w:rPr>
            </w:pPr>
            <w:r>
              <w:rPr>
                <w:rFonts w:ascii="Times New Roman" w:hAnsi="Times New Roman" w:eastAsia="宋体" w:cs="Times New Roman"/>
                <w:color w:val="auto"/>
                <w:sz w:val="24"/>
                <w:szCs w:val="24"/>
                <w:highlight w:val="none"/>
              </w:rPr>
              <w:t>（</w:t>
            </w:r>
            <w:r>
              <w:rPr>
                <w:rFonts w:hint="eastAsia" w:ascii="Times New Roman" w:hAnsi="Times New Roman" w:eastAsia="宋体" w:cs="Times New Roman"/>
                <w:color w:val="auto"/>
                <w:sz w:val="24"/>
                <w:szCs w:val="24"/>
                <w:highlight w:val="none"/>
                <w:lang w:val="en-US" w:eastAsia="zh-CN"/>
              </w:rPr>
              <w:t>10</w:t>
            </w:r>
            <w:r>
              <w:rPr>
                <w:rFonts w:ascii="Times New Roman" w:hAnsi="Times New Roman" w:eastAsia="宋体" w:cs="Times New Roman"/>
                <w:color w:val="auto"/>
                <w:sz w:val="24"/>
                <w:szCs w:val="24"/>
                <w:highlight w:val="none"/>
              </w:rPr>
              <w:t>）</w:t>
            </w:r>
            <w:r>
              <w:rPr>
                <w:rFonts w:hint="eastAsia" w:ascii="Times New Roman" w:hAnsi="Times New Roman" w:eastAsia="宋体" w:cs="Times New Roman"/>
                <w:color w:val="auto"/>
                <w:sz w:val="24"/>
                <w:szCs w:val="24"/>
                <w:highlight w:val="none"/>
                <w:lang w:eastAsia="zh-CN"/>
              </w:rPr>
              <w:t>工程原材料及能源消耗一览表，见表</w:t>
            </w:r>
          </w:p>
          <w:p>
            <w:pPr>
              <w:keepNext w:val="0"/>
              <w:keepLines w:val="0"/>
              <w:suppressLineNumbers w:val="0"/>
              <w:spacing w:before="0" w:beforeAutospacing="0" w:after="0" w:afterAutospacing="0" w:line="520" w:lineRule="exact"/>
              <w:ind w:left="0" w:right="0" w:firstLine="422" w:firstLineChars="200"/>
              <w:jc w:val="center"/>
              <w:rPr>
                <w:rFonts w:ascii="Times New Roman" w:hAnsi="Times New Roman" w:eastAsia="宋体" w:cs="Times New Roman"/>
                <w:b/>
                <w:color w:val="auto"/>
                <w:highlight w:val="none"/>
              </w:rPr>
            </w:pPr>
            <w:r>
              <w:rPr>
                <w:rFonts w:ascii="Times New Roman" w:hAnsi="Times New Roman" w:eastAsia="宋体" w:cs="Times New Roman"/>
                <w:b/>
                <w:color w:val="auto"/>
                <w:highlight w:val="none"/>
              </w:rPr>
              <w:t>表</w:t>
            </w:r>
            <w:r>
              <w:rPr>
                <w:rFonts w:hint="eastAsia" w:ascii="Times New Roman" w:hAnsi="Times New Roman" w:eastAsia="宋体" w:cs="Times New Roman"/>
                <w:b/>
                <w:color w:val="auto"/>
                <w:highlight w:val="none"/>
              </w:rPr>
              <w:t>2-</w:t>
            </w:r>
            <w:r>
              <w:rPr>
                <w:rFonts w:hint="eastAsia" w:ascii="Times New Roman" w:hAnsi="Times New Roman" w:eastAsia="宋体" w:cs="Times New Roman"/>
                <w:b/>
                <w:color w:val="auto"/>
                <w:highlight w:val="none"/>
                <w:lang w:val="en-US" w:eastAsia="zh-CN"/>
              </w:rPr>
              <w:t>6</w:t>
            </w:r>
            <w:r>
              <w:rPr>
                <w:rFonts w:ascii="Times New Roman" w:hAnsi="Times New Roman" w:eastAsia="宋体" w:cs="Times New Roman"/>
                <w:b/>
                <w:color w:val="auto"/>
                <w:highlight w:val="none"/>
              </w:rPr>
              <w:t xml:space="preserve">   建设项目原辅材料及能源消耗一览表</w:t>
            </w:r>
          </w:p>
          <w:tbl>
            <w:tblPr>
              <w:tblStyle w:val="27"/>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Layout w:type="autofit"/>
              <w:tblCellMar>
                <w:top w:w="0" w:type="dxa"/>
                <w:left w:w="108" w:type="dxa"/>
                <w:bottom w:w="0" w:type="dxa"/>
                <w:right w:w="108" w:type="dxa"/>
              </w:tblCellMar>
            </w:tblPr>
            <w:tblGrid>
              <w:gridCol w:w="786"/>
              <w:gridCol w:w="1189"/>
              <w:gridCol w:w="1286"/>
              <w:gridCol w:w="1261"/>
              <w:gridCol w:w="367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207" w:hRule="atLeast"/>
                <w:tblHeader/>
                <w:jc w:val="center"/>
              </w:trPr>
              <w:tc>
                <w:tcPr>
                  <w:tcW w:w="479" w:type="pct"/>
                  <w:tcBorders>
                    <w:tl2br w:val="nil"/>
                    <w:tr2bl w:val="nil"/>
                  </w:tcBorders>
                  <w:noWrap w:val="0"/>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0" w:lineRule="atLeast"/>
                    <w:ind w:left="0" w:right="0"/>
                    <w:jc w:val="center"/>
                    <w:textAlignment w:val="auto"/>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序号</w:t>
                  </w:r>
                </w:p>
              </w:tc>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0" w:lineRule="atLeast"/>
                    <w:ind w:left="0" w:right="0"/>
                    <w:jc w:val="center"/>
                    <w:textAlignment w:val="auto"/>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名称</w:t>
                  </w:r>
                </w:p>
              </w:tc>
              <w:tc>
                <w:tcPr>
                  <w:tcW w:w="784" w:type="pct"/>
                  <w:tcBorders>
                    <w:tl2br w:val="nil"/>
                    <w:tr2bl w:val="nil"/>
                  </w:tcBorders>
                  <w:noWrap w:val="0"/>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0" w:lineRule="atLeast"/>
                    <w:ind w:left="0" w:right="0"/>
                    <w:jc w:val="center"/>
                    <w:textAlignment w:val="auto"/>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单位</w:t>
                  </w:r>
                </w:p>
              </w:tc>
              <w:tc>
                <w:tcPr>
                  <w:tcW w:w="769" w:type="pct"/>
                  <w:tcBorders>
                    <w:tl2br w:val="nil"/>
                    <w:tr2bl w:val="nil"/>
                  </w:tcBorders>
                  <w:noWrap w:val="0"/>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0" w:lineRule="atLeast"/>
                    <w:ind w:left="0" w:right="0"/>
                    <w:jc w:val="center"/>
                    <w:textAlignment w:val="auto"/>
                    <w:rPr>
                      <w:rFonts w:hint="default" w:ascii="Times New Roman" w:hAnsi="Times New Roman" w:eastAsia="宋体" w:cs="Times New Roman"/>
                      <w:b/>
                      <w:color w:val="auto"/>
                      <w:spacing w:val="6"/>
                      <w:sz w:val="21"/>
                      <w:szCs w:val="21"/>
                      <w:highlight w:val="none"/>
                      <w:lang w:eastAsia="zh-CN"/>
                    </w:rPr>
                  </w:pPr>
                  <w:r>
                    <w:rPr>
                      <w:rFonts w:hint="default" w:ascii="Times New Roman" w:hAnsi="Times New Roman" w:eastAsia="宋体" w:cs="Times New Roman"/>
                      <w:b/>
                      <w:color w:val="auto"/>
                      <w:spacing w:val="6"/>
                      <w:sz w:val="21"/>
                      <w:szCs w:val="21"/>
                      <w:highlight w:val="none"/>
                      <w:lang w:eastAsia="zh-CN"/>
                    </w:rPr>
                    <w:t>年用量</w:t>
                  </w:r>
                </w:p>
              </w:tc>
              <w:tc>
                <w:tcPr>
                  <w:tcW w:w="2242" w:type="pct"/>
                  <w:tcBorders>
                    <w:tl2br w:val="nil"/>
                    <w:tr2bl w:val="nil"/>
                  </w:tcBorders>
                  <w:noWrap w:val="0"/>
                  <w:vAlign w:val="center"/>
                </w:tcPr>
                <w:p>
                  <w:pPr>
                    <w:keepNext w:val="0"/>
                    <w:keepLines w:val="0"/>
                    <w:pageBreakBefore w:val="0"/>
                    <w:widowControl w:val="0"/>
                    <w:suppressLineNumbers w:val="0"/>
                    <w:kinsoku/>
                    <w:wordWrap/>
                    <w:overflowPunct/>
                    <w:topLinePunct w:val="0"/>
                    <w:bidi w:val="0"/>
                    <w:adjustRightInd w:val="0"/>
                    <w:snapToGrid w:val="0"/>
                    <w:spacing w:before="0" w:beforeAutospacing="0" w:after="0" w:afterAutospacing="0" w:line="0" w:lineRule="atLeast"/>
                    <w:ind w:left="0" w:right="0"/>
                    <w:jc w:val="center"/>
                    <w:textAlignment w:val="auto"/>
                    <w:rPr>
                      <w:rFonts w:hint="default" w:ascii="Times New Roman" w:hAnsi="Times New Roman" w:eastAsia="宋体" w:cs="Times New Roman"/>
                      <w:b/>
                      <w:color w:val="auto"/>
                      <w:spacing w:val="6"/>
                      <w:kern w:val="2"/>
                      <w:sz w:val="21"/>
                      <w:szCs w:val="21"/>
                      <w:highlight w:val="none"/>
                      <w:lang w:val="en-US" w:eastAsia="zh-CN" w:bidi="ar-SA"/>
                    </w:rPr>
                  </w:pPr>
                  <w:r>
                    <w:rPr>
                      <w:rFonts w:hint="default" w:ascii="Times New Roman" w:hAnsi="Times New Roman" w:eastAsia="宋体" w:cs="Times New Roman"/>
                      <w:b/>
                      <w:color w:val="auto"/>
                      <w:spacing w:val="6"/>
                      <w:sz w:val="21"/>
                      <w:szCs w:val="21"/>
                      <w:highlight w:val="none"/>
                    </w:rPr>
                    <w:t>备注（规格）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0" w:hRule="atLeast"/>
                <w:jc w:val="center"/>
              </w:trPr>
              <w:tc>
                <w:tcPr>
                  <w:tcW w:w="47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rPr>
                    <w:t>1</w:t>
                  </w:r>
                </w:p>
              </w:tc>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铁矿石</w:t>
                  </w:r>
                </w:p>
              </w:tc>
              <w:tc>
                <w:tcPr>
                  <w:tcW w:w="78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万吨/年</w:t>
                  </w:r>
                </w:p>
              </w:tc>
              <w:tc>
                <w:tcPr>
                  <w:tcW w:w="769"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1700</w:t>
                  </w:r>
                </w:p>
              </w:tc>
              <w:tc>
                <w:tcPr>
                  <w:tcW w:w="22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bidi="ar-SA"/>
                    </w:rPr>
                  </w:pPr>
                  <w:r>
                    <w:rPr>
                      <w:rFonts w:hint="default" w:ascii="Times New Roman" w:hAnsi="Times New Roman" w:eastAsia="宋体" w:cs="Times New Roman"/>
                      <w:color w:val="auto"/>
                      <w:kern w:val="0"/>
                      <w:sz w:val="21"/>
                      <w:szCs w:val="21"/>
                      <w:highlight w:val="none"/>
                      <w:lang w:val="en-US" w:eastAsia="zh-CN" w:bidi="ar-SA"/>
                    </w:rPr>
                    <w:t>51#、52#泊位</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0" w:hRule="atLeast"/>
                <w:jc w:val="center"/>
              </w:trPr>
              <w:tc>
                <w:tcPr>
                  <w:tcW w:w="47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2</w:t>
                  </w:r>
                </w:p>
              </w:tc>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焦炭</w:t>
                  </w:r>
                </w:p>
              </w:tc>
              <w:tc>
                <w:tcPr>
                  <w:tcW w:w="78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万吨/年</w:t>
                  </w:r>
                </w:p>
              </w:tc>
              <w:tc>
                <w:tcPr>
                  <w:tcW w:w="769"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kern w:val="0"/>
                      <w:sz w:val="21"/>
                      <w:szCs w:val="21"/>
                      <w:highlight w:val="none"/>
                      <w:lang w:val="en-US"/>
                    </w:rPr>
                  </w:pPr>
                  <w:r>
                    <w:rPr>
                      <w:rFonts w:hint="default" w:ascii="Times New Roman" w:hAnsi="Times New Roman" w:eastAsia="宋体" w:cs="Times New Roman"/>
                      <w:i w:val="0"/>
                      <w:iCs w:val="0"/>
                      <w:color w:val="auto"/>
                      <w:kern w:val="0"/>
                      <w:sz w:val="21"/>
                      <w:szCs w:val="21"/>
                      <w:u w:val="none"/>
                      <w:lang w:val="en-US" w:eastAsia="zh-CN" w:bidi="ar"/>
                    </w:rPr>
                    <w:t>350</w:t>
                  </w:r>
                </w:p>
              </w:tc>
              <w:tc>
                <w:tcPr>
                  <w:tcW w:w="22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bidi="ar-SA"/>
                    </w:rPr>
                  </w:pPr>
                  <w:r>
                    <w:rPr>
                      <w:rFonts w:hint="default" w:ascii="Times New Roman" w:hAnsi="Times New Roman" w:eastAsia="宋体" w:cs="Times New Roman"/>
                      <w:color w:val="auto"/>
                      <w:kern w:val="0"/>
                      <w:sz w:val="21"/>
                      <w:szCs w:val="21"/>
                      <w:highlight w:val="none"/>
                      <w:lang w:val="zh-CN" w:eastAsia="zh-CN" w:bidi="ar-SA"/>
                    </w:rPr>
                    <w:t>36</w:t>
                  </w:r>
                  <w:r>
                    <w:rPr>
                      <w:rFonts w:hint="default" w:ascii="Times New Roman" w:hAnsi="Times New Roman" w:eastAsia="宋体" w:cs="Times New Roman"/>
                      <w:color w:val="auto"/>
                      <w:kern w:val="0"/>
                      <w:sz w:val="21"/>
                      <w:szCs w:val="21"/>
                      <w:highlight w:val="none"/>
                      <w:lang w:val="en-US" w:eastAsia="zh-CN" w:bidi="ar-SA"/>
                    </w:rPr>
                    <w:t>#</w:t>
                  </w:r>
                  <w:r>
                    <w:rPr>
                      <w:rFonts w:hint="default" w:ascii="Times New Roman" w:hAnsi="Times New Roman" w:eastAsia="宋体" w:cs="Times New Roman"/>
                      <w:color w:val="auto"/>
                      <w:kern w:val="0"/>
                      <w:sz w:val="21"/>
                      <w:szCs w:val="21"/>
                      <w:highlight w:val="none"/>
                      <w:lang w:val="zh-CN" w:eastAsia="zh-CN" w:bidi="ar-SA"/>
                    </w:rPr>
                    <w:t>、37</w:t>
                  </w:r>
                  <w:r>
                    <w:rPr>
                      <w:rFonts w:hint="default" w:ascii="Times New Roman" w:hAnsi="Times New Roman" w:eastAsia="宋体" w:cs="Times New Roman"/>
                      <w:color w:val="auto"/>
                      <w:kern w:val="0"/>
                      <w:sz w:val="21"/>
                      <w:szCs w:val="21"/>
                      <w:highlight w:val="none"/>
                      <w:lang w:val="en-US" w:eastAsia="zh-CN" w:bidi="ar-SA"/>
                    </w:rPr>
                    <w:t>#</w:t>
                  </w:r>
                  <w:r>
                    <w:rPr>
                      <w:rFonts w:hint="default" w:ascii="Times New Roman" w:hAnsi="Times New Roman" w:eastAsia="宋体" w:cs="Times New Roman"/>
                      <w:color w:val="auto"/>
                      <w:kern w:val="0"/>
                      <w:sz w:val="21"/>
                      <w:szCs w:val="21"/>
                      <w:highlight w:val="none"/>
                      <w:lang w:val="zh-CN" w:eastAsia="zh-CN" w:bidi="ar-SA"/>
                    </w:rPr>
                    <w:t>泊位</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212" w:hRule="atLeast"/>
                <w:jc w:val="center"/>
              </w:trPr>
              <w:tc>
                <w:tcPr>
                  <w:tcW w:w="47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3</w:t>
                  </w:r>
                </w:p>
              </w:tc>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润滑油</w:t>
                  </w:r>
                </w:p>
              </w:tc>
              <w:tc>
                <w:tcPr>
                  <w:tcW w:w="78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吨/年</w:t>
                  </w:r>
                </w:p>
              </w:tc>
              <w:tc>
                <w:tcPr>
                  <w:tcW w:w="7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1</w:t>
                  </w:r>
                </w:p>
              </w:tc>
              <w:tc>
                <w:tcPr>
                  <w:tcW w:w="224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bidi="ar-SA"/>
                    </w:rPr>
                  </w:pPr>
                  <w:r>
                    <w:rPr>
                      <w:rFonts w:hint="default" w:ascii="Times New Roman" w:hAnsi="Times New Roman" w:eastAsia="宋体" w:cs="Times New Roman"/>
                      <w:color w:val="auto"/>
                      <w:kern w:val="0"/>
                      <w:sz w:val="21"/>
                      <w:szCs w:val="21"/>
                      <w:highlight w:val="none"/>
                      <w:lang w:val="zh-CN" w:eastAsia="zh-CN" w:bidi="ar-SA"/>
                    </w:rPr>
                    <w:t>存于既有</w:t>
                  </w:r>
                  <w:r>
                    <w:rPr>
                      <w:rFonts w:hint="default" w:ascii="Times New Roman" w:hAnsi="Times New Roman" w:eastAsia="宋体" w:cs="Times New Roman"/>
                      <w:color w:val="auto"/>
                      <w:kern w:val="0"/>
                      <w:sz w:val="21"/>
                      <w:szCs w:val="21"/>
                      <w:highlight w:val="none"/>
                      <w:lang w:val="en-US" w:eastAsia="zh-CN" w:bidi="ar-SA"/>
                    </w:rPr>
                    <w:t>配件库内</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291" w:hRule="atLeast"/>
                <w:jc w:val="center"/>
              </w:trPr>
              <w:tc>
                <w:tcPr>
                  <w:tcW w:w="47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4</w:t>
                  </w:r>
                </w:p>
              </w:tc>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机油</w:t>
                  </w:r>
                </w:p>
              </w:tc>
              <w:tc>
                <w:tcPr>
                  <w:tcW w:w="78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吨/年</w:t>
                  </w:r>
                </w:p>
              </w:tc>
              <w:tc>
                <w:tcPr>
                  <w:tcW w:w="7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1</w:t>
                  </w:r>
                </w:p>
              </w:tc>
              <w:tc>
                <w:tcPr>
                  <w:tcW w:w="224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eastAsia="zh-CN" w:bidi="ar-SA"/>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0" w:hRule="atLeast"/>
                <w:jc w:val="center"/>
              </w:trPr>
              <w:tc>
                <w:tcPr>
                  <w:tcW w:w="47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5</w:t>
                  </w:r>
                </w:p>
              </w:tc>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水</w:t>
                  </w:r>
                </w:p>
              </w:tc>
              <w:tc>
                <w:tcPr>
                  <w:tcW w:w="78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吨/年</w:t>
                  </w:r>
                </w:p>
              </w:tc>
              <w:tc>
                <w:tcPr>
                  <w:tcW w:w="7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yellow"/>
                      <w:lang w:val="en-US" w:eastAsia="zh-CN"/>
                    </w:rPr>
                  </w:pPr>
                  <w:r>
                    <w:rPr>
                      <w:rFonts w:hint="eastAsia" w:ascii="Times New Roman" w:hAnsi="Times New Roman" w:cs="Times New Roman"/>
                      <w:color w:val="auto"/>
                      <w:kern w:val="0"/>
                      <w:sz w:val="21"/>
                      <w:szCs w:val="21"/>
                      <w:highlight w:val="none"/>
                      <w:lang w:val="en-US" w:eastAsia="zh-CN"/>
                    </w:rPr>
                    <w:t>8249.85</w:t>
                  </w:r>
                </w:p>
              </w:tc>
              <w:tc>
                <w:tcPr>
                  <w:tcW w:w="22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eastAsia="zh-CN" w:bidi="ar-SA"/>
                    </w:rPr>
                  </w:pPr>
                  <w:r>
                    <w:rPr>
                      <w:rFonts w:hint="default" w:ascii="Times New Roman" w:hAnsi="Times New Roman" w:eastAsia="宋体" w:cs="Times New Roman"/>
                      <w:color w:val="auto"/>
                      <w:kern w:val="0"/>
                      <w:sz w:val="21"/>
                      <w:szCs w:val="21"/>
                      <w:highlight w:val="none"/>
                      <w:lang w:val="zh-CN"/>
                    </w:rPr>
                    <w:t>由园区管网供应</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0" w:hRule="atLeast"/>
                <w:jc w:val="center"/>
              </w:trPr>
              <w:tc>
                <w:tcPr>
                  <w:tcW w:w="47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default" w:ascii="Times New Roman" w:hAnsi="Times New Roman" w:eastAsia="宋体" w:cs="Times New Roman"/>
                      <w:color w:val="auto"/>
                      <w:kern w:val="0"/>
                      <w:sz w:val="21"/>
                      <w:szCs w:val="21"/>
                      <w:highlight w:val="none"/>
                      <w:lang w:val="en-US" w:eastAsia="zh-CN"/>
                    </w:rPr>
                    <w:t>6</w:t>
                  </w:r>
                </w:p>
              </w:tc>
              <w:tc>
                <w:tcPr>
                  <w:tcW w:w="72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电</w:t>
                  </w:r>
                </w:p>
              </w:tc>
              <w:tc>
                <w:tcPr>
                  <w:tcW w:w="78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rPr>
                  </w:pPr>
                  <w:r>
                    <w:rPr>
                      <w:rFonts w:hint="default" w:ascii="Times New Roman" w:hAnsi="Times New Roman" w:eastAsia="宋体" w:cs="Times New Roman"/>
                      <w:color w:val="auto"/>
                      <w:kern w:val="0"/>
                      <w:sz w:val="21"/>
                      <w:szCs w:val="21"/>
                      <w:highlight w:val="none"/>
                      <w:lang w:val="zh-CN"/>
                    </w:rPr>
                    <w:t>万kwh/a</w:t>
                  </w:r>
                </w:p>
              </w:tc>
              <w:tc>
                <w:tcPr>
                  <w:tcW w:w="7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yellow"/>
                      <w:lang w:val="en-US" w:eastAsia="zh-CN"/>
                    </w:rPr>
                  </w:pPr>
                  <w:r>
                    <w:rPr>
                      <w:rFonts w:hint="default" w:ascii="Times New Roman" w:hAnsi="Times New Roman" w:eastAsia="宋体" w:cs="Times New Roman"/>
                      <w:color w:val="auto"/>
                      <w:kern w:val="0"/>
                      <w:sz w:val="21"/>
                      <w:szCs w:val="21"/>
                      <w:highlight w:val="none"/>
                      <w:lang w:val="en-US" w:eastAsia="zh-CN"/>
                    </w:rPr>
                    <w:t>6000</w:t>
                  </w:r>
                </w:p>
              </w:tc>
              <w:tc>
                <w:tcPr>
                  <w:tcW w:w="2242"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val="0"/>
                    <w:autoSpaceDN w:val="0"/>
                    <w:bidi w:val="0"/>
                    <w:adjustRightIn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zh-CN" w:eastAsia="zh-CN" w:bidi="ar-SA"/>
                    </w:rPr>
                  </w:pPr>
                  <w:r>
                    <w:rPr>
                      <w:rFonts w:hint="default" w:ascii="Times New Roman" w:hAnsi="Times New Roman" w:eastAsia="宋体" w:cs="Times New Roman"/>
                      <w:color w:val="auto"/>
                      <w:kern w:val="0"/>
                      <w:sz w:val="21"/>
                      <w:szCs w:val="21"/>
                      <w:highlight w:val="none"/>
                      <w:lang w:val="zh-CN"/>
                    </w:rPr>
                    <w:t>由园区电网供应</w:t>
                  </w:r>
                </w:p>
              </w:tc>
            </w:tr>
          </w:tbl>
          <w:p>
            <w:pPr>
              <w:pStyle w:val="67"/>
              <w:keepNext w:val="0"/>
              <w:keepLines w:val="0"/>
              <w:pageBreakBefore w:val="0"/>
              <w:widowControl/>
              <w:kinsoku/>
              <w:wordWrap/>
              <w:overflowPunct/>
              <w:topLinePunct w:val="0"/>
              <w:autoSpaceDE/>
              <w:autoSpaceDN/>
              <w:bidi w:val="0"/>
              <w:spacing w:line="500" w:lineRule="exact"/>
              <w:ind w:firstLine="420"/>
              <w:textAlignment w:val="auto"/>
              <w:rPr>
                <w:rFonts w:cs="Times New Roman"/>
                <w:color w:val="auto"/>
                <w:sz w:val="24"/>
                <w:szCs w:val="24"/>
                <w:highlight w:val="none"/>
              </w:rPr>
            </w:pPr>
            <w:r>
              <w:rPr>
                <w:rFonts w:cs="Times New Roman"/>
                <w:color w:val="auto"/>
                <w:sz w:val="24"/>
                <w:szCs w:val="24"/>
                <w:highlight w:val="none"/>
              </w:rPr>
              <w:t>（</w:t>
            </w:r>
            <w:r>
              <w:rPr>
                <w:rFonts w:hint="eastAsia" w:cs="Times New Roman"/>
                <w:color w:val="auto"/>
                <w:sz w:val="24"/>
                <w:szCs w:val="24"/>
                <w:highlight w:val="none"/>
                <w:lang w:val="en-US" w:eastAsia="zh-CN"/>
              </w:rPr>
              <w:t>11</w:t>
            </w:r>
            <w:r>
              <w:rPr>
                <w:rFonts w:cs="Times New Roman"/>
                <w:color w:val="auto"/>
                <w:sz w:val="24"/>
                <w:szCs w:val="24"/>
                <w:highlight w:val="none"/>
              </w:rPr>
              <w:t>）</w:t>
            </w:r>
            <w:r>
              <w:rPr>
                <w:rFonts w:cs="Times New Roman"/>
                <w:snapToGrid w:val="0"/>
                <w:color w:val="auto"/>
                <w:sz w:val="24"/>
                <w:szCs w:val="24"/>
                <w:highlight w:val="none"/>
              </w:rPr>
              <w:t>本</w:t>
            </w:r>
            <w:r>
              <w:rPr>
                <w:rFonts w:cs="Times New Roman"/>
                <w:color w:val="auto"/>
                <w:kern w:val="24"/>
                <w:sz w:val="24"/>
                <w:szCs w:val="24"/>
                <w:highlight w:val="none"/>
              </w:rPr>
              <w:t>项目</w:t>
            </w:r>
            <w:r>
              <w:rPr>
                <w:rFonts w:cs="Times New Roman"/>
                <w:snapToGrid w:val="0"/>
                <w:color w:val="auto"/>
                <w:sz w:val="24"/>
                <w:szCs w:val="24"/>
                <w:highlight w:val="none"/>
              </w:rPr>
              <w:t>主要设备一览表见表</w:t>
            </w:r>
            <w:r>
              <w:rPr>
                <w:rFonts w:hint="eastAsia" w:cs="Times New Roman"/>
                <w:snapToGrid w:val="0"/>
                <w:color w:val="auto"/>
                <w:sz w:val="24"/>
                <w:szCs w:val="24"/>
                <w:highlight w:val="none"/>
              </w:rPr>
              <w:t>2-</w:t>
            </w:r>
            <w:r>
              <w:rPr>
                <w:rFonts w:hint="eastAsia" w:cs="Times New Roman"/>
                <w:snapToGrid w:val="0"/>
                <w:color w:val="auto"/>
                <w:sz w:val="24"/>
                <w:szCs w:val="24"/>
                <w:highlight w:val="none"/>
                <w:lang w:val="en-US" w:eastAsia="zh-CN"/>
              </w:rPr>
              <w:t>8</w:t>
            </w:r>
            <w:r>
              <w:rPr>
                <w:rFonts w:cs="Times New Roman"/>
                <w:color w:val="auto"/>
                <w:sz w:val="24"/>
                <w:szCs w:val="24"/>
                <w:highlight w:val="none"/>
              </w:rPr>
              <w:t>。</w:t>
            </w:r>
          </w:p>
          <w:p>
            <w:pPr>
              <w:keepNext w:val="0"/>
              <w:keepLines w:val="0"/>
              <w:suppressLineNumbers w:val="0"/>
              <w:spacing w:before="0" w:beforeAutospacing="0" w:after="0" w:afterAutospacing="0" w:line="240" w:lineRule="auto"/>
              <w:ind w:left="0" w:leftChars="0" w:right="0" w:rightChars="0" w:firstLine="0" w:firstLineChars="0"/>
              <w:jc w:val="center"/>
              <w:rPr>
                <w:rFonts w:ascii="Times New Roman" w:hAnsi="Times New Roman" w:eastAsia="宋体" w:cs="Times New Roman"/>
                <w:b/>
                <w:color w:val="auto"/>
                <w:highlight w:val="none"/>
              </w:rPr>
            </w:pPr>
            <w:r>
              <w:rPr>
                <w:rFonts w:ascii="Times New Roman" w:hAnsi="Times New Roman" w:eastAsia="宋体" w:cs="Times New Roman"/>
                <w:b/>
                <w:color w:val="auto"/>
                <w:highlight w:val="none"/>
              </w:rPr>
              <w:t>表</w:t>
            </w:r>
            <w:r>
              <w:rPr>
                <w:rFonts w:hint="eastAsia" w:ascii="Times New Roman" w:hAnsi="Times New Roman" w:eastAsia="宋体" w:cs="Times New Roman"/>
                <w:b/>
                <w:color w:val="auto"/>
                <w:highlight w:val="none"/>
              </w:rPr>
              <w:t>2-</w:t>
            </w:r>
            <w:r>
              <w:rPr>
                <w:rFonts w:hint="eastAsia" w:ascii="Times New Roman" w:hAnsi="Times New Roman" w:eastAsia="宋体" w:cs="Times New Roman"/>
                <w:b/>
                <w:color w:val="auto"/>
                <w:highlight w:val="none"/>
                <w:lang w:val="en-US" w:eastAsia="zh-CN"/>
              </w:rPr>
              <w:t>8</w:t>
            </w:r>
            <w:r>
              <w:rPr>
                <w:rFonts w:ascii="Times New Roman" w:hAnsi="Times New Roman" w:eastAsia="宋体" w:cs="Times New Roman"/>
                <w:b/>
                <w:color w:val="auto"/>
                <w:highlight w:val="none"/>
              </w:rPr>
              <w:t xml:space="preserve">   主要设备设施一览表</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632"/>
              <w:gridCol w:w="1961"/>
              <w:gridCol w:w="914"/>
              <w:gridCol w:w="3467"/>
              <w:gridCol w:w="1229"/>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38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序号</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设备名称</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数量</w:t>
                  </w:r>
                </w:p>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（台）</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设备型号</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color w:val="auto"/>
                      <w:spacing w:val="6"/>
                      <w:sz w:val="21"/>
                      <w:szCs w:val="21"/>
                      <w:highlight w:val="none"/>
                    </w:rPr>
                  </w:pPr>
                  <w:r>
                    <w:rPr>
                      <w:rFonts w:hint="default" w:ascii="Times New Roman" w:hAnsi="Times New Roman" w:eastAsia="宋体" w:cs="Times New Roman"/>
                      <w:b/>
                      <w:color w:val="auto"/>
                      <w:spacing w:val="6"/>
                      <w:sz w:val="21"/>
                      <w:szCs w:val="21"/>
                      <w:highlight w:val="none"/>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604"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b w:val="0"/>
                      <w:bCs/>
                      <w:color w:val="auto"/>
                      <w:spacing w:val="6"/>
                      <w:sz w:val="21"/>
                      <w:szCs w:val="21"/>
                      <w:highlight w:val="none"/>
                    </w:rPr>
                  </w:pPr>
                  <w:r>
                    <w:rPr>
                      <w:rFonts w:hint="default" w:ascii="Times New Roman" w:hAnsi="Times New Roman" w:eastAsia="宋体" w:cs="Times New Roman"/>
                      <w:b w:val="0"/>
                      <w:bCs/>
                      <w:color w:val="auto"/>
                      <w:spacing w:val="6"/>
                      <w:kern w:val="2"/>
                      <w:sz w:val="21"/>
                      <w:szCs w:val="21"/>
                      <w:lang w:val="en-US" w:eastAsia="zh-CN" w:bidi="ar-SA"/>
                    </w:rPr>
                    <w:t>1</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i w:val="0"/>
                      <w:iCs w:val="0"/>
                      <w:color w:val="auto"/>
                      <w:kern w:val="0"/>
                      <w:sz w:val="21"/>
                      <w:szCs w:val="21"/>
                      <w:u w:val="none"/>
                      <w:lang w:val="en-US" w:eastAsia="zh-CN" w:bidi="ar"/>
                    </w:rPr>
                    <w:t>BG1-1管带机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3600t/h，管径0.5m，</w:t>
                  </w:r>
                  <w:r>
                    <w:rPr>
                      <w:rFonts w:hint="eastAsia" w:ascii="Times New Roman" w:hAnsi="Times New Roman" w:eastAsia="宋体" w:cs="Times New Roman"/>
                      <w:b w:val="0"/>
                      <w:bCs/>
                      <w:color w:val="auto"/>
                      <w:spacing w:val="6"/>
                      <w:sz w:val="21"/>
                      <w:szCs w:val="21"/>
                      <w:highlight w:val="none"/>
                      <w:lang w:val="en-US" w:eastAsia="zh-CN"/>
                    </w:rPr>
                    <w:t>带宽1850mm，</w:t>
                  </w:r>
                  <w:r>
                    <w:rPr>
                      <w:rFonts w:hint="default" w:ascii="Times New Roman" w:hAnsi="Times New Roman" w:eastAsia="宋体" w:cs="Times New Roman"/>
                      <w:b w:val="0"/>
                      <w:bCs/>
                      <w:color w:val="auto"/>
                      <w:spacing w:val="6"/>
                      <w:sz w:val="21"/>
                      <w:szCs w:val="21"/>
                      <w:highlight w:val="none"/>
                      <w:lang w:val="en-US" w:eastAsia="zh-CN"/>
                    </w:rPr>
                    <w:t>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lang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b w:val="0"/>
                      <w:bCs/>
                      <w:color w:val="auto"/>
                      <w:spacing w:val="6"/>
                      <w:sz w:val="21"/>
                      <w:szCs w:val="21"/>
                      <w:highlight w:val="none"/>
                    </w:rPr>
                  </w:pPr>
                  <w:r>
                    <w:rPr>
                      <w:rFonts w:hint="default" w:ascii="Times New Roman" w:hAnsi="Times New Roman" w:eastAsia="宋体" w:cs="Times New Roman"/>
                      <w:b w:val="0"/>
                      <w:bCs/>
                      <w:color w:val="auto"/>
                      <w:spacing w:val="6"/>
                      <w:kern w:val="2"/>
                      <w:sz w:val="21"/>
                      <w:szCs w:val="21"/>
                      <w:lang w:val="en-US" w:eastAsia="zh-CN" w:bidi="ar-SA"/>
                    </w:rPr>
                    <w:t>2</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i w:val="0"/>
                      <w:iCs w:val="0"/>
                      <w:color w:val="auto"/>
                      <w:kern w:val="0"/>
                      <w:sz w:val="21"/>
                      <w:szCs w:val="21"/>
                      <w:u w:val="none"/>
                      <w:lang w:val="en-US" w:eastAsia="zh-CN" w:bidi="ar"/>
                    </w:rPr>
                    <w:t>BG</w:t>
                  </w:r>
                  <w:r>
                    <w:rPr>
                      <w:rFonts w:hint="eastAsia" w:ascii="Times New Roman" w:hAnsi="Times New Roman" w:eastAsia="宋体" w:cs="Times New Roman"/>
                      <w:b w:val="0"/>
                      <w:bCs/>
                      <w:i w:val="0"/>
                      <w:iCs w:val="0"/>
                      <w:color w:val="auto"/>
                      <w:kern w:val="0"/>
                      <w:sz w:val="21"/>
                      <w:szCs w:val="21"/>
                      <w:u w:val="none"/>
                      <w:lang w:val="en-US" w:eastAsia="zh-CN" w:bidi="ar"/>
                    </w:rPr>
                    <w:t>1-2</w:t>
                  </w:r>
                  <w:r>
                    <w:rPr>
                      <w:rFonts w:hint="default" w:ascii="Times New Roman" w:hAnsi="Times New Roman" w:eastAsia="宋体" w:cs="Times New Roman"/>
                      <w:b w:val="0"/>
                      <w:bCs/>
                      <w:i w:val="0"/>
                      <w:iCs w:val="0"/>
                      <w:color w:val="auto"/>
                      <w:kern w:val="0"/>
                      <w:sz w:val="21"/>
                      <w:szCs w:val="21"/>
                      <w:u w:val="none"/>
                      <w:lang w:val="en-US" w:eastAsia="zh-CN" w:bidi="ar"/>
                    </w:rPr>
                    <w:t>管带机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3600t/h，管径0.5m，</w:t>
                  </w:r>
                  <w:r>
                    <w:rPr>
                      <w:rFonts w:hint="eastAsia" w:ascii="Times New Roman" w:hAnsi="Times New Roman" w:eastAsia="宋体" w:cs="Times New Roman"/>
                      <w:b w:val="0"/>
                      <w:bCs/>
                      <w:color w:val="auto"/>
                      <w:spacing w:val="6"/>
                      <w:sz w:val="21"/>
                      <w:szCs w:val="21"/>
                      <w:highlight w:val="none"/>
                      <w:lang w:val="en-US" w:eastAsia="zh-CN"/>
                    </w:rPr>
                    <w:t>带宽1850mm，</w:t>
                  </w:r>
                  <w:r>
                    <w:rPr>
                      <w:rFonts w:hint="default" w:ascii="Times New Roman" w:hAnsi="Times New Roman" w:eastAsia="宋体" w:cs="Times New Roman"/>
                      <w:b w:val="0"/>
                      <w:bCs/>
                      <w:color w:val="auto"/>
                      <w:spacing w:val="6"/>
                      <w:sz w:val="21"/>
                      <w:szCs w:val="21"/>
                      <w:highlight w:val="none"/>
                      <w:lang w:val="en-US" w:eastAsia="zh-CN"/>
                    </w:rPr>
                    <w:t>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kern w:val="2"/>
                      <w:sz w:val="21"/>
                      <w:szCs w:val="21"/>
                      <w:lang w:val="en-US" w:eastAsia="zh-CN" w:bidi="ar-SA"/>
                    </w:rPr>
                    <w:t>3</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i w:val="0"/>
                      <w:iCs w:val="0"/>
                      <w:color w:val="auto"/>
                      <w:kern w:val="0"/>
                      <w:sz w:val="21"/>
                      <w:szCs w:val="21"/>
                      <w:u w:val="none"/>
                      <w:lang w:val="en-US" w:eastAsia="zh-CN" w:bidi="ar"/>
                    </w:rPr>
                    <w:t>BG</w:t>
                  </w:r>
                  <w:r>
                    <w:rPr>
                      <w:rFonts w:hint="eastAsia" w:ascii="Times New Roman" w:hAnsi="Times New Roman" w:eastAsia="宋体" w:cs="Times New Roman"/>
                      <w:b w:val="0"/>
                      <w:bCs/>
                      <w:i w:val="0"/>
                      <w:iCs w:val="0"/>
                      <w:color w:val="auto"/>
                      <w:kern w:val="0"/>
                      <w:sz w:val="21"/>
                      <w:szCs w:val="21"/>
                      <w:u w:val="none"/>
                      <w:lang w:val="en-US" w:eastAsia="zh-CN" w:bidi="ar"/>
                    </w:rPr>
                    <w:t>2</w:t>
                  </w:r>
                  <w:r>
                    <w:rPr>
                      <w:rFonts w:hint="default" w:ascii="Times New Roman" w:hAnsi="Times New Roman" w:eastAsia="宋体" w:cs="Times New Roman"/>
                      <w:b w:val="0"/>
                      <w:bCs/>
                      <w:i w:val="0"/>
                      <w:iCs w:val="0"/>
                      <w:color w:val="auto"/>
                      <w:kern w:val="0"/>
                      <w:sz w:val="21"/>
                      <w:szCs w:val="21"/>
                      <w:u w:val="none"/>
                      <w:lang w:val="en-US" w:eastAsia="zh-CN" w:bidi="ar"/>
                    </w:rPr>
                    <w:t>-1管带机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3600t/h，管径0.5m，</w:t>
                  </w:r>
                  <w:r>
                    <w:rPr>
                      <w:rFonts w:hint="eastAsia" w:ascii="Times New Roman" w:hAnsi="Times New Roman" w:eastAsia="宋体" w:cs="Times New Roman"/>
                      <w:b w:val="0"/>
                      <w:bCs/>
                      <w:color w:val="auto"/>
                      <w:spacing w:val="6"/>
                      <w:sz w:val="21"/>
                      <w:szCs w:val="21"/>
                      <w:highlight w:val="none"/>
                      <w:lang w:val="en-US" w:eastAsia="zh-CN"/>
                    </w:rPr>
                    <w:t>带宽1850mm，</w:t>
                  </w:r>
                  <w:r>
                    <w:rPr>
                      <w:rFonts w:hint="default" w:ascii="Times New Roman" w:hAnsi="Times New Roman" w:eastAsia="宋体" w:cs="Times New Roman"/>
                      <w:b w:val="0"/>
                      <w:bCs/>
                      <w:color w:val="auto"/>
                      <w:spacing w:val="6"/>
                      <w:sz w:val="21"/>
                      <w:szCs w:val="21"/>
                      <w:highlight w:val="none"/>
                      <w:lang w:val="en-US" w:eastAsia="zh-CN"/>
                    </w:rPr>
                    <w:t>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kern w:val="2"/>
                      <w:sz w:val="21"/>
                      <w:szCs w:val="21"/>
                      <w:lang w:val="en-US" w:eastAsia="zh-CN" w:bidi="ar-SA"/>
                    </w:rPr>
                    <w:t>4</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i w:val="0"/>
                      <w:iCs w:val="0"/>
                      <w:color w:val="auto"/>
                      <w:kern w:val="0"/>
                      <w:sz w:val="21"/>
                      <w:szCs w:val="21"/>
                      <w:u w:val="none"/>
                      <w:lang w:val="en-US" w:eastAsia="zh-CN" w:bidi="ar"/>
                    </w:rPr>
                    <w:t>BG</w:t>
                  </w:r>
                  <w:r>
                    <w:rPr>
                      <w:rFonts w:hint="eastAsia" w:ascii="Times New Roman" w:hAnsi="Times New Roman" w:eastAsia="宋体" w:cs="Times New Roman"/>
                      <w:b w:val="0"/>
                      <w:bCs/>
                      <w:i w:val="0"/>
                      <w:iCs w:val="0"/>
                      <w:color w:val="auto"/>
                      <w:kern w:val="0"/>
                      <w:sz w:val="21"/>
                      <w:szCs w:val="21"/>
                      <w:u w:val="none"/>
                      <w:lang w:val="en-US" w:eastAsia="zh-CN" w:bidi="ar"/>
                    </w:rPr>
                    <w:t>2-2</w:t>
                  </w:r>
                  <w:r>
                    <w:rPr>
                      <w:rFonts w:hint="default" w:ascii="Times New Roman" w:hAnsi="Times New Roman" w:eastAsia="宋体" w:cs="Times New Roman"/>
                      <w:b w:val="0"/>
                      <w:bCs/>
                      <w:i w:val="0"/>
                      <w:iCs w:val="0"/>
                      <w:color w:val="auto"/>
                      <w:kern w:val="0"/>
                      <w:sz w:val="21"/>
                      <w:szCs w:val="21"/>
                      <w:u w:val="none"/>
                      <w:lang w:val="en-US" w:eastAsia="zh-CN" w:bidi="ar"/>
                    </w:rPr>
                    <w:t>管带机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3600t/h，管径0.5m，</w:t>
                  </w:r>
                  <w:r>
                    <w:rPr>
                      <w:rFonts w:hint="eastAsia" w:ascii="Times New Roman" w:hAnsi="Times New Roman" w:eastAsia="宋体" w:cs="Times New Roman"/>
                      <w:b w:val="0"/>
                      <w:bCs/>
                      <w:color w:val="auto"/>
                      <w:spacing w:val="6"/>
                      <w:sz w:val="21"/>
                      <w:szCs w:val="21"/>
                      <w:highlight w:val="none"/>
                      <w:lang w:val="en-US" w:eastAsia="zh-CN"/>
                    </w:rPr>
                    <w:t>带宽1850mm，</w:t>
                  </w:r>
                  <w:r>
                    <w:rPr>
                      <w:rFonts w:hint="default" w:ascii="Times New Roman" w:hAnsi="Times New Roman" w:eastAsia="宋体" w:cs="Times New Roman"/>
                      <w:b w:val="0"/>
                      <w:bCs/>
                      <w:color w:val="auto"/>
                      <w:spacing w:val="6"/>
                      <w:sz w:val="21"/>
                      <w:szCs w:val="21"/>
                      <w:highlight w:val="none"/>
                      <w:lang w:val="en-US" w:eastAsia="zh-CN"/>
                    </w:rPr>
                    <w:t>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124"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kern w:val="2"/>
                      <w:sz w:val="21"/>
                      <w:szCs w:val="21"/>
                      <w:lang w:val="en-US" w:eastAsia="zh-CN" w:bidi="ar-SA"/>
                    </w:rPr>
                    <w:t>5</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i w:val="0"/>
                      <w:iCs w:val="0"/>
                      <w:color w:val="auto"/>
                      <w:kern w:val="0"/>
                      <w:sz w:val="21"/>
                      <w:szCs w:val="21"/>
                      <w:u w:val="none"/>
                      <w:lang w:val="en-US" w:eastAsia="zh-CN" w:bidi="ar"/>
                    </w:rPr>
                    <w:t>B</w:t>
                  </w:r>
                  <w:r>
                    <w:rPr>
                      <w:rFonts w:hint="eastAsia" w:ascii="Times New Roman" w:hAnsi="Times New Roman" w:eastAsia="宋体" w:cs="Times New Roman"/>
                      <w:b w:val="0"/>
                      <w:bCs/>
                      <w:i w:val="0"/>
                      <w:iCs w:val="0"/>
                      <w:color w:val="auto"/>
                      <w:kern w:val="0"/>
                      <w:sz w:val="21"/>
                      <w:szCs w:val="21"/>
                      <w:u w:val="none"/>
                      <w:lang w:val="en-US" w:eastAsia="zh-CN" w:bidi="ar"/>
                    </w:rPr>
                    <w:t>LJ</w:t>
                  </w:r>
                  <w:r>
                    <w:rPr>
                      <w:rFonts w:hint="default" w:ascii="Times New Roman" w:hAnsi="Times New Roman" w:eastAsia="宋体" w:cs="Times New Roman"/>
                      <w:b w:val="0"/>
                      <w:bCs/>
                      <w:i w:val="0"/>
                      <w:iCs w:val="0"/>
                      <w:color w:val="auto"/>
                      <w:kern w:val="0"/>
                      <w:sz w:val="21"/>
                      <w:szCs w:val="21"/>
                      <w:u w:val="none"/>
                      <w:lang w:val="en-US" w:eastAsia="zh-CN" w:bidi="ar"/>
                    </w:rPr>
                    <w:t>1-1带式输送机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3600t/h，带宽1.4m，带速3.75m/s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6</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i w:val="0"/>
                      <w:iCs w:val="0"/>
                      <w:color w:val="auto"/>
                      <w:kern w:val="0"/>
                      <w:sz w:val="21"/>
                      <w:szCs w:val="21"/>
                      <w:u w:val="none"/>
                      <w:lang w:val="en-US" w:eastAsia="zh-CN" w:bidi="ar"/>
                    </w:rPr>
                    <w:t>B</w:t>
                  </w:r>
                  <w:r>
                    <w:rPr>
                      <w:rFonts w:hint="eastAsia" w:ascii="Times New Roman" w:hAnsi="Times New Roman" w:eastAsia="宋体" w:cs="Times New Roman"/>
                      <w:b w:val="0"/>
                      <w:bCs/>
                      <w:i w:val="0"/>
                      <w:iCs w:val="0"/>
                      <w:color w:val="auto"/>
                      <w:kern w:val="0"/>
                      <w:sz w:val="21"/>
                      <w:szCs w:val="21"/>
                      <w:u w:val="none"/>
                      <w:lang w:val="en-US" w:eastAsia="zh-CN" w:bidi="ar"/>
                    </w:rPr>
                    <w:t>LJ</w:t>
                  </w:r>
                  <w:r>
                    <w:rPr>
                      <w:rFonts w:hint="default" w:ascii="Times New Roman" w:hAnsi="Times New Roman" w:eastAsia="宋体" w:cs="Times New Roman"/>
                      <w:b w:val="0"/>
                      <w:bCs/>
                      <w:i w:val="0"/>
                      <w:iCs w:val="0"/>
                      <w:color w:val="auto"/>
                      <w:kern w:val="0"/>
                      <w:sz w:val="21"/>
                      <w:szCs w:val="21"/>
                      <w:u w:val="none"/>
                      <w:lang w:val="en-US" w:eastAsia="zh-CN" w:bidi="ar"/>
                    </w:rPr>
                    <w:t>1-</w:t>
                  </w:r>
                  <w:r>
                    <w:rPr>
                      <w:rFonts w:hint="eastAsia" w:ascii="Times New Roman" w:hAnsi="Times New Roman" w:eastAsia="宋体" w:cs="Times New Roman"/>
                      <w:b w:val="0"/>
                      <w:bCs/>
                      <w:i w:val="0"/>
                      <w:iCs w:val="0"/>
                      <w:color w:val="auto"/>
                      <w:kern w:val="0"/>
                      <w:sz w:val="21"/>
                      <w:szCs w:val="21"/>
                      <w:u w:val="none"/>
                      <w:lang w:val="en-US" w:eastAsia="zh-CN" w:bidi="ar"/>
                    </w:rPr>
                    <w:t>2</w:t>
                  </w:r>
                  <w:r>
                    <w:rPr>
                      <w:rFonts w:hint="default" w:ascii="Times New Roman" w:hAnsi="Times New Roman" w:eastAsia="宋体" w:cs="Times New Roman"/>
                      <w:b w:val="0"/>
                      <w:bCs/>
                      <w:i w:val="0"/>
                      <w:iCs w:val="0"/>
                      <w:color w:val="auto"/>
                      <w:kern w:val="0"/>
                      <w:sz w:val="21"/>
                      <w:szCs w:val="21"/>
                      <w:u w:val="none"/>
                      <w:lang w:val="en-US" w:eastAsia="zh-CN" w:bidi="ar"/>
                    </w:rPr>
                    <w:t>带式输送机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kern w:val="2"/>
                      <w:sz w:val="21"/>
                      <w:szCs w:val="21"/>
                      <w:highlight w:val="none"/>
                      <w:lang w:val="en-US" w:eastAsia="zh-CN" w:bidi="ar-SA"/>
                    </w:rPr>
                  </w:pPr>
                  <w:r>
                    <w:rPr>
                      <w:rFonts w:hint="default" w:ascii="Times New Roman" w:hAnsi="Times New Roman" w:eastAsia="宋体" w:cs="Times New Roman"/>
                      <w:b w:val="0"/>
                      <w:bCs/>
                      <w:color w:val="auto"/>
                      <w:spacing w:val="6"/>
                      <w:sz w:val="21"/>
                      <w:szCs w:val="21"/>
                      <w:highlight w:val="none"/>
                      <w:lang w:val="en-US" w:eastAsia="zh-CN"/>
                    </w:rPr>
                    <w:t>3600t/h，带宽1.4m，带速3.75m/s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color w:val="auto"/>
                      <w:spacing w:val="6"/>
                      <w:kern w:val="2"/>
                      <w:sz w:val="21"/>
                      <w:szCs w:val="21"/>
                      <w:highlight w:val="none"/>
                      <w:lang w:val="en-US" w:eastAsia="zh-CN" w:bidi="ar-SA"/>
                    </w:rPr>
                  </w:pPr>
                  <w:r>
                    <w:rPr>
                      <w:rFonts w:hint="default" w:ascii="Times New Roman" w:hAnsi="Times New Roman" w:eastAsia="宋体" w:cs="Times New Roman"/>
                      <w:color w:val="auto"/>
                      <w:spacing w:val="6"/>
                      <w:kern w:val="2"/>
                      <w:sz w:val="21"/>
                      <w:szCs w:val="21"/>
                      <w:lang w:val="en-US" w:eastAsia="zh-CN" w:bidi="ar-SA"/>
                    </w:rPr>
                    <w:t>7</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sz w:val="21"/>
                      <w:szCs w:val="21"/>
                      <w:highlight w:val="none"/>
                      <w:lang w:val="en-US" w:eastAsia="zh-CN"/>
                    </w:rPr>
                  </w:pPr>
                  <w:r>
                    <w:rPr>
                      <w:rFonts w:hint="default" w:ascii="Times New Roman" w:hAnsi="Times New Roman" w:eastAsia="宋体" w:cs="Times New Roman"/>
                      <w:b w:val="0"/>
                      <w:bCs/>
                      <w:i w:val="0"/>
                      <w:iCs w:val="0"/>
                      <w:color w:val="auto"/>
                      <w:kern w:val="0"/>
                      <w:sz w:val="21"/>
                      <w:szCs w:val="21"/>
                      <w:u w:val="none"/>
                      <w:lang w:val="en-US" w:eastAsia="zh-CN" w:bidi="ar"/>
                    </w:rPr>
                    <w:t>B</w:t>
                  </w:r>
                  <w:r>
                    <w:rPr>
                      <w:rFonts w:hint="eastAsia" w:ascii="Times New Roman" w:hAnsi="Times New Roman" w:eastAsia="宋体" w:cs="Times New Roman"/>
                      <w:b w:val="0"/>
                      <w:bCs/>
                      <w:i w:val="0"/>
                      <w:iCs w:val="0"/>
                      <w:color w:val="auto"/>
                      <w:kern w:val="0"/>
                      <w:sz w:val="21"/>
                      <w:szCs w:val="21"/>
                      <w:u w:val="none"/>
                      <w:lang w:val="en-US" w:eastAsia="zh-CN" w:bidi="ar"/>
                    </w:rPr>
                    <w:t>LJ2</w:t>
                  </w:r>
                  <w:r>
                    <w:rPr>
                      <w:rFonts w:hint="default" w:ascii="Times New Roman" w:hAnsi="Times New Roman" w:eastAsia="宋体" w:cs="Times New Roman"/>
                      <w:b w:val="0"/>
                      <w:bCs/>
                      <w:i w:val="0"/>
                      <w:iCs w:val="0"/>
                      <w:color w:val="auto"/>
                      <w:kern w:val="0"/>
                      <w:sz w:val="21"/>
                      <w:szCs w:val="21"/>
                      <w:u w:val="none"/>
                      <w:lang w:val="en-US" w:eastAsia="zh-CN" w:bidi="ar"/>
                    </w:rPr>
                    <w:t>-1带式输送机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sz w:val="21"/>
                      <w:szCs w:val="21"/>
                      <w:highlight w:val="none"/>
                      <w:lang w:val="en-US" w:eastAsia="zh-CN"/>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sz w:val="21"/>
                      <w:szCs w:val="21"/>
                      <w:highlight w:val="none"/>
                      <w:lang w:val="en-US" w:eastAsia="zh-CN"/>
                    </w:rPr>
                  </w:pPr>
                  <w:r>
                    <w:rPr>
                      <w:rFonts w:hint="default" w:ascii="Times New Roman" w:hAnsi="Times New Roman" w:eastAsia="宋体" w:cs="Times New Roman"/>
                      <w:b w:val="0"/>
                      <w:bCs/>
                      <w:color w:val="auto"/>
                      <w:spacing w:val="6"/>
                      <w:sz w:val="21"/>
                      <w:szCs w:val="21"/>
                      <w:highlight w:val="none"/>
                      <w:lang w:val="en-US" w:eastAsia="zh-CN"/>
                    </w:rPr>
                    <w:t>3600t/h，带宽1.4m，带速3.75m/s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tblHeader/>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color w:val="auto"/>
                      <w:spacing w:val="6"/>
                      <w:kern w:val="2"/>
                      <w:sz w:val="21"/>
                      <w:szCs w:val="21"/>
                      <w:highlight w:val="none"/>
                      <w:lang w:val="en-US" w:eastAsia="zh-CN" w:bidi="ar-SA"/>
                    </w:rPr>
                  </w:pPr>
                  <w:r>
                    <w:rPr>
                      <w:rFonts w:hint="default" w:ascii="Times New Roman" w:hAnsi="Times New Roman" w:eastAsia="宋体" w:cs="Times New Roman"/>
                      <w:color w:val="auto"/>
                      <w:spacing w:val="6"/>
                      <w:kern w:val="2"/>
                      <w:sz w:val="21"/>
                      <w:szCs w:val="21"/>
                      <w:lang w:val="en-US" w:eastAsia="zh-CN" w:bidi="ar-SA"/>
                    </w:rPr>
                    <w:t>8</w:t>
                  </w:r>
                </w:p>
              </w:tc>
              <w:tc>
                <w:tcPr>
                  <w:tcW w:w="1195"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sz w:val="21"/>
                      <w:szCs w:val="21"/>
                      <w:highlight w:val="none"/>
                      <w:lang w:val="en-US" w:eastAsia="zh-CN"/>
                    </w:rPr>
                  </w:pPr>
                  <w:r>
                    <w:rPr>
                      <w:rFonts w:hint="default" w:ascii="Times New Roman" w:hAnsi="Times New Roman" w:eastAsia="宋体" w:cs="Times New Roman"/>
                      <w:b w:val="0"/>
                      <w:bCs/>
                      <w:i w:val="0"/>
                      <w:iCs w:val="0"/>
                      <w:color w:val="auto"/>
                      <w:kern w:val="0"/>
                      <w:sz w:val="21"/>
                      <w:szCs w:val="21"/>
                      <w:u w:val="none"/>
                      <w:lang w:val="en-US" w:eastAsia="zh-CN" w:bidi="ar"/>
                    </w:rPr>
                    <w:t>B</w:t>
                  </w:r>
                  <w:r>
                    <w:rPr>
                      <w:rFonts w:hint="eastAsia" w:ascii="Times New Roman" w:hAnsi="Times New Roman" w:eastAsia="宋体" w:cs="Times New Roman"/>
                      <w:b w:val="0"/>
                      <w:bCs/>
                      <w:i w:val="0"/>
                      <w:iCs w:val="0"/>
                      <w:color w:val="auto"/>
                      <w:kern w:val="0"/>
                      <w:sz w:val="21"/>
                      <w:szCs w:val="21"/>
                      <w:u w:val="none"/>
                      <w:lang w:val="en-US" w:eastAsia="zh-CN" w:bidi="ar"/>
                    </w:rPr>
                    <w:t>L</w:t>
                  </w:r>
                  <w:r>
                    <w:rPr>
                      <w:rFonts w:hint="default" w:ascii="Times New Roman" w:hAnsi="Times New Roman" w:eastAsia="宋体" w:cs="Times New Roman"/>
                      <w:b w:val="0"/>
                      <w:bCs/>
                      <w:i w:val="0"/>
                      <w:iCs w:val="0"/>
                      <w:color w:val="auto"/>
                      <w:kern w:val="0"/>
                      <w:sz w:val="21"/>
                      <w:szCs w:val="21"/>
                      <w:u w:val="none"/>
                      <w:lang w:val="en-US" w:eastAsia="zh-CN" w:bidi="ar"/>
                    </w:rPr>
                    <w:t>1-1带式输送机</w:t>
                  </w:r>
                </w:p>
              </w:tc>
              <w:tc>
                <w:tcPr>
                  <w:tcW w:w="557"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sz w:val="21"/>
                      <w:szCs w:val="21"/>
                      <w:highlight w:val="none"/>
                      <w:lang w:val="en-US" w:eastAsia="zh-CN"/>
                    </w:rPr>
                  </w:pPr>
                  <w:r>
                    <w:rPr>
                      <w:rFonts w:hint="default" w:ascii="Times New Roman" w:hAnsi="Times New Roman" w:eastAsia="宋体" w:cs="Times New Roman"/>
                      <w:b w:val="0"/>
                      <w:bCs/>
                      <w:color w:val="auto"/>
                      <w:spacing w:val="6"/>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leftChars="0" w:right="0" w:firstLine="0" w:firstLineChars="0"/>
                    <w:jc w:val="center"/>
                    <w:rPr>
                      <w:rFonts w:hint="default" w:ascii="Times New Roman" w:hAnsi="Times New Roman" w:eastAsia="宋体" w:cs="Times New Roman"/>
                      <w:b w:val="0"/>
                      <w:bCs/>
                      <w:color w:val="auto"/>
                      <w:spacing w:val="6"/>
                      <w:sz w:val="21"/>
                      <w:szCs w:val="21"/>
                      <w:highlight w:val="none"/>
                      <w:lang w:val="en-US" w:eastAsia="zh-CN"/>
                    </w:rPr>
                  </w:pPr>
                  <w:r>
                    <w:rPr>
                      <w:rFonts w:hint="default" w:ascii="Times New Roman" w:hAnsi="Times New Roman" w:eastAsia="宋体" w:cs="Times New Roman"/>
                      <w:b w:val="0"/>
                      <w:bCs/>
                      <w:color w:val="auto"/>
                      <w:spacing w:val="6"/>
                      <w:sz w:val="21"/>
                      <w:szCs w:val="21"/>
                      <w:highlight w:val="none"/>
                      <w:lang w:val="en-US" w:eastAsia="zh-CN"/>
                    </w:rPr>
                    <w:t>3600t/h，带宽1.4m，带速3.75m/s</w:t>
                  </w:r>
                </w:p>
              </w:tc>
              <w:tc>
                <w:tcPr>
                  <w:tcW w:w="749" w:type="pct"/>
                  <w:noWrap w:val="0"/>
                  <w:vAlign w:val="center"/>
                </w:tcPr>
                <w:p>
                  <w:pPr>
                    <w:keepNext w:val="0"/>
                    <w:keepLines w:val="0"/>
                    <w:pageBreakBefore w:val="0"/>
                    <w:suppressLineNumbers w:val="0"/>
                    <w:kinsoku/>
                    <w:wordWrap/>
                    <w:overflowPunct/>
                    <w:topLinePunct w:val="0"/>
                    <w:autoSpaceDE/>
                    <w:bidi w:val="0"/>
                    <w:adjustRightInd w:val="0"/>
                    <w:snapToGrid w:val="0"/>
                    <w:spacing w:before="0" w:beforeAutospacing="0" w:after="0" w:afterAutospacing="0" w:line="0" w:lineRule="atLeast"/>
                    <w:ind w:left="0" w:right="0" w:firstLine="0"/>
                    <w:jc w:val="center"/>
                    <w:rPr>
                      <w:rFonts w:hint="default" w:ascii="Times New Roman" w:hAnsi="Times New Roman" w:eastAsia="宋体" w:cs="Times New Roman"/>
                      <w:b w:val="0"/>
                      <w:bCs/>
                      <w:color w:val="auto"/>
                      <w:spacing w:val="6"/>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color w:val="auto"/>
                      <w:spacing w:val="6"/>
                      <w:kern w:val="2"/>
                      <w:sz w:val="21"/>
                      <w:szCs w:val="21"/>
                      <w:highlight w:val="none"/>
                      <w:lang w:val="en-US" w:eastAsia="zh-CN" w:bidi="ar-SA"/>
                    </w:rPr>
                  </w:pPr>
                  <w:r>
                    <w:rPr>
                      <w:rFonts w:hint="default" w:ascii="Times New Roman" w:hAnsi="Times New Roman" w:eastAsia="宋体" w:cs="Times New Roman"/>
                      <w:color w:val="auto"/>
                      <w:spacing w:val="6"/>
                      <w:kern w:val="2"/>
                      <w:sz w:val="21"/>
                      <w:szCs w:val="21"/>
                      <w:lang w:val="en-US" w:eastAsia="zh-CN" w:bidi="ar-SA"/>
                    </w:rPr>
                    <w:t>9</w:t>
                  </w:r>
                </w:p>
              </w:tc>
              <w:tc>
                <w:tcPr>
                  <w:tcW w:w="1195"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sz w:val="21"/>
                      <w:szCs w:val="21"/>
                      <w:highlight w:val="none"/>
                    </w:rPr>
                  </w:pPr>
                  <w:r>
                    <w:rPr>
                      <w:rFonts w:hint="eastAsia" w:ascii="Times New Roman" w:hAnsi="Times New Roman" w:eastAsia="宋体" w:cs="Times New Roman"/>
                      <w:color w:val="auto"/>
                      <w:sz w:val="21"/>
                      <w:szCs w:val="21"/>
                      <w:highlight w:val="none"/>
                      <w:lang w:val="en-US" w:eastAsia="zh-CN"/>
                    </w:rPr>
                    <w:t>电动葫芦</w:t>
                  </w:r>
                </w:p>
              </w:tc>
              <w:tc>
                <w:tcPr>
                  <w:tcW w:w="557"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6</w:t>
                  </w:r>
                </w:p>
              </w:tc>
              <w:tc>
                <w:tcPr>
                  <w:tcW w:w="2113"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rPr>
                  </w:pPr>
                  <w:r>
                    <w:rPr>
                      <w:rFonts w:hint="eastAsia" w:ascii="Times New Roman" w:hAnsi="Times New Roman" w:eastAsia="宋体" w:cs="Times New Roman"/>
                      <w:color w:val="auto"/>
                      <w:kern w:val="0"/>
                      <w:sz w:val="21"/>
                      <w:szCs w:val="21"/>
                      <w:highlight w:val="none"/>
                      <w:lang w:val="en-US" w:eastAsia="zh-CN"/>
                    </w:rPr>
                    <w:t>10t</w:t>
                  </w:r>
                </w:p>
              </w:tc>
              <w:tc>
                <w:tcPr>
                  <w:tcW w:w="749" w:type="pct"/>
                  <w:noWrap w:val="0"/>
                  <w:vAlign w:val="center"/>
                </w:tcPr>
                <w:p>
                  <w:pPr>
                    <w:keepNext w:val="0"/>
                    <w:keepLines w:val="0"/>
                    <w:pageBreakBefore w:val="0"/>
                    <w:suppressLineNumbers w:val="0"/>
                    <w:kinsoku/>
                    <w:wordWrap/>
                    <w:overflowPunct/>
                    <w:topLinePunct w:val="0"/>
                    <w:autoSpaceDE/>
                    <w:bidi w:val="0"/>
                    <w:spacing w:before="0" w:beforeAutospacing="0" w:after="0" w:afterAutospacing="0" w:line="0" w:lineRule="atLeast"/>
                    <w:ind w:left="0" w:right="0" w:firstLine="0"/>
                    <w:jc w:val="center"/>
                    <w:rPr>
                      <w:rFonts w:hint="default" w:ascii="Times New Roman" w:hAnsi="Times New Roman" w:eastAsia="宋体" w:cs="Times New Roman"/>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color w:val="auto"/>
                      <w:spacing w:val="6"/>
                      <w:kern w:val="2"/>
                      <w:sz w:val="21"/>
                      <w:szCs w:val="21"/>
                      <w:highlight w:val="none"/>
                      <w:lang w:val="en-US" w:eastAsia="zh-CN" w:bidi="ar-SA"/>
                    </w:rPr>
                  </w:pPr>
                  <w:r>
                    <w:rPr>
                      <w:rFonts w:hint="default" w:ascii="Times New Roman" w:hAnsi="Times New Roman" w:eastAsia="宋体" w:cs="Times New Roman"/>
                      <w:color w:val="auto"/>
                      <w:spacing w:val="6"/>
                      <w:kern w:val="2"/>
                      <w:sz w:val="21"/>
                      <w:szCs w:val="21"/>
                      <w:lang w:val="en-US" w:eastAsia="zh-CN" w:bidi="ar-SA"/>
                    </w:rPr>
                    <w:t>10</w:t>
                  </w:r>
                </w:p>
              </w:tc>
              <w:tc>
                <w:tcPr>
                  <w:tcW w:w="1195"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eastAsia="zh-CN"/>
                    </w:rPr>
                    <w:t>伸缩头</w:t>
                  </w:r>
                </w:p>
              </w:tc>
              <w:tc>
                <w:tcPr>
                  <w:tcW w:w="557"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bidi w:val="0"/>
                    <w:spacing w:before="0" w:beforeAutospacing="0" w:after="0" w:afterAutospacing="0" w:line="0" w:lineRule="atLeast"/>
                    <w:ind w:left="0" w:right="0" w:firstLine="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12工位</w:t>
                  </w:r>
                </w:p>
              </w:tc>
              <w:tc>
                <w:tcPr>
                  <w:tcW w:w="749" w:type="pct"/>
                  <w:noWrap w:val="0"/>
                  <w:vAlign w:val="center"/>
                </w:tcPr>
                <w:p>
                  <w:pPr>
                    <w:keepNext w:val="0"/>
                    <w:keepLines w:val="0"/>
                    <w:pageBreakBefore w:val="0"/>
                    <w:suppressLineNumbers w:val="0"/>
                    <w:kinsoku/>
                    <w:wordWrap/>
                    <w:overflowPunct/>
                    <w:topLinePunct w:val="0"/>
                    <w:autoSpaceDE/>
                    <w:bidi w:val="0"/>
                    <w:spacing w:before="0" w:beforeAutospacing="0" w:after="0" w:afterAutospacing="0" w:line="0" w:lineRule="atLeast"/>
                    <w:ind w:left="0" w:right="0" w:firstLine="0"/>
                    <w:jc w:val="center"/>
                    <w:rPr>
                      <w:rFonts w:hint="default" w:ascii="Times New Roman" w:hAnsi="Times New Roman" w:eastAsia="宋体" w:cs="Times New Roman"/>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color w:val="auto"/>
                      <w:spacing w:val="6"/>
                      <w:kern w:val="2"/>
                      <w:sz w:val="21"/>
                      <w:szCs w:val="21"/>
                      <w:highlight w:val="none"/>
                      <w:lang w:val="en-US" w:eastAsia="zh-CN" w:bidi="ar-SA"/>
                    </w:rPr>
                  </w:pPr>
                  <w:r>
                    <w:rPr>
                      <w:rFonts w:hint="default" w:ascii="Times New Roman" w:hAnsi="Times New Roman" w:eastAsia="宋体" w:cs="Times New Roman"/>
                      <w:color w:val="auto"/>
                      <w:spacing w:val="6"/>
                      <w:kern w:val="2"/>
                      <w:sz w:val="21"/>
                      <w:szCs w:val="21"/>
                      <w:lang w:val="en-US" w:eastAsia="zh-CN" w:bidi="ar-SA"/>
                    </w:rPr>
                    <w:t>11</w:t>
                  </w:r>
                </w:p>
              </w:tc>
              <w:tc>
                <w:tcPr>
                  <w:tcW w:w="1195"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电动闸门</w:t>
                  </w:r>
                </w:p>
              </w:tc>
              <w:tc>
                <w:tcPr>
                  <w:tcW w:w="557"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5</w:t>
                  </w:r>
                </w:p>
              </w:tc>
              <w:tc>
                <w:tcPr>
                  <w:tcW w:w="2113"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zh-CN" w:eastAsia="zh-CN"/>
                    </w:rPr>
                  </w:pPr>
                </w:p>
              </w:tc>
              <w:tc>
                <w:tcPr>
                  <w:tcW w:w="749" w:type="pct"/>
                  <w:noWrap w:val="0"/>
                  <w:vAlign w:val="center"/>
                </w:tcPr>
                <w:p>
                  <w:pPr>
                    <w:keepNext w:val="0"/>
                    <w:keepLines w:val="0"/>
                    <w:pageBreakBefore w:val="0"/>
                    <w:suppressLineNumbers w:val="0"/>
                    <w:kinsoku/>
                    <w:wordWrap/>
                    <w:overflowPunct/>
                    <w:topLinePunct w:val="0"/>
                    <w:autoSpaceDE/>
                    <w:bidi w:val="0"/>
                    <w:spacing w:before="0" w:beforeAutospacing="0" w:after="0" w:afterAutospacing="0" w:line="0" w:lineRule="atLeast"/>
                    <w:ind w:left="0" w:right="0" w:firstLine="0"/>
                    <w:jc w:val="center"/>
                    <w:rPr>
                      <w:rFonts w:hint="default" w:ascii="Times New Roman" w:hAnsi="Times New Roman" w:eastAsia="宋体" w:cs="Times New Roman"/>
                      <w:color w:val="auto"/>
                      <w:sz w:val="21"/>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color w:val="auto"/>
                      <w:spacing w:val="6"/>
                      <w:sz w:val="21"/>
                      <w:szCs w:val="21"/>
                      <w:highlight w:val="none"/>
                      <w:lang w:val="en-US" w:eastAsia="zh-CN"/>
                    </w:rPr>
                  </w:pPr>
                  <w:r>
                    <w:rPr>
                      <w:rFonts w:hint="eastAsia" w:ascii="Times New Roman" w:hAnsi="Times New Roman" w:eastAsia="宋体" w:cs="Times New Roman"/>
                      <w:color w:val="auto"/>
                      <w:spacing w:val="6"/>
                      <w:sz w:val="21"/>
                      <w:szCs w:val="21"/>
                      <w:highlight w:val="none"/>
                      <w:lang w:val="en-US" w:eastAsia="zh-CN"/>
                    </w:rPr>
                    <w:t>12</w:t>
                  </w:r>
                </w:p>
              </w:tc>
              <w:tc>
                <w:tcPr>
                  <w:tcW w:w="1195"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备品备件及工具</w:t>
                  </w:r>
                </w:p>
              </w:tc>
              <w:tc>
                <w:tcPr>
                  <w:tcW w:w="557"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zh-CN" w:eastAsia="zh-CN"/>
                    </w:rPr>
                  </w:pPr>
                </w:p>
              </w:tc>
              <w:tc>
                <w:tcPr>
                  <w:tcW w:w="749" w:type="pct"/>
                  <w:vMerge w:val="restart"/>
                  <w:noWrap w:val="0"/>
                  <w:vAlign w:val="center"/>
                </w:tcPr>
                <w:p>
                  <w:pPr>
                    <w:keepNext w:val="0"/>
                    <w:keepLines w:val="0"/>
                    <w:pageBreakBefore w:val="0"/>
                    <w:suppressLineNumbers w:val="0"/>
                    <w:kinsoku/>
                    <w:wordWrap/>
                    <w:overflowPunct/>
                    <w:topLinePunct w:val="0"/>
                    <w:autoSpaceDE/>
                    <w:bidi w:val="0"/>
                    <w:spacing w:before="0" w:beforeAutospacing="0" w:after="0" w:afterAutospacing="0" w:line="0" w:lineRule="atLeast"/>
                    <w:ind w:left="0" w:right="0" w:firstLine="0"/>
                    <w:jc w:val="center"/>
                    <w:rPr>
                      <w:rFonts w:hint="default" w:ascii="Times New Roman" w:hAnsi="Times New Roman" w:eastAsia="宋体" w:cs="Times New Roman"/>
                      <w:color w:val="auto"/>
                      <w:sz w:val="21"/>
                      <w:szCs w:val="21"/>
                      <w:highlight w:val="no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0" w:hRule="atLeast"/>
                <w:jc w:val="center"/>
              </w:trPr>
              <w:tc>
                <w:tcPr>
                  <w:tcW w:w="385" w:type="pct"/>
                  <w:noWrap w:val="0"/>
                  <w:vAlign w:val="center"/>
                </w:tcPr>
                <w:p>
                  <w:pPr>
                    <w:keepNext w:val="0"/>
                    <w:keepLines w:val="0"/>
                    <w:pageBreakBefore w:val="0"/>
                    <w:numPr>
                      <w:ilvl w:val="0"/>
                      <w:numId w:val="0"/>
                    </w:numPr>
                    <w:suppressLineNumbers w:val="0"/>
                    <w:kinsoku/>
                    <w:wordWrap/>
                    <w:overflowPunct/>
                    <w:topLinePunct w:val="0"/>
                    <w:autoSpaceDE/>
                    <w:bidi w:val="0"/>
                    <w:adjustRightInd w:val="0"/>
                    <w:snapToGrid w:val="0"/>
                    <w:spacing w:before="0" w:beforeAutospacing="0" w:after="0" w:afterAutospacing="0" w:line="0" w:lineRule="atLeast"/>
                    <w:ind w:left="425" w:leftChars="0" w:right="0" w:hanging="425" w:firstLineChars="0"/>
                    <w:jc w:val="center"/>
                    <w:rPr>
                      <w:rFonts w:hint="default" w:ascii="Times New Roman" w:hAnsi="Times New Roman" w:eastAsia="宋体" w:cs="Times New Roman"/>
                      <w:color w:val="auto"/>
                      <w:spacing w:val="6"/>
                      <w:sz w:val="21"/>
                      <w:szCs w:val="21"/>
                      <w:highlight w:val="none"/>
                      <w:lang w:val="en-US" w:eastAsia="zh-CN"/>
                    </w:rPr>
                  </w:pPr>
                  <w:r>
                    <w:rPr>
                      <w:rFonts w:hint="eastAsia" w:ascii="Times New Roman" w:hAnsi="Times New Roman" w:eastAsia="宋体" w:cs="Times New Roman"/>
                      <w:color w:val="auto"/>
                      <w:spacing w:val="6"/>
                      <w:sz w:val="21"/>
                      <w:szCs w:val="21"/>
                      <w:highlight w:val="none"/>
                      <w:lang w:val="en-US" w:eastAsia="zh-CN"/>
                    </w:rPr>
                    <w:t>13</w:t>
                  </w:r>
                </w:p>
              </w:tc>
              <w:tc>
                <w:tcPr>
                  <w:tcW w:w="1195"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eastAsia" w:ascii="Times New Roman" w:hAnsi="Times New Roman" w:eastAsia="宋体" w:cs="Times New Roman"/>
                      <w:color w:val="auto"/>
                      <w:sz w:val="21"/>
                      <w:szCs w:val="21"/>
                      <w:highlight w:val="none"/>
                      <w:lang w:eastAsia="zh-CN"/>
                    </w:rPr>
                  </w:pPr>
                  <w:r>
                    <w:rPr>
                      <w:rFonts w:hint="eastAsia" w:ascii="Times New Roman" w:hAnsi="Times New Roman" w:eastAsia="宋体" w:cs="Times New Roman"/>
                      <w:color w:val="auto"/>
                      <w:sz w:val="21"/>
                      <w:szCs w:val="21"/>
                      <w:highlight w:val="none"/>
                      <w:lang w:eastAsia="zh-CN"/>
                    </w:rPr>
                    <w:t>管带机改造</w:t>
                  </w:r>
                </w:p>
              </w:tc>
              <w:tc>
                <w:tcPr>
                  <w:tcW w:w="557"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1</w:t>
                  </w:r>
                </w:p>
              </w:tc>
              <w:tc>
                <w:tcPr>
                  <w:tcW w:w="2113" w:type="pct"/>
                  <w:noWrap w:val="0"/>
                  <w:vAlign w:val="center"/>
                </w:tcPr>
                <w:p>
                  <w:pPr>
                    <w:keepNext w:val="0"/>
                    <w:keepLines w:val="0"/>
                    <w:pageBreakBefore w:val="0"/>
                    <w:suppressLineNumbers w:val="0"/>
                    <w:kinsoku/>
                    <w:wordWrap/>
                    <w:overflowPunct/>
                    <w:topLinePunct w:val="0"/>
                    <w:autoSpaceDE/>
                    <w:autoSpaceDN w:val="0"/>
                    <w:bidi w:val="0"/>
                    <w:spacing w:before="0" w:beforeAutospacing="0" w:after="0" w:afterAutospacing="0" w:line="0" w:lineRule="atLeast"/>
                    <w:ind w:left="0" w:right="0" w:firstLine="0"/>
                    <w:jc w:val="center"/>
                    <w:textAlignment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eastAsia="zh-CN"/>
                    </w:rPr>
                    <w:t>延长</w:t>
                  </w:r>
                  <w:r>
                    <w:rPr>
                      <w:rFonts w:hint="eastAsia" w:ascii="Times New Roman" w:hAnsi="Times New Roman" w:eastAsia="宋体" w:cs="Times New Roman"/>
                      <w:color w:val="auto"/>
                      <w:sz w:val="21"/>
                      <w:szCs w:val="21"/>
                      <w:highlight w:val="none"/>
                      <w:lang w:val="en-US" w:eastAsia="zh-CN"/>
                    </w:rPr>
                    <w:t>BG1-2、BG2-2、BG3-2公约564m</w:t>
                  </w:r>
                </w:p>
              </w:tc>
              <w:tc>
                <w:tcPr>
                  <w:tcW w:w="749" w:type="pct"/>
                  <w:vMerge w:val="continue"/>
                  <w:noWrap w:val="0"/>
                  <w:vAlign w:val="center"/>
                </w:tcPr>
                <w:p>
                  <w:pPr>
                    <w:keepNext w:val="0"/>
                    <w:keepLines w:val="0"/>
                    <w:pageBreakBefore w:val="0"/>
                    <w:suppressLineNumbers w:val="0"/>
                    <w:kinsoku/>
                    <w:wordWrap/>
                    <w:overflowPunct/>
                    <w:topLinePunct w:val="0"/>
                    <w:autoSpaceDE/>
                    <w:bidi w:val="0"/>
                    <w:spacing w:before="0" w:beforeAutospacing="0" w:after="0" w:afterAutospacing="0" w:line="0" w:lineRule="atLeast"/>
                    <w:ind w:left="0" w:right="0" w:firstLine="0"/>
                    <w:jc w:val="center"/>
                    <w:rPr>
                      <w:rFonts w:hint="default" w:ascii="Times New Roman" w:hAnsi="Times New Roman" w:eastAsia="宋体" w:cs="Times New Roman"/>
                      <w:color w:val="auto"/>
                      <w:sz w:val="21"/>
                      <w:szCs w:val="21"/>
                      <w:highlight w:val="none"/>
                      <w:lang w:val="en-US" w:eastAsia="zh-CN"/>
                    </w:rPr>
                  </w:pPr>
                </w:p>
              </w:tc>
            </w:tr>
          </w:tbl>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eastAsia="zh-CN"/>
              </w:rPr>
            </w:pPr>
            <w:r>
              <w:rPr>
                <w:rFonts w:cs="Times New Roman"/>
                <w:color w:val="auto"/>
                <w:sz w:val="24"/>
                <w:szCs w:val="24"/>
                <w:highlight w:val="none"/>
              </w:rPr>
              <w:t>（</w:t>
            </w:r>
            <w:r>
              <w:rPr>
                <w:rFonts w:hint="eastAsia" w:cs="Times New Roman"/>
                <w:color w:val="auto"/>
                <w:sz w:val="24"/>
                <w:szCs w:val="24"/>
                <w:highlight w:val="none"/>
                <w:lang w:val="en-US" w:eastAsia="zh-CN"/>
              </w:rPr>
              <w:t>12</w:t>
            </w:r>
            <w:r>
              <w:rPr>
                <w:rFonts w:cs="Times New Roman"/>
                <w:color w:val="auto"/>
                <w:sz w:val="24"/>
                <w:szCs w:val="24"/>
                <w:highlight w:val="none"/>
              </w:rPr>
              <w:t>）</w:t>
            </w:r>
            <w:r>
              <w:rPr>
                <w:rFonts w:hint="eastAsia" w:cs="Times New Roman"/>
                <w:color w:val="auto"/>
                <w:sz w:val="24"/>
                <w:szCs w:val="24"/>
                <w:highlight w:val="none"/>
                <w:lang w:eastAsia="zh-CN"/>
              </w:rPr>
              <w:t>装卸工艺</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1）36#、37#泊位堆场、开滦配煤中心堆场物料→管廊项目管带机系统、其他拟建场区</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本工程设计起点为开滦配煤中心堆场西北侧新建TL3机房（不在本工程设计范围内），TL3机房下游新建BL1-1普通带式输送机及三线钢结构栈桥，BL1-1普通带式输送机向北将物料输送至TH1机房，TH1机房下游新建BG1-1管带机，BG1-1管带机向东将物料输送至TH2机房，在TH2机房预留接口，可将物料输送至唐山海港区慧轮达物流有限公司，也可将物料转接至BLJ1-1普通带式输送机，而后将物料继续向东输送至TH3机房，在TH3机房内预留接口，可将物料输送至唐山美达供应链管理有限公司，也可将物料输送至BG1-2管带机，而后将物料继续向东输送至京唐港区规划建设的51#、52#泊位东北侧的TG1机房，将物料转运至BLJ1-2普通带式输送机，BLJ1-2普通带式输送机与51#、52#泊位疏港带式输送机并线，向东输送至TG2机房，TG2机房共布置7条进线、12条出线，其中7条进线包括本工程1条作业线，另预留2条远期53#-54#泊位疏港作业线、规划建设的51#、52#泊位的4条疏港作业线。</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普通带式输送机编号额定能力为3600t/h（铁矿石）、带宽1400mm、带速3.75m/s；管带机额定能力为3600t/h（铁矿石）、管径500mm、带宽1850mm、带速3.75m/s。</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2）51#、52#泊位堆场物料→凤凰云港、其他拟建场区</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51#、52#泊位堆场物料通过其水平运输系统，将物料输送至本工程新建TH4机房，在TH4机房预留接口，可将物料输送至拟建场区，也可将物料转接至BG2-1管带机，继续向西输送至TH3机房，在TH3机房预留接口，可将物料输送至唐山美达供应链管理有限公司，也可将物料转接至BLJ2-1普通带式输送机，继续向西输送至TH2机房，在TH2机房内预留接口，可将物料转接至唐山海港区慧轮达物流有限公司，也可将物料转接至BG2-2管带机，BG2-2管带机将物料继续向西输送至TH1机房内，可将物料转接至凤凰云港项目水平输送系统。</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3）管廊项目管带机延长</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管廊项目已建的3条管带机尾部滚筒及驱动站布置在既有TZ1转接机房与本工程新建TG2转接机房之间，本次设计拟将3条管带机尾部延长至本工程新建TG2转接机房。</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4）洗带装置的应用</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本项目输送物料包含铁矿石及焦煤两种，在运输过程中由于水份含量较大并受到物料挤压，处于管带底层的物料会出现粘留在管带表面的现象，若不及时洗带，会造成下一批输送物料的污染，由于后方企业对原料纯净度具有较高要求，故本项目在输送过程中需确保输送带上无杂质。本项目采用的清扫装置能够将经水洗清扫器清扫下来的浆状物料回送至管带机卸料点上方，从而消除了物料的损失；增加了物料的湿度，可起到一定程度的降尘作用。回程皮带上的物料，在被清扫下来的同时，回送至管带机，免除了该部分污水的后续处理。</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5）管带机自动巡检机器人</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cs="Times New Roman"/>
                <w:color w:val="auto"/>
                <w:sz w:val="24"/>
                <w:szCs w:val="24"/>
                <w:highlight w:val="none"/>
                <w:lang w:val="en-US" w:eastAsia="zh-CN"/>
              </w:rPr>
            </w:pPr>
            <w:r>
              <w:rPr>
                <w:rFonts w:hint="eastAsia" w:cs="Times New Roman"/>
                <w:color w:val="auto"/>
                <w:sz w:val="24"/>
                <w:szCs w:val="24"/>
                <w:highlight w:val="none"/>
                <w:lang w:val="en-US" w:eastAsia="zh-CN"/>
              </w:rPr>
              <w:t>本项目管带机输送距离较长，采用人工巡检较为不便，本次设计采用管带机自动巡检机器人代替人工巡检，巡检机器人集成高清摄像、红外热成像、声音分析、环境气体及粉尘检测等功能，可有效识别管带机常见的扭转、反包、胀管、托辊超温等现象，同时机器人巡检过程中，通过数值分析、阈值对比、趋势分析等相关技术，可对异常数据进行自动预警。能够高效准确。</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（13）公用工程</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ascii="Times New Roman" w:hAnsi="Times New Roman" w:eastAsia="宋体" w:cs="Times New Roman"/>
                <w:color w:val="auto"/>
                <w:sz w:val="24"/>
                <w:szCs w:val="24"/>
                <w:highlight w:val="none"/>
                <w:lang w:val="en-US" w:eastAsia="zh-CN"/>
              </w:rPr>
            </w:pPr>
            <w:r>
              <w:rPr>
                <w:rFonts w:hint="eastAsia" w:ascii="宋体" w:hAnsi="宋体" w:eastAsia="宋体" w:cs="宋体"/>
                <w:color w:val="auto"/>
                <w:sz w:val="24"/>
                <w:szCs w:val="24"/>
                <w:highlight w:val="none"/>
                <w:lang w:val="en-US" w:eastAsia="zh-CN"/>
              </w:rPr>
              <w:t>①</w:t>
            </w:r>
            <w:r>
              <w:rPr>
                <w:rFonts w:hint="eastAsia" w:ascii="Times New Roman" w:hAnsi="Times New Roman" w:eastAsia="宋体" w:cs="Times New Roman"/>
                <w:color w:val="auto"/>
                <w:sz w:val="24"/>
                <w:szCs w:val="24"/>
                <w:highlight w:val="none"/>
                <w:lang w:val="en-US" w:eastAsia="zh-CN"/>
              </w:rPr>
              <w:t>供电：本项目供电由园区电网供给，年耗电量为</w:t>
            </w:r>
            <w:r>
              <w:rPr>
                <w:rFonts w:hint="eastAsia" w:cs="Times New Roman"/>
                <w:color w:val="auto"/>
                <w:sz w:val="24"/>
                <w:szCs w:val="24"/>
                <w:highlight w:val="none"/>
                <w:lang w:val="en-US" w:eastAsia="zh-CN"/>
              </w:rPr>
              <w:t>6000</w:t>
            </w:r>
            <w:r>
              <w:rPr>
                <w:rFonts w:hint="eastAsia" w:ascii="Times New Roman" w:hAnsi="Times New Roman" w:eastAsia="宋体" w:cs="Times New Roman"/>
                <w:color w:val="auto"/>
                <w:sz w:val="24"/>
                <w:szCs w:val="24"/>
                <w:highlight w:val="none"/>
                <w:lang w:val="en-US" w:eastAsia="zh-CN"/>
              </w:rPr>
              <w:t>万kWh，可满足项目生产、生活用电需要。</w:t>
            </w:r>
          </w:p>
          <w:p>
            <w:pPr>
              <w:pStyle w:val="67"/>
              <w:keepNext w:val="0"/>
              <w:keepLines w:val="0"/>
              <w:pageBreakBefore w:val="0"/>
              <w:widowControl/>
              <w:kinsoku/>
              <w:wordWrap/>
              <w:overflowPunct/>
              <w:topLinePunct w:val="0"/>
              <w:autoSpaceDE/>
              <w:autoSpaceDN/>
              <w:bidi w:val="0"/>
              <w:spacing w:line="500" w:lineRule="exact"/>
              <w:ind w:firstLine="420"/>
              <w:textAlignment w:val="auto"/>
              <w:rPr>
                <w:rFonts w:hint="eastAsia" w:ascii="Times New Roman" w:hAnsi="Times New Roman" w:eastAsia="宋体" w:cs="Times New Roman"/>
                <w:color w:val="auto"/>
                <w:sz w:val="24"/>
                <w:szCs w:val="24"/>
                <w:highlight w:val="none"/>
                <w:lang w:val="en-US" w:eastAsia="zh-CN"/>
              </w:rPr>
            </w:pPr>
            <w:r>
              <w:rPr>
                <w:rFonts w:hint="eastAsia" w:ascii="宋体" w:hAnsi="宋体" w:eastAsia="宋体" w:cs="宋体"/>
                <w:color w:val="auto"/>
                <w:sz w:val="24"/>
                <w:szCs w:val="24"/>
                <w:highlight w:val="none"/>
                <w:lang w:val="en-US" w:eastAsia="zh-CN"/>
              </w:rPr>
              <w:t>②</w:t>
            </w:r>
            <w:r>
              <w:rPr>
                <w:rFonts w:hint="eastAsia" w:ascii="Times New Roman" w:hAnsi="Times New Roman" w:eastAsia="宋体" w:cs="Times New Roman"/>
                <w:color w:val="auto"/>
                <w:sz w:val="24"/>
                <w:szCs w:val="24"/>
                <w:highlight w:val="none"/>
                <w:lang w:val="en-US" w:eastAsia="zh-CN"/>
              </w:rPr>
              <w:t>供热：项目冬季车间不设取暖设施，生活采用电取暖。</w:t>
            </w:r>
          </w:p>
          <w:p>
            <w:pPr>
              <w:pStyle w:val="19"/>
              <w:keepNext w:val="0"/>
              <w:keepLines w:val="0"/>
              <w:pageBreakBefore w:val="0"/>
              <w:widowControl w:val="0"/>
              <w:suppressLineNumbers w:val="0"/>
              <w:kinsoku/>
              <w:wordWrap/>
              <w:overflowPunct/>
              <w:topLinePunct w:val="0"/>
              <w:bidi w:val="0"/>
              <w:adjustRightInd/>
              <w:snapToGrid/>
              <w:spacing w:before="0" w:beforeAutospacing="0" w:after="0" w:afterAutospacing="0" w:line="500" w:lineRule="exact"/>
              <w:ind w:left="0" w:leftChars="0" w:right="0" w:firstLine="480" w:firstLineChars="200"/>
              <w:textAlignment w:val="auto"/>
              <w:rPr>
                <w:rFonts w:ascii="Times New Roman" w:hAnsi="Times New Roman" w:eastAsia="宋体" w:cs="Times New Roman"/>
                <w:color w:val="auto"/>
                <w:kern w:val="24"/>
                <w:sz w:val="24"/>
                <w:szCs w:val="32"/>
                <w:highlight w:val="none"/>
              </w:rPr>
            </w:pPr>
            <w:r>
              <w:rPr>
                <w:rFonts w:hint="eastAsia" w:ascii="宋体" w:hAnsi="宋体" w:eastAsia="宋体" w:cs="宋体"/>
                <w:color w:val="auto"/>
                <w:sz w:val="24"/>
                <w:szCs w:val="24"/>
                <w:highlight w:val="none"/>
              </w:rPr>
              <w:t>③</w:t>
            </w:r>
            <w:r>
              <w:rPr>
                <w:rFonts w:ascii="Times New Roman" w:hAnsi="Times New Roman" w:eastAsia="宋体" w:cs="Times New Roman"/>
                <w:color w:val="auto"/>
                <w:kern w:val="24"/>
                <w:sz w:val="24"/>
                <w:szCs w:val="32"/>
                <w:highlight w:val="none"/>
              </w:rPr>
              <w:t>给排水：</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ascii="Times New Roman" w:hAnsi="Times New Roman" w:eastAsia="宋体" w:cs="Times New Roman"/>
                <w:snapToGrid w:val="0"/>
                <w:color w:val="auto"/>
                <w:kern w:val="24"/>
                <w:sz w:val="24"/>
                <w:szCs w:val="32"/>
                <w:highlight w:val="none"/>
                <w:lang w:val="zh-CN"/>
              </w:rPr>
            </w:pPr>
            <w:r>
              <w:rPr>
                <w:rFonts w:hint="eastAsia" w:ascii="Times New Roman" w:hAnsi="Times New Roman" w:eastAsia="宋体" w:cs="Times New Roman"/>
                <w:snapToGrid w:val="0"/>
                <w:color w:val="auto"/>
                <w:kern w:val="24"/>
                <w:sz w:val="24"/>
                <w:szCs w:val="32"/>
                <w:highlight w:val="none"/>
                <w:lang w:val="zh-CN" w:eastAsia="zh-CN"/>
              </w:rPr>
              <w:t>本项目用水主要为生产用水，新水用量为</w:t>
            </w:r>
            <w:r>
              <w:rPr>
                <w:rFonts w:hint="eastAsia" w:cs="Times New Roman"/>
                <w:snapToGrid w:val="0"/>
                <w:color w:val="auto"/>
                <w:kern w:val="24"/>
                <w:sz w:val="24"/>
                <w:szCs w:val="32"/>
                <w:highlight w:val="none"/>
                <w:lang w:val="en-US" w:eastAsia="zh-CN"/>
              </w:rPr>
              <w:t>23.571</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zh-CN" w:eastAsia="zh-CN"/>
              </w:rPr>
              <w:t>（</w:t>
            </w:r>
            <w:r>
              <w:rPr>
                <w:rFonts w:hint="eastAsia" w:cs="Times New Roman"/>
                <w:snapToGrid w:val="0"/>
                <w:color w:val="auto"/>
                <w:kern w:val="24"/>
                <w:sz w:val="24"/>
                <w:szCs w:val="32"/>
                <w:highlight w:val="none"/>
                <w:lang w:val="en-US" w:eastAsia="zh-CN"/>
              </w:rPr>
              <w:t>8249.85</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/a</w:t>
            </w:r>
            <w:r>
              <w:rPr>
                <w:rFonts w:hint="eastAsia" w:ascii="Times New Roman" w:hAnsi="Times New Roman" w:eastAsia="宋体" w:cs="Times New Roman"/>
                <w:snapToGrid w:val="0"/>
                <w:color w:val="auto"/>
                <w:kern w:val="24"/>
                <w:sz w:val="24"/>
                <w:szCs w:val="32"/>
                <w:highlight w:val="none"/>
                <w:lang w:val="zh-CN" w:eastAsia="zh-CN"/>
              </w:rPr>
              <w:t xml:space="preserve">）。 </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ascii="Times New Roman" w:hAnsi="Times New Roman" w:eastAsia="宋体" w:cs="Times New Roman"/>
                <w:snapToGrid w:val="0"/>
                <w:color w:val="auto"/>
                <w:kern w:val="24"/>
                <w:sz w:val="24"/>
                <w:szCs w:val="32"/>
                <w:highlight w:val="none"/>
                <w:lang w:val="zh-CN" w:eastAsia="zh-CN"/>
              </w:rPr>
              <w:t>生产：管带机展开段及机房冲洗分别接自临近厂区给水管网，本项目生产用水有保障。</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cs="Times New Roman"/>
                <w:snapToGrid w:val="0"/>
                <w:color w:val="auto"/>
                <w:kern w:val="24"/>
                <w:sz w:val="24"/>
                <w:szCs w:val="32"/>
                <w:highlight w:val="none"/>
                <w:lang w:val="zh-CN" w:eastAsia="zh-CN"/>
              </w:rPr>
            </w:pPr>
            <w:r>
              <w:rPr>
                <w:rFonts w:hint="eastAsia" w:cs="Times New Roman"/>
                <w:snapToGrid w:val="0"/>
                <w:color w:val="auto"/>
                <w:kern w:val="24"/>
                <w:sz w:val="24"/>
                <w:szCs w:val="32"/>
                <w:highlight w:val="none"/>
                <w:lang w:val="en-US" w:eastAsia="zh-CN"/>
              </w:rPr>
              <w:t>1、</w:t>
            </w:r>
            <w:r>
              <w:rPr>
                <w:rFonts w:hint="eastAsia" w:cs="Times New Roman"/>
                <w:snapToGrid w:val="0"/>
                <w:color w:val="auto"/>
                <w:kern w:val="24"/>
                <w:sz w:val="24"/>
                <w:szCs w:val="32"/>
                <w:highlight w:val="none"/>
                <w:lang w:val="zh-CN" w:eastAsia="zh-CN"/>
              </w:rPr>
              <w:t>给水</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ascii="Times New Roman" w:hAnsi="Times New Roman" w:eastAsia="宋体" w:cs="Times New Roman"/>
                <w:snapToGrid w:val="0"/>
                <w:color w:val="auto"/>
                <w:kern w:val="24"/>
                <w:sz w:val="24"/>
                <w:szCs w:val="32"/>
                <w:highlight w:val="none"/>
                <w:lang w:val="zh-CN" w:eastAsia="zh-CN"/>
              </w:rPr>
              <w:t>项目转接机房管带机展开段冲洗用水量为</w:t>
            </w:r>
            <w:r>
              <w:rPr>
                <w:rFonts w:hint="eastAsia" w:cs="Times New Roman"/>
                <w:snapToGrid w:val="0"/>
                <w:color w:val="auto"/>
                <w:kern w:val="24"/>
                <w:sz w:val="24"/>
                <w:szCs w:val="32"/>
                <w:highlight w:val="none"/>
                <w:lang w:val="en-US" w:eastAsia="zh-CN"/>
              </w:rPr>
              <w:t>TG2机房：</w:t>
            </w:r>
            <w:r>
              <w:rPr>
                <w:rFonts w:hint="default" w:ascii="Times New Roman" w:hAnsi="Times New Roman" w:eastAsia="宋体" w:cs="Times New Roman"/>
                <w:snapToGrid w:val="0"/>
                <w:color w:val="auto"/>
                <w:kern w:val="24"/>
                <w:sz w:val="24"/>
                <w:szCs w:val="32"/>
                <w:highlight w:val="none"/>
                <w:lang w:val="zh-CN" w:eastAsia="zh-CN"/>
              </w:rPr>
              <w:t>3m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w:t>
            </w:r>
            <w:r>
              <w:rPr>
                <w:rFonts w:hint="eastAsia" w:cs="Times New Roman"/>
                <w:snapToGrid w:val="0"/>
                <w:color w:val="auto"/>
                <w:kern w:val="24"/>
                <w:sz w:val="24"/>
                <w:szCs w:val="32"/>
                <w:highlight w:val="none"/>
                <w:lang w:val="en-US" w:eastAsia="zh-CN"/>
              </w:rPr>
              <w:t>TG1机房：</w:t>
            </w:r>
            <w:r>
              <w:rPr>
                <w:rFonts w:hint="default" w:ascii="Times New Roman" w:hAnsi="Times New Roman" w:eastAsia="宋体" w:cs="Times New Roman"/>
                <w:snapToGrid w:val="0"/>
                <w:color w:val="auto"/>
                <w:kern w:val="24"/>
                <w:sz w:val="24"/>
                <w:szCs w:val="32"/>
                <w:highlight w:val="none"/>
                <w:lang w:val="zh-CN" w:eastAsia="zh-CN"/>
              </w:rPr>
              <w:t>0.6m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w:t>
            </w:r>
            <w:r>
              <w:rPr>
                <w:rFonts w:hint="eastAsia" w:cs="Times New Roman"/>
                <w:snapToGrid w:val="0"/>
                <w:color w:val="auto"/>
                <w:kern w:val="24"/>
                <w:sz w:val="24"/>
                <w:szCs w:val="32"/>
                <w:highlight w:val="none"/>
                <w:lang w:val="en-US" w:eastAsia="zh-CN"/>
              </w:rPr>
              <w:t>TH4机房：</w:t>
            </w:r>
            <w:r>
              <w:rPr>
                <w:rFonts w:hint="default" w:ascii="Times New Roman" w:hAnsi="Times New Roman" w:eastAsia="宋体" w:cs="Times New Roman"/>
                <w:snapToGrid w:val="0"/>
                <w:color w:val="auto"/>
                <w:kern w:val="24"/>
                <w:sz w:val="24"/>
                <w:szCs w:val="32"/>
                <w:highlight w:val="none"/>
                <w:lang w:val="zh-CN" w:eastAsia="zh-CN"/>
              </w:rPr>
              <w:t>0.6m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w:t>
            </w:r>
            <w:r>
              <w:rPr>
                <w:rFonts w:hint="eastAsia" w:cs="Times New Roman"/>
                <w:snapToGrid w:val="0"/>
                <w:color w:val="auto"/>
                <w:kern w:val="24"/>
                <w:sz w:val="24"/>
                <w:szCs w:val="32"/>
                <w:highlight w:val="none"/>
                <w:lang w:val="en-US" w:eastAsia="zh-CN"/>
              </w:rPr>
              <w:t>TH3机房：</w:t>
            </w:r>
            <w:r>
              <w:rPr>
                <w:rFonts w:hint="default" w:ascii="Times New Roman" w:hAnsi="Times New Roman" w:eastAsia="宋体" w:cs="Times New Roman"/>
                <w:snapToGrid w:val="0"/>
                <w:color w:val="auto"/>
                <w:kern w:val="24"/>
                <w:sz w:val="24"/>
                <w:szCs w:val="32"/>
                <w:highlight w:val="none"/>
                <w:lang w:val="zh-CN" w:eastAsia="zh-CN"/>
              </w:rPr>
              <w:t>0.6m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w:t>
            </w:r>
            <w:r>
              <w:rPr>
                <w:rFonts w:hint="eastAsia" w:cs="Times New Roman"/>
                <w:snapToGrid w:val="0"/>
                <w:color w:val="auto"/>
                <w:kern w:val="24"/>
                <w:sz w:val="24"/>
                <w:szCs w:val="32"/>
                <w:highlight w:val="none"/>
                <w:lang w:val="en-US" w:eastAsia="zh-CN"/>
              </w:rPr>
              <w:t>TH2机房：</w:t>
            </w:r>
            <w:r>
              <w:rPr>
                <w:rFonts w:hint="default" w:ascii="Times New Roman" w:hAnsi="Times New Roman" w:eastAsia="宋体" w:cs="Times New Roman"/>
                <w:snapToGrid w:val="0"/>
                <w:color w:val="auto"/>
                <w:kern w:val="24"/>
                <w:sz w:val="24"/>
                <w:szCs w:val="32"/>
                <w:highlight w:val="none"/>
                <w:lang w:val="zh-CN" w:eastAsia="zh-CN"/>
              </w:rPr>
              <w:t>0.6m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w:t>
            </w:r>
            <w:r>
              <w:rPr>
                <w:rFonts w:hint="eastAsia" w:cs="Times New Roman"/>
                <w:snapToGrid w:val="0"/>
                <w:color w:val="auto"/>
                <w:kern w:val="24"/>
                <w:sz w:val="24"/>
                <w:szCs w:val="32"/>
                <w:highlight w:val="none"/>
                <w:lang w:val="en-US" w:eastAsia="zh-CN"/>
              </w:rPr>
              <w:t>TH1机房：</w:t>
            </w:r>
            <w:r>
              <w:rPr>
                <w:rFonts w:hint="default" w:ascii="Times New Roman" w:hAnsi="Times New Roman" w:eastAsia="宋体" w:cs="Times New Roman"/>
                <w:snapToGrid w:val="0"/>
                <w:color w:val="auto"/>
                <w:kern w:val="24"/>
                <w:sz w:val="24"/>
                <w:szCs w:val="32"/>
                <w:highlight w:val="none"/>
                <w:lang w:val="zh-CN" w:eastAsia="zh-CN"/>
              </w:rPr>
              <w:t>0.6m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w:t>
            </w:r>
            <w:r>
              <w:rPr>
                <w:rFonts w:hint="eastAsia" w:cs="Times New Roman"/>
                <w:snapToGrid w:val="0"/>
                <w:color w:val="auto"/>
                <w:kern w:val="24"/>
                <w:sz w:val="24"/>
                <w:szCs w:val="32"/>
                <w:highlight w:val="none"/>
                <w:lang w:val="zh-CN" w:eastAsia="zh-CN"/>
              </w:rPr>
              <w:t>，合计用水量为</w:t>
            </w:r>
            <w:r>
              <w:rPr>
                <w:rFonts w:hint="eastAsia" w:ascii="Times New Roman" w:hAnsi="Times New Roman" w:eastAsia="宋体" w:cs="Times New Roman"/>
                <w:snapToGrid w:val="0"/>
                <w:color w:val="auto"/>
                <w:kern w:val="24"/>
                <w:sz w:val="24"/>
                <w:szCs w:val="32"/>
                <w:highlight w:val="none"/>
                <w:lang w:val="en-US" w:eastAsia="zh-CN"/>
              </w:rPr>
              <w:t>6</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cs="Times New Roman"/>
                <w:snapToGrid w:val="0"/>
                <w:color w:val="auto"/>
                <w:kern w:val="24"/>
                <w:sz w:val="24"/>
                <w:szCs w:val="32"/>
                <w:highlight w:val="none"/>
                <w:lang w:val="zh-CN" w:eastAsia="zh-CN"/>
              </w:rPr>
              <w:t>各</w:t>
            </w:r>
            <w:r>
              <w:rPr>
                <w:rFonts w:hint="eastAsia" w:ascii="Times New Roman" w:hAnsi="Times New Roman" w:eastAsia="宋体" w:cs="Times New Roman"/>
                <w:snapToGrid w:val="0"/>
                <w:color w:val="auto"/>
                <w:kern w:val="24"/>
                <w:sz w:val="24"/>
                <w:szCs w:val="32"/>
                <w:highlight w:val="none"/>
                <w:lang w:val="zh-CN" w:eastAsia="zh-CN"/>
              </w:rPr>
              <w:t>机房冲洗用水量均为</w:t>
            </w:r>
            <w:r>
              <w:rPr>
                <w:rFonts w:hint="default" w:ascii="Times New Roman" w:hAnsi="Times New Roman" w:eastAsia="宋体" w:cs="Times New Roman"/>
                <w:snapToGrid w:val="0"/>
                <w:color w:val="auto"/>
                <w:kern w:val="24"/>
                <w:sz w:val="24"/>
                <w:szCs w:val="32"/>
                <w:highlight w:val="none"/>
                <w:lang w:val="zh-CN" w:eastAsia="zh-CN"/>
              </w:rPr>
              <w:t>9m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cs="Times New Roman"/>
                <w:snapToGrid w:val="0"/>
                <w:color w:val="auto"/>
                <w:kern w:val="24"/>
                <w:sz w:val="24"/>
                <w:szCs w:val="32"/>
                <w:highlight w:val="none"/>
                <w:lang w:val="zh-CN" w:eastAsia="zh-CN"/>
              </w:rPr>
              <w:t>，合计用水量为</w:t>
            </w:r>
            <w:r>
              <w:rPr>
                <w:rFonts w:hint="eastAsia" w:ascii="Times New Roman" w:hAnsi="Times New Roman" w:eastAsia="宋体" w:cs="Times New Roman"/>
                <w:snapToGrid w:val="0"/>
                <w:color w:val="auto"/>
                <w:kern w:val="24"/>
                <w:sz w:val="24"/>
                <w:szCs w:val="32"/>
                <w:highlight w:val="none"/>
                <w:lang w:val="en-US" w:eastAsia="zh-CN"/>
              </w:rPr>
              <w:t>54</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zh-CN" w:eastAsia="zh-CN"/>
              </w:rPr>
              <w:t>。</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ascii="Times New Roman" w:hAnsi="Times New Roman" w:eastAsia="宋体" w:cs="Times New Roman"/>
                <w:snapToGrid w:val="0"/>
                <w:color w:val="auto"/>
                <w:kern w:val="24"/>
                <w:sz w:val="24"/>
                <w:szCs w:val="32"/>
                <w:highlight w:val="none"/>
                <w:lang w:val="zh-CN"/>
              </w:rPr>
            </w:pPr>
            <w:r>
              <w:rPr>
                <w:rFonts w:hint="eastAsia" w:ascii="Times New Roman" w:hAnsi="Times New Roman" w:eastAsia="宋体" w:cs="Times New Roman"/>
                <w:snapToGrid w:val="0"/>
                <w:color w:val="auto"/>
                <w:kern w:val="24"/>
                <w:sz w:val="24"/>
                <w:szCs w:val="32"/>
                <w:highlight w:val="none"/>
                <w:lang w:val="zh-CN" w:eastAsia="zh-CN"/>
              </w:rPr>
              <w:t>项目转接机房用水</w:t>
            </w:r>
            <w:r>
              <w:rPr>
                <w:rFonts w:hint="eastAsia" w:cs="Times New Roman"/>
                <w:snapToGrid w:val="0"/>
                <w:color w:val="auto"/>
                <w:kern w:val="24"/>
                <w:sz w:val="24"/>
                <w:szCs w:val="32"/>
                <w:highlight w:val="none"/>
                <w:lang w:val="zh-CN" w:eastAsia="zh-CN"/>
              </w:rPr>
              <w:t>总</w:t>
            </w:r>
            <w:r>
              <w:rPr>
                <w:rFonts w:hint="eastAsia" w:ascii="Times New Roman" w:hAnsi="Times New Roman" w:eastAsia="宋体" w:cs="Times New Roman"/>
                <w:snapToGrid w:val="0"/>
                <w:color w:val="auto"/>
                <w:kern w:val="24"/>
                <w:sz w:val="24"/>
                <w:szCs w:val="32"/>
                <w:highlight w:val="none"/>
                <w:lang w:val="zh-CN" w:eastAsia="zh-CN"/>
              </w:rPr>
              <w:t>量为</w:t>
            </w:r>
            <w:r>
              <w:rPr>
                <w:rFonts w:hint="eastAsia" w:cs="Times New Roman"/>
                <w:snapToGrid w:val="0"/>
                <w:color w:val="auto"/>
                <w:kern w:val="24"/>
                <w:sz w:val="24"/>
                <w:szCs w:val="32"/>
                <w:highlight w:val="none"/>
                <w:lang w:val="en-US" w:eastAsia="zh-CN"/>
              </w:rPr>
              <w:t>132</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zh-CN" w:eastAsia="zh-CN"/>
              </w:rPr>
              <w:t>，新水</w:t>
            </w:r>
            <w:r>
              <w:rPr>
                <w:rFonts w:hint="eastAsia" w:cs="Times New Roman"/>
                <w:snapToGrid w:val="0"/>
                <w:color w:val="auto"/>
                <w:kern w:val="24"/>
                <w:sz w:val="24"/>
                <w:szCs w:val="32"/>
                <w:highlight w:val="none"/>
                <w:lang w:val="zh-CN" w:eastAsia="zh-CN"/>
              </w:rPr>
              <w:t>总</w:t>
            </w:r>
            <w:r>
              <w:rPr>
                <w:rFonts w:hint="eastAsia" w:ascii="Times New Roman" w:hAnsi="Times New Roman" w:eastAsia="宋体" w:cs="Times New Roman"/>
                <w:snapToGrid w:val="0"/>
                <w:color w:val="auto"/>
                <w:kern w:val="24"/>
                <w:sz w:val="24"/>
                <w:szCs w:val="32"/>
                <w:highlight w:val="none"/>
                <w:lang w:val="zh-CN" w:eastAsia="zh-CN"/>
              </w:rPr>
              <w:t>用量</w:t>
            </w:r>
            <w:r>
              <w:rPr>
                <w:rFonts w:hint="eastAsia" w:cs="Times New Roman"/>
                <w:snapToGrid w:val="0"/>
                <w:color w:val="auto"/>
                <w:kern w:val="24"/>
                <w:sz w:val="24"/>
                <w:szCs w:val="32"/>
                <w:highlight w:val="none"/>
                <w:lang w:val="en-US" w:eastAsia="zh-CN"/>
              </w:rPr>
              <w:t>23.5</w:t>
            </w:r>
            <w:r>
              <w:rPr>
                <w:rFonts w:hint="eastAsia" w:ascii="Times New Roman" w:hAnsi="Times New Roman" w:eastAsia="宋体" w:cs="Times New Roman"/>
                <w:snapToGrid w:val="0"/>
                <w:color w:val="auto"/>
                <w:kern w:val="24"/>
                <w:sz w:val="24"/>
                <w:szCs w:val="32"/>
                <w:highlight w:val="none"/>
                <w:lang w:val="en-US" w:eastAsia="zh-CN"/>
              </w:rPr>
              <w:t>71</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zh-CN" w:eastAsia="zh-CN"/>
              </w:rPr>
              <w:t>（年用水量</w:t>
            </w:r>
            <w:r>
              <w:rPr>
                <w:rFonts w:hint="eastAsia" w:cs="Times New Roman"/>
                <w:snapToGrid w:val="0"/>
                <w:color w:val="auto"/>
                <w:kern w:val="24"/>
                <w:sz w:val="24"/>
                <w:szCs w:val="32"/>
                <w:highlight w:val="none"/>
                <w:lang w:val="en-US" w:eastAsia="zh-CN"/>
              </w:rPr>
              <w:t>8249.85</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/a</w:t>
            </w:r>
            <w:r>
              <w:rPr>
                <w:rFonts w:hint="eastAsia" w:ascii="Times New Roman" w:hAnsi="Times New Roman" w:eastAsia="宋体" w:cs="Times New Roman"/>
                <w:snapToGrid w:val="0"/>
                <w:color w:val="auto"/>
                <w:kern w:val="24"/>
                <w:sz w:val="24"/>
                <w:szCs w:val="32"/>
                <w:highlight w:val="none"/>
                <w:lang w:val="zh-CN" w:eastAsia="zh-CN"/>
              </w:rPr>
              <w:t>），其中机房冲洗用水</w:t>
            </w:r>
            <w:r>
              <w:rPr>
                <w:rFonts w:hint="eastAsia" w:cs="Times New Roman"/>
                <w:snapToGrid w:val="0"/>
                <w:color w:val="auto"/>
                <w:kern w:val="24"/>
                <w:sz w:val="24"/>
                <w:szCs w:val="32"/>
                <w:highlight w:val="none"/>
                <w:lang w:val="zh-CN" w:eastAsia="zh-CN"/>
              </w:rPr>
              <w:t>总</w:t>
            </w:r>
            <w:r>
              <w:rPr>
                <w:rFonts w:hint="eastAsia" w:ascii="Times New Roman" w:hAnsi="Times New Roman" w:eastAsia="宋体" w:cs="Times New Roman"/>
                <w:snapToGrid w:val="0"/>
                <w:color w:val="auto"/>
                <w:kern w:val="24"/>
                <w:sz w:val="24"/>
                <w:szCs w:val="32"/>
                <w:highlight w:val="none"/>
                <w:lang w:val="zh-CN" w:eastAsia="zh-CN"/>
              </w:rPr>
              <w:t>量为</w:t>
            </w:r>
            <w:r>
              <w:rPr>
                <w:rFonts w:hint="eastAsia" w:ascii="Times New Roman" w:hAnsi="Times New Roman" w:eastAsia="宋体" w:cs="Times New Roman"/>
                <w:snapToGrid w:val="0"/>
                <w:color w:val="auto"/>
                <w:kern w:val="24"/>
                <w:sz w:val="24"/>
                <w:szCs w:val="32"/>
                <w:highlight w:val="none"/>
                <w:lang w:val="en-US" w:eastAsia="zh-CN"/>
              </w:rPr>
              <w:t>54</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zh-CN" w:eastAsia="zh-CN"/>
              </w:rPr>
              <w:t>，</w:t>
            </w:r>
            <w:r>
              <w:rPr>
                <w:rFonts w:hint="eastAsia" w:cs="Times New Roman"/>
                <w:snapToGrid w:val="0"/>
                <w:color w:val="auto"/>
                <w:kern w:val="24"/>
                <w:sz w:val="24"/>
                <w:szCs w:val="32"/>
                <w:highlight w:val="none"/>
                <w:lang w:val="zh-CN" w:eastAsia="zh-CN"/>
              </w:rPr>
              <w:t>包括</w:t>
            </w:r>
            <w:r>
              <w:rPr>
                <w:rFonts w:hint="eastAsia" w:ascii="Times New Roman" w:hAnsi="Times New Roman" w:eastAsia="宋体" w:cs="Times New Roman"/>
                <w:snapToGrid w:val="0"/>
                <w:color w:val="auto"/>
                <w:kern w:val="24"/>
                <w:sz w:val="24"/>
                <w:szCs w:val="32"/>
                <w:highlight w:val="none"/>
                <w:lang w:val="zh-CN" w:eastAsia="zh-CN"/>
              </w:rPr>
              <w:t>新水用量</w:t>
            </w:r>
            <w:r>
              <w:rPr>
                <w:rFonts w:hint="default" w:ascii="Times New Roman" w:hAnsi="Times New Roman" w:eastAsia="宋体" w:cs="Times New Roman"/>
                <w:snapToGrid w:val="0"/>
                <w:color w:val="auto"/>
                <w:kern w:val="24"/>
                <w:sz w:val="24"/>
                <w:szCs w:val="32"/>
                <w:highlight w:val="none"/>
                <w:lang w:val="zh-CN" w:eastAsia="zh-CN"/>
              </w:rPr>
              <w:t>9m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管带机展开段冲洗水用量为</w:t>
            </w:r>
            <w:r>
              <w:rPr>
                <w:rFonts w:hint="eastAsia" w:ascii="Times New Roman" w:hAnsi="Times New Roman" w:eastAsia="宋体" w:cs="Times New Roman"/>
                <w:snapToGrid w:val="0"/>
                <w:color w:val="auto"/>
                <w:kern w:val="24"/>
                <w:sz w:val="24"/>
                <w:szCs w:val="32"/>
                <w:highlight w:val="none"/>
                <w:lang w:val="en-US" w:eastAsia="zh-CN"/>
              </w:rPr>
              <w:t>6</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周（按天计</w:t>
            </w:r>
            <w:r>
              <w:rPr>
                <w:rFonts w:hint="default" w:ascii="Times New Roman" w:hAnsi="Times New Roman" w:eastAsia="宋体" w:cs="Times New Roman"/>
                <w:snapToGrid w:val="0"/>
                <w:color w:val="auto"/>
                <w:kern w:val="24"/>
                <w:sz w:val="24"/>
                <w:szCs w:val="32"/>
                <w:highlight w:val="none"/>
                <w:lang w:val="zh-CN" w:eastAsia="zh-CN"/>
              </w:rPr>
              <w:t>0.</w:t>
            </w:r>
            <w:r>
              <w:rPr>
                <w:rFonts w:hint="eastAsia" w:ascii="Times New Roman" w:hAnsi="Times New Roman" w:eastAsia="宋体" w:cs="Times New Roman"/>
                <w:snapToGrid w:val="0"/>
                <w:color w:val="auto"/>
                <w:kern w:val="24"/>
                <w:sz w:val="24"/>
                <w:szCs w:val="32"/>
                <w:highlight w:val="none"/>
                <w:lang w:val="en-US" w:eastAsia="zh-CN"/>
              </w:rPr>
              <w:t>86</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zh-CN" w:eastAsia="zh-CN"/>
              </w:rPr>
              <w:t>），</w:t>
            </w:r>
            <w:r>
              <w:rPr>
                <w:rFonts w:hint="eastAsia" w:cs="Times New Roman"/>
                <w:snapToGrid w:val="0"/>
                <w:color w:val="auto"/>
                <w:kern w:val="24"/>
                <w:sz w:val="24"/>
                <w:szCs w:val="32"/>
                <w:highlight w:val="none"/>
                <w:lang w:val="zh-CN" w:eastAsia="zh-CN"/>
              </w:rPr>
              <w:t>包括</w:t>
            </w:r>
            <w:r>
              <w:rPr>
                <w:rFonts w:hint="eastAsia" w:ascii="Times New Roman" w:hAnsi="Times New Roman" w:eastAsia="宋体" w:cs="Times New Roman"/>
                <w:snapToGrid w:val="0"/>
                <w:color w:val="auto"/>
                <w:kern w:val="24"/>
                <w:sz w:val="24"/>
                <w:szCs w:val="32"/>
                <w:highlight w:val="none"/>
                <w:lang w:val="zh-CN" w:eastAsia="zh-CN"/>
              </w:rPr>
              <w:t>新水用量</w:t>
            </w:r>
            <w:r>
              <w:rPr>
                <w:rFonts w:hint="eastAsia" w:ascii="Times New Roman" w:hAnsi="Times New Roman" w:eastAsia="宋体" w:cs="Times New Roman"/>
                <w:snapToGrid w:val="0"/>
                <w:color w:val="auto"/>
                <w:kern w:val="24"/>
                <w:sz w:val="24"/>
                <w:szCs w:val="32"/>
                <w:highlight w:val="none"/>
                <w:lang w:val="en-US" w:eastAsia="zh-CN"/>
              </w:rPr>
              <w:t>1.2</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w:t>
            </w:r>
            <w:r>
              <w:rPr>
                <w:rFonts w:hint="eastAsia" w:ascii="Times New Roman" w:hAnsi="Times New Roman" w:eastAsia="宋体" w:cs="Times New Roman"/>
                <w:snapToGrid w:val="0"/>
                <w:color w:val="auto"/>
                <w:kern w:val="24"/>
                <w:sz w:val="24"/>
                <w:szCs w:val="32"/>
                <w:highlight w:val="none"/>
                <w:lang w:val="zh-CN" w:eastAsia="zh-CN"/>
              </w:rPr>
              <w:t>周（按天计</w:t>
            </w:r>
            <w:r>
              <w:rPr>
                <w:rFonts w:hint="eastAsia" w:ascii="Times New Roman" w:hAnsi="Times New Roman" w:eastAsia="宋体" w:cs="Times New Roman"/>
                <w:snapToGrid w:val="0"/>
                <w:color w:val="auto"/>
                <w:kern w:val="24"/>
                <w:sz w:val="24"/>
                <w:szCs w:val="32"/>
                <w:highlight w:val="none"/>
                <w:lang w:val="en-US" w:eastAsia="zh-CN"/>
              </w:rPr>
              <w:t>0.171</w:t>
            </w:r>
            <w:r>
              <w:rPr>
                <w:rFonts w:hint="default"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default"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zh-CN" w:eastAsia="zh-CN"/>
              </w:rPr>
              <w:t>）。微干雾抑尘系统用水设计用水量为50L/min，喷淋时间为每天</w:t>
            </w:r>
            <w:r>
              <w:rPr>
                <w:rFonts w:hint="eastAsia" w:ascii="Times New Roman" w:hAnsi="Times New Roman" w:eastAsia="宋体" w:cs="Times New Roman"/>
                <w:snapToGrid w:val="0"/>
                <w:color w:val="auto"/>
                <w:kern w:val="24"/>
                <w:sz w:val="24"/>
                <w:szCs w:val="32"/>
                <w:highlight w:val="none"/>
                <w:lang w:val="en-US" w:eastAsia="zh-CN"/>
              </w:rPr>
              <w:t>24</w:t>
            </w:r>
            <w:r>
              <w:rPr>
                <w:rFonts w:hint="eastAsia" w:ascii="Times New Roman" w:hAnsi="Times New Roman" w:eastAsia="宋体" w:cs="Times New Roman"/>
                <w:snapToGrid w:val="0"/>
                <w:color w:val="auto"/>
                <w:kern w:val="24"/>
                <w:sz w:val="24"/>
                <w:szCs w:val="32"/>
                <w:highlight w:val="none"/>
                <w:lang w:val="zh-CN" w:eastAsia="zh-CN"/>
              </w:rPr>
              <w:t>h，则用水量</w:t>
            </w:r>
            <w:r>
              <w:rPr>
                <w:rFonts w:hint="eastAsia" w:ascii="Times New Roman" w:hAnsi="Times New Roman" w:eastAsia="宋体" w:cs="Times New Roman"/>
                <w:snapToGrid w:val="0"/>
                <w:color w:val="auto"/>
                <w:kern w:val="24"/>
                <w:sz w:val="24"/>
                <w:szCs w:val="32"/>
                <w:highlight w:val="none"/>
                <w:lang w:val="en-US" w:eastAsia="zh-CN"/>
              </w:rPr>
              <w:t>72</w:t>
            </w:r>
            <w:r>
              <w:rPr>
                <w:rFonts w:hint="eastAsia" w:ascii="Times New Roman" w:hAnsi="Times New Roman" w:eastAsia="宋体" w:cs="Times New Roman"/>
                <w:snapToGrid w:val="0"/>
                <w:color w:val="auto"/>
                <w:kern w:val="24"/>
                <w:sz w:val="24"/>
                <w:szCs w:val="32"/>
                <w:highlight w:val="none"/>
                <w:lang w:val="zh-CN" w:eastAsia="zh-CN"/>
              </w:rPr>
              <w:t>m</w:t>
            </w:r>
            <w:r>
              <w:rPr>
                <w:rFonts w:hint="eastAsia"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en-US" w:eastAsia="zh-CN"/>
              </w:rPr>
              <w:t>25200</w:t>
            </w:r>
            <w:r>
              <w:rPr>
                <w:rFonts w:hint="eastAsia" w:ascii="Times New Roman" w:hAnsi="Times New Roman" w:eastAsia="宋体" w:cs="Times New Roman"/>
                <w:snapToGrid w:val="0"/>
                <w:color w:val="auto"/>
                <w:kern w:val="24"/>
                <w:sz w:val="24"/>
                <w:szCs w:val="32"/>
                <w:highlight w:val="none"/>
                <w:lang w:val="zh-CN" w:eastAsia="zh-CN"/>
              </w:rPr>
              <w:t>m</w:t>
            </w:r>
            <w:r>
              <w:rPr>
                <w:rFonts w:hint="eastAsia"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/a），</w:t>
            </w:r>
            <w:r>
              <w:rPr>
                <w:rFonts w:hint="eastAsia" w:cs="Times New Roman"/>
                <w:snapToGrid w:val="0"/>
                <w:color w:val="auto"/>
                <w:kern w:val="24"/>
                <w:sz w:val="24"/>
                <w:szCs w:val="32"/>
                <w:highlight w:val="none"/>
                <w:lang w:val="zh-CN" w:eastAsia="zh-CN"/>
              </w:rPr>
              <w:t>包括</w:t>
            </w:r>
            <w:r>
              <w:rPr>
                <w:rFonts w:hint="eastAsia" w:ascii="Times New Roman" w:hAnsi="Times New Roman" w:eastAsia="宋体" w:cs="Times New Roman"/>
                <w:snapToGrid w:val="0"/>
                <w:color w:val="auto"/>
                <w:kern w:val="24"/>
                <w:sz w:val="24"/>
                <w:szCs w:val="32"/>
                <w:highlight w:val="none"/>
                <w:lang w:val="zh-CN" w:eastAsia="zh-CN"/>
              </w:rPr>
              <w:t>新水量为</w:t>
            </w:r>
            <w:r>
              <w:rPr>
                <w:rFonts w:hint="eastAsia" w:ascii="Times New Roman" w:hAnsi="Times New Roman" w:eastAsia="宋体" w:cs="Times New Roman"/>
                <w:snapToGrid w:val="0"/>
                <w:color w:val="auto"/>
                <w:kern w:val="24"/>
                <w:sz w:val="24"/>
                <w:szCs w:val="32"/>
                <w:highlight w:val="none"/>
                <w:lang w:val="en-US" w:eastAsia="zh-CN"/>
              </w:rPr>
              <w:t>14.4</w:t>
            </w:r>
            <w:r>
              <w:rPr>
                <w:rFonts w:hint="eastAsia" w:ascii="Times New Roman" w:hAnsi="Times New Roman" w:eastAsia="宋体" w:cs="Times New Roman"/>
                <w:snapToGrid w:val="0"/>
                <w:color w:val="auto"/>
                <w:kern w:val="24"/>
                <w:sz w:val="24"/>
                <w:szCs w:val="32"/>
                <w:highlight w:val="none"/>
                <w:lang w:val="zh-CN" w:eastAsia="zh-CN"/>
              </w:rPr>
              <w:t>m</w:t>
            </w:r>
            <w:r>
              <w:rPr>
                <w:rFonts w:hint="eastAsia"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en-US" w:eastAsia="zh-CN"/>
              </w:rPr>
              <w:t>5040</w:t>
            </w:r>
            <w:r>
              <w:rPr>
                <w:rFonts w:hint="eastAsia" w:ascii="Times New Roman" w:hAnsi="Times New Roman" w:eastAsia="宋体" w:cs="Times New Roman"/>
                <w:snapToGrid w:val="0"/>
                <w:color w:val="auto"/>
                <w:kern w:val="24"/>
                <w:sz w:val="24"/>
                <w:szCs w:val="32"/>
                <w:highlight w:val="none"/>
                <w:lang w:val="zh-CN" w:eastAsia="zh-CN"/>
              </w:rPr>
              <w:t>m</w:t>
            </w:r>
            <w:r>
              <w:rPr>
                <w:rFonts w:hint="eastAsia"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/a）。</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cs="Times New Roman"/>
                <w:snapToGrid w:val="0"/>
                <w:color w:val="auto"/>
                <w:kern w:val="24"/>
                <w:sz w:val="24"/>
                <w:szCs w:val="32"/>
                <w:highlight w:val="none"/>
                <w:lang w:val="en-US" w:eastAsia="zh-CN"/>
              </w:rPr>
              <w:t>2、排水：</w:t>
            </w:r>
            <w:r>
              <w:rPr>
                <w:rFonts w:hint="eastAsia" w:ascii="Times New Roman" w:hAnsi="Times New Roman" w:eastAsia="宋体" w:cs="Times New Roman"/>
                <w:snapToGrid w:val="0"/>
                <w:color w:val="auto"/>
                <w:kern w:val="24"/>
                <w:sz w:val="24"/>
                <w:szCs w:val="32"/>
                <w:highlight w:val="none"/>
                <w:lang w:val="zh-CN" w:eastAsia="zh-CN"/>
              </w:rPr>
              <w:t>本项目设置水洗清扫器清扫管带机展开段残留的物料，约每周清洗一次。管带机展开段清洗废水量约为</w:t>
            </w:r>
            <w:r>
              <w:rPr>
                <w:rFonts w:hint="eastAsia" w:ascii="Times New Roman" w:hAnsi="Times New Roman" w:eastAsia="宋体" w:cs="Times New Roman"/>
                <w:snapToGrid w:val="0"/>
                <w:color w:val="auto"/>
                <w:kern w:val="24"/>
                <w:sz w:val="24"/>
                <w:szCs w:val="32"/>
                <w:highlight w:val="none"/>
                <w:lang w:val="en-US" w:eastAsia="zh-CN"/>
              </w:rPr>
              <w:t>4.8</w:t>
            </w:r>
            <w:r>
              <w:rPr>
                <w:rFonts w:hint="eastAsia"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/周（按天计0.6</w:t>
            </w:r>
            <w:r>
              <w:rPr>
                <w:rFonts w:hint="eastAsia" w:ascii="Times New Roman" w:hAnsi="Times New Roman" w:eastAsia="宋体" w:cs="Times New Roman"/>
                <w:snapToGrid w:val="0"/>
                <w:color w:val="auto"/>
                <w:kern w:val="24"/>
                <w:sz w:val="24"/>
                <w:szCs w:val="32"/>
                <w:highlight w:val="none"/>
                <w:lang w:val="en-US" w:eastAsia="zh-CN"/>
              </w:rPr>
              <w:t>9</w:t>
            </w:r>
            <w:r>
              <w:rPr>
                <w:rFonts w:hint="eastAsia"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en-US" w:eastAsia="zh-CN"/>
              </w:rPr>
              <w:t>240</w:t>
            </w:r>
            <w:r>
              <w:rPr>
                <w:rFonts w:hint="eastAsia"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/a），经管道收集至沉淀池沉淀后回用于管带机展开段及机房地面冲洗。</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ascii="Times New Roman" w:hAnsi="Times New Roman" w:eastAsia="宋体" w:cs="Times New Roman"/>
                <w:snapToGrid w:val="0"/>
                <w:color w:val="auto"/>
                <w:kern w:val="24"/>
                <w:sz w:val="24"/>
                <w:szCs w:val="32"/>
                <w:highlight w:val="none"/>
                <w:lang w:val="zh-CN" w:eastAsia="zh-CN"/>
              </w:rPr>
              <w:t>项目转接机房地面每天冲洗一次，地面冲洗废水量约为</w:t>
            </w:r>
            <w:r>
              <w:rPr>
                <w:rFonts w:hint="eastAsia" w:ascii="Times New Roman" w:hAnsi="Times New Roman" w:eastAsia="宋体" w:cs="Times New Roman"/>
                <w:snapToGrid w:val="0"/>
                <w:color w:val="auto"/>
                <w:kern w:val="24"/>
                <w:sz w:val="24"/>
                <w:szCs w:val="32"/>
                <w:highlight w:val="none"/>
                <w:lang w:val="en-US" w:eastAsia="zh-CN"/>
              </w:rPr>
              <w:t>45</w:t>
            </w:r>
            <w:r>
              <w:rPr>
                <w:rFonts w:hint="eastAsia"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en-US" w:eastAsia="zh-CN"/>
              </w:rPr>
              <w:t>1575</w:t>
            </w:r>
            <w:r>
              <w:rPr>
                <w:rFonts w:hint="eastAsia" w:ascii="Times New Roman" w:hAnsi="Times New Roman" w:eastAsia="宋体" w:cs="Times New Roman"/>
                <w:snapToGrid w:val="0"/>
                <w:color w:val="auto"/>
                <w:kern w:val="24"/>
                <w:sz w:val="24"/>
                <w:szCs w:val="32"/>
                <w:highlight w:val="none"/>
                <w:lang w:val="zh-CN" w:eastAsia="zh-CN"/>
              </w:rPr>
              <w:t>0m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/a），经管道收集至沉淀池沉淀后回用于管带机展开段及机房地面冲洗。</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ascii="Times New Roman" w:hAnsi="Times New Roman" w:eastAsia="宋体" w:cs="Times New Roman"/>
                <w:snapToGrid w:val="0"/>
                <w:color w:val="auto"/>
                <w:kern w:val="24"/>
                <w:sz w:val="24"/>
                <w:szCs w:val="32"/>
                <w:highlight w:val="none"/>
                <w:lang w:val="zh-CN" w:eastAsia="zh-CN"/>
              </w:rPr>
              <w:t>微干雾抑尘系统喷淋时间为每天</w:t>
            </w:r>
            <w:r>
              <w:rPr>
                <w:rFonts w:hint="eastAsia" w:ascii="Times New Roman" w:hAnsi="Times New Roman" w:eastAsia="宋体" w:cs="Times New Roman"/>
                <w:snapToGrid w:val="0"/>
                <w:color w:val="auto"/>
                <w:kern w:val="24"/>
                <w:sz w:val="24"/>
                <w:szCs w:val="32"/>
                <w:highlight w:val="none"/>
                <w:lang w:val="en-US" w:eastAsia="zh-CN"/>
              </w:rPr>
              <w:t>24</w:t>
            </w:r>
            <w:r>
              <w:rPr>
                <w:rFonts w:hint="eastAsia" w:ascii="Times New Roman" w:hAnsi="Times New Roman" w:eastAsia="宋体" w:cs="Times New Roman"/>
                <w:snapToGrid w:val="0"/>
                <w:color w:val="auto"/>
                <w:kern w:val="24"/>
                <w:sz w:val="24"/>
                <w:szCs w:val="32"/>
                <w:highlight w:val="none"/>
                <w:lang w:val="zh-CN" w:eastAsia="zh-CN"/>
              </w:rPr>
              <w:t>h，废水量</w:t>
            </w:r>
            <w:r>
              <w:rPr>
                <w:rFonts w:hint="eastAsia" w:ascii="Times New Roman" w:hAnsi="Times New Roman" w:eastAsia="宋体" w:cs="Times New Roman"/>
                <w:snapToGrid w:val="0"/>
                <w:color w:val="auto"/>
                <w:kern w:val="24"/>
                <w:sz w:val="24"/>
                <w:szCs w:val="32"/>
                <w:highlight w:val="none"/>
                <w:lang w:val="en-US" w:eastAsia="zh-CN"/>
              </w:rPr>
              <w:t>57.6</w:t>
            </w:r>
            <w:r>
              <w:rPr>
                <w:rFonts w:hint="eastAsia" w:ascii="Times New Roman" w:hAnsi="Times New Roman" w:eastAsia="宋体" w:cs="Times New Roman"/>
                <w:snapToGrid w:val="0"/>
                <w:color w:val="auto"/>
                <w:kern w:val="24"/>
                <w:sz w:val="24"/>
                <w:szCs w:val="32"/>
                <w:highlight w:val="none"/>
                <w:lang w:val="zh-CN" w:eastAsia="zh-CN"/>
              </w:rPr>
              <w:t>m</w:t>
            </w:r>
            <w:r>
              <w:rPr>
                <w:rFonts w:hint="eastAsia"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en-US" w:eastAsia="zh-CN"/>
              </w:rPr>
              <w:t>20160</w:t>
            </w:r>
            <w:r>
              <w:rPr>
                <w:rFonts w:hint="eastAsia" w:ascii="Times New Roman" w:hAnsi="Times New Roman" w:eastAsia="宋体" w:cs="Times New Roman"/>
                <w:snapToGrid w:val="0"/>
                <w:color w:val="auto"/>
                <w:kern w:val="24"/>
                <w:sz w:val="24"/>
                <w:szCs w:val="32"/>
                <w:highlight w:val="none"/>
                <w:lang w:val="zh-CN" w:eastAsia="zh-CN"/>
              </w:rPr>
              <w:t>m</w:t>
            </w:r>
            <w:r>
              <w:rPr>
                <w:rFonts w:hint="eastAsia"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/a），经管道收集至沉淀池沉淀后回用于管带机展开段及机房地面冲洗。</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ascii="Times New Roman" w:hAnsi="Times New Roman" w:eastAsia="宋体" w:cs="Times New Roman"/>
                <w:snapToGrid w:val="0"/>
                <w:color w:val="auto"/>
                <w:kern w:val="24"/>
                <w:sz w:val="24"/>
                <w:szCs w:val="32"/>
                <w:highlight w:val="none"/>
                <w:lang w:val="zh-CN" w:eastAsia="zh-CN"/>
              </w:rPr>
              <w:t>生产废水产生量为</w:t>
            </w:r>
            <w:r>
              <w:rPr>
                <w:rFonts w:hint="eastAsia" w:ascii="Times New Roman" w:hAnsi="Times New Roman" w:eastAsia="宋体" w:cs="Times New Roman"/>
                <w:snapToGrid w:val="0"/>
                <w:color w:val="auto"/>
                <w:kern w:val="24"/>
                <w:sz w:val="24"/>
                <w:szCs w:val="32"/>
                <w:highlight w:val="none"/>
                <w:lang w:val="en-US" w:eastAsia="zh-CN"/>
              </w:rPr>
              <w:t>107.4</w:t>
            </w:r>
            <w:r>
              <w:rPr>
                <w:rFonts w:hint="eastAsia"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/d（</w:t>
            </w:r>
            <w:r>
              <w:rPr>
                <w:rFonts w:hint="eastAsia" w:ascii="Times New Roman" w:hAnsi="Times New Roman" w:eastAsia="宋体" w:cs="Times New Roman"/>
                <w:snapToGrid w:val="0"/>
                <w:color w:val="auto"/>
                <w:kern w:val="24"/>
                <w:sz w:val="24"/>
                <w:szCs w:val="32"/>
                <w:highlight w:val="none"/>
                <w:lang w:val="en-US" w:eastAsia="zh-CN"/>
              </w:rPr>
              <w:t>37590</w:t>
            </w:r>
            <w:r>
              <w:rPr>
                <w:rFonts w:hint="eastAsia" w:ascii="Times New Roman" w:hAnsi="Times New Roman" w:eastAsia="宋体" w:cs="Times New Roman"/>
                <w:snapToGrid w:val="0"/>
                <w:color w:val="auto"/>
                <w:kern w:val="24"/>
                <w:sz w:val="24"/>
                <w:szCs w:val="32"/>
                <w:highlight w:val="none"/>
                <w:lang w:val="zh-CN" w:eastAsia="zh-CN"/>
              </w:rPr>
              <w:t>m</w:t>
            </w:r>
            <w:r>
              <w:rPr>
                <w:rFonts w:hint="default" w:ascii="Times New Roman" w:hAnsi="Times New Roman" w:eastAsia="宋体" w:cs="Times New Roman"/>
                <w:snapToGrid w:val="0"/>
                <w:color w:val="auto"/>
                <w:kern w:val="24"/>
                <w:sz w:val="24"/>
                <w:szCs w:val="32"/>
                <w:highlight w:val="none"/>
                <w:vertAlign w:val="superscript"/>
                <w:lang w:val="zh-CN" w:eastAsia="zh-CN"/>
              </w:rPr>
              <w:t>3</w:t>
            </w:r>
            <w:r>
              <w:rPr>
                <w:rFonts w:hint="eastAsia" w:ascii="Times New Roman" w:hAnsi="Times New Roman" w:eastAsia="宋体" w:cs="Times New Roman"/>
                <w:snapToGrid w:val="0"/>
                <w:color w:val="auto"/>
                <w:kern w:val="24"/>
                <w:sz w:val="24"/>
                <w:szCs w:val="32"/>
                <w:highlight w:val="none"/>
                <w:lang w:val="zh-CN" w:eastAsia="zh-CN"/>
              </w:rPr>
              <w:t>/a）经管道收集至沉淀池沉淀后回用于管带机展开段及机房地面冲洗，项目无生产废水外排。</w:t>
            </w:r>
          </w:p>
          <w:p>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kern w:val="24"/>
                <w:sz w:val="24"/>
                <w:szCs w:val="32"/>
                <w:highlight w:val="none"/>
                <w:lang w:val="zh-CN" w:eastAsia="zh-CN"/>
              </w:rPr>
            </w:pPr>
            <w:r>
              <w:rPr>
                <w:rFonts w:hint="eastAsia" w:ascii="Times New Roman" w:hAnsi="Times New Roman" w:eastAsia="宋体" w:cs="Times New Roman"/>
                <w:snapToGrid w:val="0"/>
                <w:color w:val="auto"/>
                <w:kern w:val="24"/>
                <w:sz w:val="24"/>
                <w:szCs w:val="32"/>
                <w:highlight w:val="none"/>
                <w:lang w:val="zh-CN" w:eastAsia="zh-CN"/>
              </w:rPr>
              <w:t>本项目给排水平衡表见表 14，水量平衡图见图</w:t>
            </w:r>
            <w:r>
              <w:rPr>
                <w:rFonts w:hint="eastAsia" w:cs="Times New Roman"/>
                <w:snapToGrid w:val="0"/>
                <w:color w:val="auto"/>
                <w:kern w:val="24"/>
                <w:sz w:val="24"/>
                <w:szCs w:val="32"/>
                <w:highlight w:val="none"/>
                <w:lang w:val="en-US" w:eastAsia="zh-CN"/>
              </w:rPr>
              <w:t>2-1</w:t>
            </w:r>
            <w:r>
              <w:rPr>
                <w:rFonts w:hint="eastAsia" w:ascii="Times New Roman" w:hAnsi="Times New Roman" w:eastAsia="宋体" w:cs="Times New Roman"/>
                <w:snapToGrid w:val="0"/>
                <w:color w:val="auto"/>
                <w:kern w:val="24"/>
                <w:sz w:val="24"/>
                <w:szCs w:val="32"/>
                <w:highlight w:val="none"/>
                <w:lang w:val="zh-CN" w:eastAsia="zh-CN"/>
              </w:rPr>
              <w:t>1</w:t>
            </w:r>
          </w:p>
          <w:p>
            <w:pPr>
              <w:keepNext w:val="0"/>
              <w:keepLines w:val="0"/>
              <w:suppressLineNumbers w:val="0"/>
              <w:tabs>
                <w:tab w:val="left" w:pos="180"/>
              </w:tabs>
              <w:spacing w:before="0" w:beforeAutospacing="0" w:after="0" w:afterAutospacing="0" w:line="480" w:lineRule="exact"/>
              <w:ind w:left="0" w:right="0"/>
              <w:jc w:val="center"/>
              <w:rPr>
                <w:rFonts w:hint="eastAsia" w:ascii="Times New Roman" w:hAnsi="Times New Roman" w:eastAsia="宋体" w:cs="Times New Roman"/>
                <w:b/>
                <w:color w:val="auto"/>
                <w:highlight w:val="none"/>
                <w:lang w:eastAsia="zh-CN"/>
              </w:rPr>
            </w:pPr>
            <w:r>
              <w:rPr>
                <w:rFonts w:ascii="Times New Roman" w:hAnsi="Times New Roman" w:eastAsia="宋体" w:cs="Times New Roman"/>
                <w:b/>
                <w:color w:val="auto"/>
                <w:highlight w:val="none"/>
              </w:rPr>
              <w:t>表</w:t>
            </w:r>
            <w:r>
              <w:rPr>
                <w:rFonts w:hint="eastAsia" w:ascii="Times New Roman" w:hAnsi="Times New Roman" w:eastAsia="宋体" w:cs="Times New Roman"/>
                <w:b/>
                <w:color w:val="auto"/>
                <w:highlight w:val="none"/>
              </w:rPr>
              <w:t>2-</w:t>
            </w:r>
            <w:r>
              <w:rPr>
                <w:rFonts w:hint="eastAsia" w:ascii="Times New Roman" w:hAnsi="Times New Roman" w:eastAsia="宋体" w:cs="Times New Roman"/>
                <w:b/>
                <w:color w:val="auto"/>
                <w:highlight w:val="none"/>
                <w:lang w:val="en-US" w:eastAsia="zh-CN"/>
              </w:rPr>
              <w:t>13</w:t>
            </w:r>
            <w:r>
              <w:rPr>
                <w:rFonts w:ascii="Times New Roman" w:hAnsi="Times New Roman" w:eastAsia="宋体" w:cs="Times New Roman"/>
                <w:b/>
                <w:color w:val="auto"/>
                <w:highlight w:val="none"/>
              </w:rPr>
              <w:t xml:space="preserve">    项目</w:t>
            </w:r>
            <w:r>
              <w:rPr>
                <w:rFonts w:hint="eastAsia" w:ascii="Times New Roman" w:hAnsi="Times New Roman" w:eastAsia="宋体" w:cs="Times New Roman"/>
                <w:b/>
                <w:color w:val="auto"/>
                <w:highlight w:val="none"/>
              </w:rPr>
              <w:t>水量平衡表</w:t>
            </w:r>
            <w:r>
              <w:rPr>
                <w:rFonts w:ascii="Times New Roman" w:hAnsi="Times New Roman" w:eastAsia="宋体" w:cs="Times New Roman"/>
                <w:b/>
                <w:color w:val="auto"/>
                <w:highlight w:val="none"/>
              </w:rPr>
              <w:t xml:space="preserve">   单位：m</w:t>
            </w:r>
            <w:r>
              <w:rPr>
                <w:rFonts w:ascii="Times New Roman" w:hAnsi="Times New Roman" w:eastAsia="宋体" w:cs="Times New Roman"/>
                <w:b/>
                <w:color w:val="auto"/>
                <w:highlight w:val="none"/>
                <w:vertAlign w:val="superscript"/>
              </w:rPr>
              <w:t>3</w:t>
            </w:r>
            <w:r>
              <w:rPr>
                <w:rFonts w:ascii="Times New Roman" w:hAnsi="Times New Roman" w:eastAsia="宋体" w:cs="Times New Roman"/>
                <w:b/>
                <w:color w:val="auto"/>
                <w:highlight w:val="none"/>
              </w:rPr>
              <w:t>/</w:t>
            </w:r>
            <w:r>
              <w:rPr>
                <w:rFonts w:hint="eastAsia" w:ascii="Times New Roman" w:hAnsi="Times New Roman" w:eastAsia="宋体" w:cs="Times New Roman"/>
                <w:b/>
                <w:color w:val="auto"/>
                <w:highlight w:val="none"/>
                <w:lang w:val="en-US" w:eastAsia="zh-CN"/>
              </w:rPr>
              <w:t>d</w:t>
            </w:r>
          </w:p>
          <w:tbl>
            <w:tblPr>
              <w:tblStyle w:val="27"/>
              <w:tblW w:w="4998"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Layout w:type="autofit"/>
              <w:tblCellMar>
                <w:top w:w="0" w:type="dxa"/>
                <w:left w:w="108" w:type="dxa"/>
                <w:bottom w:w="0" w:type="dxa"/>
                <w:right w:w="108" w:type="dxa"/>
              </w:tblCellMar>
            </w:tblPr>
            <w:tblGrid>
              <w:gridCol w:w="1326"/>
              <w:gridCol w:w="1377"/>
              <w:gridCol w:w="1040"/>
              <w:gridCol w:w="1590"/>
              <w:gridCol w:w="1314"/>
              <w:gridCol w:w="155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340" w:hRule="atLeast"/>
                <w:jc w:val="center"/>
              </w:trPr>
              <w:tc>
                <w:tcPr>
                  <w:tcW w:w="808" w:type="pct"/>
                  <w:tcBorders>
                    <w:tl2br w:val="nil"/>
                    <w:tr2bl w:val="nil"/>
                  </w:tcBorders>
                  <w:noWrap w:val="0"/>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用水点</w:t>
                  </w:r>
                </w:p>
              </w:tc>
              <w:tc>
                <w:tcPr>
                  <w:tcW w:w="839" w:type="pct"/>
                  <w:tcBorders>
                    <w:tl2br w:val="nil"/>
                    <w:tr2bl w:val="nil"/>
                  </w:tcBorders>
                  <w:noWrap w:val="0"/>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总用水量</w:t>
                  </w:r>
                </w:p>
              </w:tc>
              <w:tc>
                <w:tcPr>
                  <w:tcW w:w="634" w:type="pct"/>
                  <w:tcBorders>
                    <w:tl2br w:val="nil"/>
                    <w:tr2bl w:val="nil"/>
                  </w:tcBorders>
                  <w:noWrap w:val="0"/>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新鲜用水量</w:t>
                  </w:r>
                </w:p>
              </w:tc>
              <w:tc>
                <w:tcPr>
                  <w:tcW w:w="969" w:type="pct"/>
                  <w:tcBorders>
                    <w:tl2br w:val="nil"/>
                    <w:tr2bl w:val="nil"/>
                  </w:tcBorders>
                  <w:noWrap w:val="0"/>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循环用水量</w:t>
                  </w:r>
                </w:p>
              </w:tc>
              <w:tc>
                <w:tcPr>
                  <w:tcW w:w="801" w:type="pct"/>
                  <w:tcBorders>
                    <w:tl2br w:val="nil"/>
                    <w:tr2bl w:val="nil"/>
                  </w:tcBorders>
                  <w:noWrap w:val="0"/>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损耗水量</w:t>
                  </w:r>
                </w:p>
              </w:tc>
              <w:tc>
                <w:tcPr>
                  <w:tcW w:w="946" w:type="pct"/>
                  <w:tcBorders>
                    <w:tl2br w:val="nil"/>
                    <w:tr2bl w:val="nil"/>
                  </w:tcBorders>
                  <w:noWrap w:val="0"/>
                  <w:vAlign w:val="center"/>
                </w:tcPr>
                <w:p>
                  <w:pPr>
                    <w:keepNext w:val="0"/>
                    <w:keepLines w:val="0"/>
                    <w:suppressLineNumbers w:val="0"/>
                    <w:adjustRightInd w:val="0"/>
                    <w:snapToGrid w:val="0"/>
                    <w:spacing w:before="0" w:beforeAutospacing="0" w:after="0" w:afterAutospacing="0" w:line="240" w:lineRule="atLeast"/>
                    <w:ind w:left="0" w:right="0"/>
                    <w:jc w:val="center"/>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排水量</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4" w:space="0"/>
                </w:tblBorders>
                <w:tblCellMar>
                  <w:top w:w="0" w:type="dxa"/>
                  <w:left w:w="108" w:type="dxa"/>
                  <w:bottom w:w="0" w:type="dxa"/>
                  <w:right w:w="108" w:type="dxa"/>
                </w:tblCellMar>
              </w:tblPrEx>
              <w:trPr>
                <w:trHeight w:val="340" w:hRule="atLeast"/>
                <w:jc w:val="center"/>
              </w:trPr>
              <w:tc>
                <w:tcPr>
                  <w:tcW w:w="808" w:type="pct"/>
                  <w:tcBorders>
                    <w:tl2br w:val="nil"/>
                    <w:tr2bl w:val="nil"/>
                  </w:tcBorders>
                  <w:noWrap w:val="0"/>
                  <w:vAlign w:val="center"/>
                </w:tcPr>
                <w:p>
                  <w:pPr>
                    <w:keepNext w:val="0"/>
                    <w:keepLines w:val="0"/>
                    <w:suppressLineNumbers w:val="0"/>
                    <w:adjustRightInd w:val="0"/>
                    <w:snapToGrid w:val="0"/>
                    <w:spacing w:before="0" w:beforeAutospacing="0" w:after="0" w:afterAutospacing="0" w:line="240" w:lineRule="atLeast"/>
                    <w:ind w:left="0" w:right="0"/>
                    <w:jc w:val="center"/>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生产用水</w:t>
                  </w:r>
                </w:p>
              </w:tc>
              <w:tc>
                <w:tcPr>
                  <w:tcW w:w="839"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u w:val="none"/>
                      <w:lang w:val="en-US" w:eastAsia="zh-CN" w:bidi="ar"/>
                    </w:rPr>
                    <w:t>60</w:t>
                  </w:r>
                </w:p>
              </w:tc>
              <w:tc>
                <w:tcPr>
                  <w:tcW w:w="634"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u w:val="none"/>
                      <w:lang w:val="en-US" w:eastAsia="zh-CN" w:bidi="ar"/>
                    </w:rPr>
                    <w:t>23.571</w:t>
                  </w:r>
                </w:p>
              </w:tc>
              <w:tc>
                <w:tcPr>
                  <w:tcW w:w="969"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u w:val="none"/>
                      <w:lang w:val="en-US" w:eastAsia="zh-CN" w:bidi="ar"/>
                    </w:rPr>
                    <w:t>103.29</w:t>
                  </w:r>
                </w:p>
              </w:tc>
              <w:tc>
                <w:tcPr>
                  <w:tcW w:w="801"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i w:val="0"/>
                      <w:iCs w:val="0"/>
                      <w:color w:val="auto"/>
                      <w:kern w:val="0"/>
                      <w:sz w:val="21"/>
                      <w:szCs w:val="21"/>
                      <w:u w:val="none"/>
                      <w:lang w:val="en-US" w:eastAsia="zh-CN" w:bidi="ar"/>
                    </w:rPr>
                  </w:pPr>
                  <w:r>
                    <w:rPr>
                      <w:rFonts w:hint="eastAsia" w:ascii="Times New Roman" w:hAnsi="Times New Roman" w:eastAsia="宋体" w:cs="Times New Roman"/>
                      <w:i w:val="0"/>
                      <w:iCs w:val="0"/>
                      <w:color w:val="auto"/>
                      <w:kern w:val="0"/>
                      <w:sz w:val="21"/>
                      <w:szCs w:val="21"/>
                      <w:u w:val="none"/>
                      <w:lang w:val="en-US" w:eastAsia="zh-CN" w:bidi="ar"/>
                    </w:rPr>
                    <w:t>23.571</w:t>
                  </w:r>
                </w:p>
              </w:tc>
              <w:tc>
                <w:tcPr>
                  <w:tcW w:w="946" w:type="pct"/>
                  <w:tcBorders>
                    <w:tl2br w:val="nil"/>
                    <w:tr2bl w:val="nil"/>
                  </w:tcBorders>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i w:val="0"/>
                      <w:iCs w:val="0"/>
                      <w:color w:val="auto"/>
                      <w:kern w:val="0"/>
                      <w:sz w:val="21"/>
                      <w:szCs w:val="21"/>
                      <w:u w:val="none"/>
                      <w:lang w:val="en-US" w:eastAsia="zh-CN" w:bidi="ar"/>
                    </w:rPr>
                    <w:t>0</w:t>
                  </w:r>
                </w:p>
              </w:tc>
            </w:tr>
          </w:tbl>
          <w:p>
            <w:pPr>
              <w:pStyle w:val="67"/>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eastAsia="宋体" w:cs="Times New Roman"/>
                <w:color w:val="auto"/>
                <w:sz w:val="21"/>
                <w:szCs w:val="21"/>
                <w:highlight w:val="none"/>
                <w:lang w:eastAsia="zh-CN"/>
              </w:rPr>
            </w:pPr>
          </w:p>
          <w:p>
            <w:pPr>
              <w:pStyle w:val="67"/>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cs="Times New Roman"/>
                <w:b/>
                <w:bCs/>
                <w:color w:val="auto"/>
                <w:sz w:val="21"/>
                <w:szCs w:val="21"/>
                <w:highlight w:val="none"/>
                <w:lang w:eastAsia="zh-CN"/>
              </w:rPr>
            </w:pPr>
            <w:r>
              <w:rPr>
                <w:rFonts w:hint="default" w:ascii="Times New Roman" w:hAnsi="Times New Roman" w:eastAsia="宋体" w:cs="Times New Roman"/>
                <w:b/>
                <w:color w:val="auto"/>
                <w:sz w:val="24"/>
                <w:highlight w:val="none"/>
                <w:lang w:eastAsia="zh-CN" w:bidi="ar"/>
              </w:rPr>
              <w:object>
                <v:shape id="_x0000_i1025" o:spt="75" type="#_x0000_t75" style="height:145.3pt;width:241.95pt;" o:ole="t" filled="f" o:preferrelative="t" stroked="f" coordsize="21600,21600">
                  <v:path/>
                  <v:fill on="f" focussize="0,0"/>
                  <v:stroke on="f"/>
                  <v:imagedata r:id="rId8" o:title=""/>
                  <o:lock v:ext="edit" aspectratio="f"/>
                  <w10:wrap type="none"/>
                  <w10:anchorlock/>
                </v:shape>
                <o:OLEObject Type="Embed" ProgID="Visio.Drawing.11" ShapeID="_x0000_i1025" DrawAspect="Content" ObjectID="_1468075725" r:id="rId7">
                  <o:LockedField>false</o:LockedField>
                </o:OLEObject>
              </w:object>
            </w:r>
          </w:p>
          <w:p>
            <w:pPr>
              <w:pStyle w:val="67"/>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eastAsia="宋体" w:cs="Times New Roman"/>
                <w:b/>
                <w:bCs/>
                <w:color w:val="auto"/>
                <w:sz w:val="21"/>
                <w:szCs w:val="21"/>
                <w:highlight w:val="none"/>
                <w:lang w:val="en-US" w:eastAsia="zh-CN"/>
              </w:rPr>
            </w:pPr>
            <w:r>
              <w:rPr>
                <w:rFonts w:hint="eastAsia" w:cs="Times New Roman"/>
                <w:b/>
                <w:bCs/>
                <w:color w:val="auto"/>
                <w:sz w:val="21"/>
                <w:szCs w:val="21"/>
                <w:highlight w:val="none"/>
                <w:lang w:eastAsia="zh-CN"/>
              </w:rPr>
              <w:t>图</w:t>
            </w:r>
            <w:r>
              <w:rPr>
                <w:rFonts w:hint="eastAsia" w:cs="Times New Roman"/>
                <w:b/>
                <w:bCs/>
                <w:color w:val="auto"/>
                <w:sz w:val="21"/>
                <w:szCs w:val="21"/>
                <w:highlight w:val="none"/>
                <w:lang w:val="en-US" w:eastAsia="zh-CN"/>
              </w:rPr>
              <w:t>2-1   项目水量平衡图    单位：m</w:t>
            </w:r>
            <w:r>
              <w:rPr>
                <w:rFonts w:hint="eastAsia" w:cs="Times New Roman"/>
                <w:b/>
                <w:bCs/>
                <w:color w:val="auto"/>
                <w:sz w:val="21"/>
                <w:szCs w:val="21"/>
                <w:highlight w:val="none"/>
                <w:vertAlign w:val="superscript"/>
                <w:lang w:val="en-US" w:eastAsia="zh-CN"/>
              </w:rPr>
              <w:t>3</w:t>
            </w:r>
            <w:r>
              <w:rPr>
                <w:rFonts w:hint="eastAsia" w:cs="Times New Roman"/>
                <w:b/>
                <w:bCs/>
                <w:color w:val="auto"/>
                <w:sz w:val="21"/>
                <w:szCs w:val="21"/>
                <w:highlight w:val="none"/>
                <w:lang w:val="en-US" w:eastAsia="zh-CN"/>
              </w:rPr>
              <w:t>/d</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eastAsia="宋体" w:cs="Times New Roman"/>
                <w:bCs/>
                <w:color w:val="auto"/>
                <w:kern w:val="2"/>
                <w:sz w:val="24"/>
                <w:szCs w:val="21"/>
                <w:highlight w:val="none"/>
                <w:lang w:val="en-US" w:eastAsia="zh-CN" w:bidi="ar-SA"/>
              </w:rPr>
            </w:pPr>
            <w:r>
              <w:rPr>
                <w:rFonts w:ascii="Times New Roman" w:hAnsi="Times New Roman" w:eastAsia="宋体" w:cs="Times New Roman"/>
                <w:color w:val="auto"/>
                <w:sz w:val="24"/>
                <w:szCs w:val="24"/>
                <w:highlight w:val="none"/>
              </w:rPr>
              <w:t>（</w:t>
            </w:r>
            <w:r>
              <w:rPr>
                <w:rFonts w:hint="eastAsia" w:ascii="Times New Roman" w:hAnsi="Times New Roman" w:eastAsia="宋体" w:cs="Times New Roman"/>
                <w:color w:val="auto"/>
                <w:sz w:val="24"/>
                <w:szCs w:val="24"/>
                <w:highlight w:val="none"/>
                <w:lang w:val="en-US" w:eastAsia="zh-CN"/>
              </w:rPr>
              <w:t>10</w:t>
            </w:r>
            <w:r>
              <w:rPr>
                <w:rFonts w:ascii="Times New Roman" w:hAnsi="Times New Roman" w:eastAsia="宋体" w:cs="Times New Roman"/>
                <w:color w:val="auto"/>
                <w:sz w:val="24"/>
                <w:szCs w:val="24"/>
                <w:highlight w:val="none"/>
              </w:rPr>
              <w:t>）劳动定员及工作制度：项目劳动定员</w:t>
            </w:r>
            <w:r>
              <w:rPr>
                <w:rFonts w:hint="eastAsia" w:ascii="Times New Roman" w:hAnsi="Times New Roman" w:eastAsia="宋体" w:cs="Times New Roman"/>
                <w:color w:val="auto"/>
                <w:sz w:val="24"/>
                <w:szCs w:val="24"/>
                <w:highlight w:val="none"/>
                <w:lang w:val="en-US" w:eastAsia="zh-CN"/>
              </w:rPr>
              <w:t>依托原有管廊项目人员</w:t>
            </w:r>
            <w:r>
              <w:rPr>
                <w:rFonts w:ascii="Times New Roman" w:hAnsi="Times New Roman" w:eastAsia="宋体" w:cs="Times New Roman"/>
                <w:color w:val="auto"/>
                <w:sz w:val="24"/>
                <w:szCs w:val="24"/>
                <w:highlight w:val="none"/>
              </w:rPr>
              <w:t>，</w:t>
            </w:r>
            <w:r>
              <w:rPr>
                <w:rFonts w:hint="eastAsia" w:ascii="Times New Roman" w:hAnsi="Times New Roman" w:eastAsia="宋体" w:cs="Times New Roman"/>
                <w:color w:val="auto"/>
                <w:sz w:val="24"/>
                <w:szCs w:val="24"/>
                <w:highlight w:val="none"/>
                <w:lang w:val="en-US" w:eastAsia="zh-CN"/>
              </w:rPr>
              <w:t>采用四班三运转工作制，每班</w:t>
            </w:r>
            <w:r>
              <w:rPr>
                <w:rFonts w:hint="default" w:ascii="Times New Roman" w:hAnsi="Times New Roman" w:eastAsia="宋体" w:cs="Times New Roman"/>
                <w:color w:val="auto"/>
                <w:sz w:val="24"/>
                <w:szCs w:val="24"/>
                <w:highlight w:val="none"/>
                <w:lang w:val="en-US" w:eastAsia="zh-CN"/>
              </w:rPr>
              <w:t>8h</w:t>
            </w:r>
            <w:r>
              <w:rPr>
                <w:rFonts w:hint="eastAsia" w:ascii="Times New Roman" w:hAnsi="Times New Roman" w:eastAsia="宋体" w:cs="Times New Roman"/>
                <w:color w:val="auto"/>
                <w:sz w:val="24"/>
                <w:szCs w:val="24"/>
                <w:highlight w:val="none"/>
                <w:lang w:val="en-US" w:eastAsia="zh-CN"/>
              </w:rPr>
              <w:t>，年工作时间</w:t>
            </w:r>
            <w:r>
              <w:rPr>
                <w:rFonts w:hint="default" w:ascii="Times New Roman" w:hAnsi="Times New Roman" w:eastAsia="宋体" w:cs="Times New Roman"/>
                <w:color w:val="auto"/>
                <w:sz w:val="24"/>
                <w:szCs w:val="24"/>
                <w:highlight w:val="none"/>
                <w:lang w:val="en-US" w:eastAsia="zh-CN"/>
              </w:rPr>
              <w:t>350d</w:t>
            </w:r>
            <w:r>
              <w:rPr>
                <w:rFonts w:hint="eastAsia" w:ascii="Times New Roman" w:hAnsi="Times New Roman" w:eastAsia="宋体" w:cs="Times New Roman"/>
                <w:color w:val="auto"/>
                <w:sz w:val="24"/>
                <w:szCs w:val="24"/>
                <w:highlight w:val="none"/>
                <w:lang w:val="en-US" w:eastAsia="zh-CN"/>
              </w:rPr>
              <w:t>，管带机年有效运行时间</w:t>
            </w:r>
            <w:r>
              <w:rPr>
                <w:rFonts w:hint="default" w:ascii="Times New Roman" w:hAnsi="Times New Roman" w:eastAsia="宋体" w:cs="Times New Roman"/>
                <w:color w:val="auto"/>
                <w:sz w:val="24"/>
                <w:szCs w:val="24"/>
                <w:highlight w:val="none"/>
                <w:lang w:val="en-US" w:eastAsia="zh-CN"/>
              </w:rPr>
              <w:t>6300h</w:t>
            </w:r>
            <w:r>
              <w:rPr>
                <w:rFonts w:ascii="Times New Roman" w:hAnsi="Times New Roman" w:eastAsia="宋体" w:cs="Times New Roman"/>
                <w:color w:val="auto"/>
                <w:sz w:val="24"/>
                <w:szCs w:val="24"/>
                <w:highlight w:val="none"/>
              </w:rPr>
              <w:t>。</w:t>
            </w:r>
          </w:p>
        </w:tc>
        <w:tc>
          <w:tcPr>
            <w:tcW w:w="4418" w:type="dxa"/>
            <w:noWrap w:val="0"/>
            <w:vAlign w:val="top"/>
          </w:tcPr>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highlight w:val="none"/>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71" w:hRule="atLeast"/>
          <w:jc w:val="center"/>
        </w:trPr>
        <w:tc>
          <w:tcPr>
            <w:tcW w:w="222" w:type="dxa"/>
            <w:noWrap w:val="0"/>
            <w:vAlign w:val="center"/>
          </w:tcPr>
          <w:p>
            <w:pPr>
              <w:pStyle w:val="23"/>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olor w:val="auto"/>
                <w:sz w:val="21"/>
                <w:szCs w:val="21"/>
                <w:highlight w:val="none"/>
                <w:lang w:eastAsia="zh-CN"/>
              </w:rPr>
            </w:pPr>
            <w:r>
              <w:rPr>
                <w:rFonts w:hint="eastAsia" w:ascii="Times New Roman" w:hAnsi="Times New Roman"/>
                <w:color w:val="auto"/>
                <w:sz w:val="21"/>
                <w:szCs w:val="21"/>
                <w:highlight w:val="none"/>
                <w:lang w:eastAsia="zh-CN"/>
              </w:rPr>
              <w:t>总平面及现场布置</w:t>
            </w:r>
          </w:p>
        </w:tc>
        <w:tc>
          <w:tcPr>
            <w:tcW w:w="4418" w:type="dxa"/>
            <w:noWrap w:val="0"/>
            <w:vAlign w:val="top"/>
          </w:tcPr>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0" w:firstLineChars="0"/>
              <w:rPr>
                <w:rFonts w:hint="eastAsia" w:ascii="Times New Roman" w:hAnsi="Times New Roman" w:eastAsia="宋体" w:cs="Times New Roman"/>
                <w:b/>
                <w:bCs/>
                <w:color w:val="auto"/>
                <w:sz w:val="24"/>
                <w:szCs w:val="24"/>
                <w:highlight w:val="none"/>
                <w:lang w:val="en-US" w:eastAsia="zh-CN"/>
              </w:rPr>
            </w:pPr>
            <w:r>
              <w:rPr>
                <w:rFonts w:hint="eastAsia" w:ascii="Times New Roman" w:hAnsi="Times New Roman" w:eastAsia="宋体" w:cs="Times New Roman"/>
                <w:b/>
                <w:bCs/>
                <w:color w:val="auto"/>
                <w:sz w:val="24"/>
                <w:szCs w:val="24"/>
                <w:highlight w:val="none"/>
                <w:lang w:val="en-US" w:eastAsia="zh-CN"/>
              </w:rPr>
              <w:t>1、工程平面布置</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本次设计起点为TL3机房（不包含在本工程范围内），位于已建开滦配煤中心堆场西北侧，新建带式输送机系统，总输送距离约长度约5000m，自TL3机房沿开滦配煤中心辅建区北侧绿化带、36#～40#泊位工程堆场防风网北侧绿化带、36#～40#泊位配套进出闸口及停车场工程北侧绿化带、京唐港区四港池配套疏港路工程南侧绿化带经过TH2~TH4、TG1机房至TG2机房。新建TH2、TH3机房位于36#～40#泊位配套进出闸口及停车场工程西北侧绿化带，为东南侧用户留有接口，TH2机房和TH3机房之间用2条带式输送机BLJ1-1、BLJ2-1连接，单线长度约464.7m。TH4、TG1机房位于拟建51#、52#泊位工程西北侧绿化带。新建带式输送机BLJ1-2与拟建51#、52#泊位工程疏港带式输送机并行至新建TG2机房，新建带式输送机BLJ1-2长度约771.3m。延长管廊项目已建驱动站至本工程新建TG2机房，延长长度187.1m。</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管带机跨越36#~40#泊位配套进出闸口及停车场工程段，为减小对已建工程影响，管带机跨度约75m，净空6m。本工程管带机路由占用部分绿化带内管线位置，需对沿线部分管线进行拆改，并拆除36#~40#泊位配套进出闸口及停车场工程北侧绿化带内1座高杆灯。本工程新建建筑物总建筑面积为1807.04m</w:t>
            </w:r>
            <w:r>
              <w:rPr>
                <w:rFonts w:hint="eastAsia" w:ascii="Times New Roman" w:hAnsi="Times New Roman" w:eastAsia="宋体" w:cs="Times New Roman"/>
                <w:color w:val="auto"/>
                <w:sz w:val="24"/>
                <w:szCs w:val="24"/>
                <w:highlight w:val="none"/>
                <w:vertAlign w:val="superscript"/>
                <w:lang w:val="en-US" w:eastAsia="zh-CN"/>
              </w:rPr>
              <w:t>2</w:t>
            </w:r>
            <w:r>
              <w:rPr>
                <w:rFonts w:hint="eastAsia"/>
                <w:lang w:eastAsia="zh-CN"/>
              </w:rPr>
              <w:t>，</w:t>
            </w:r>
            <w:r>
              <w:rPr>
                <w:rFonts w:hint="eastAsia" w:ascii="Times New Roman" w:hAnsi="Times New Roman" w:eastAsia="宋体" w:cs="Times New Roman"/>
                <w:color w:val="auto"/>
                <w:sz w:val="24"/>
                <w:szCs w:val="24"/>
                <w:highlight w:val="none"/>
                <w:lang w:val="en-US" w:eastAsia="zh-CN"/>
              </w:rPr>
              <w:t>分别在TH1机房和TH3机房附近新建B1#、B2#变电所，在TH1和TH3机房附近各新建一座箱泵一体化泵站。</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0" w:firstLineChars="0"/>
              <w:rPr>
                <w:rFonts w:hint="eastAsia" w:ascii="Times New Roman" w:hAnsi="Times New Roman" w:eastAsia="宋体" w:cs="Times New Roman"/>
                <w:b/>
                <w:bCs/>
                <w:color w:val="auto"/>
                <w:sz w:val="24"/>
                <w:szCs w:val="24"/>
                <w:highlight w:val="none"/>
                <w:lang w:val="en-US" w:eastAsia="zh-CN"/>
              </w:rPr>
            </w:pPr>
            <w:r>
              <w:rPr>
                <w:rFonts w:hint="eastAsia" w:ascii="Times New Roman" w:hAnsi="Times New Roman" w:eastAsia="宋体" w:cs="Times New Roman"/>
                <w:b/>
                <w:bCs/>
                <w:color w:val="auto"/>
                <w:sz w:val="24"/>
                <w:szCs w:val="24"/>
                <w:highlight w:val="none"/>
                <w:lang w:val="en-US" w:eastAsia="zh-CN"/>
              </w:rPr>
              <w:t>2、施工布置。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临时用地面积为0.8686公顷，主要用于生产生活区和施工便道。平面布置见下图：</w:t>
            </w:r>
          </w:p>
          <w:p>
            <w:pPr>
              <w:pStyle w:val="2"/>
              <w:keepNext w:val="0"/>
              <w:keepLines w:val="0"/>
              <w:suppressLineNumbers w:val="0"/>
              <w:spacing w:before="0" w:beforeAutospacing="0" w:after="0" w:afterAutospacing="0"/>
              <w:ind w:left="0" w:leftChars="0" w:firstLine="0" w:firstLineChars="0"/>
              <w:rPr>
                <w:rFonts w:ascii="Calibri" w:hAnsi="Calibri" w:eastAsia="宋体" w:cs="Times New Roman"/>
              </w:rPr>
            </w:pPr>
            <w:r>
              <w:rPr>
                <w:rFonts w:ascii="Calibri" w:hAnsi="Calibri" w:eastAsia="宋体" w:cs="Times New Roman"/>
                <w:color w:val="auto"/>
              </w:rPr>
              <w:pict>
                <v:shape id="_x0000_s1029" o:spid="_x0000_s1029" o:spt="75" type="#_x0000_t75" style="position:absolute;left:0pt;margin-left:398.05pt;margin-top:1.85pt;height:33.2pt;width:23.6pt;z-index:251661312;mso-width-relative:page;mso-height-relative:page;" filled="f" o:preferrelative="t" stroked="f" coordsize="21600,21600">
                  <v:path/>
                  <v:fill on="f" focussize="0,0"/>
                  <v:stroke on="f"/>
                  <v:imagedata r:id="rId9" cropleft="7263f" croptop="12588f" cropright="7006f" cropbottom="6349f" o:title=""/>
                  <o:lock v:ext="edit" aspectratio="t"/>
                </v:shape>
              </w:pict>
            </w:r>
            <w:r>
              <w:rPr>
                <w:rFonts w:ascii="Calibri" w:hAnsi="Calibri" w:eastAsia="宋体" w:cs="Times New Roman"/>
              </w:rPr>
              <w:pict>
                <v:shape id="_x0000_i1026" o:spt="75" type="#_x0000_t75" style="height:203.4pt;width:427.15pt;" filled="f" stroked="f" coordsize="21600,21600">
                  <v:path/>
                  <v:fill on="f" focussize="0,0"/>
                  <v:stroke on="f"/>
                  <v:imagedata r:id="rId10" o:title=""/>
                  <o:lock v:ext="edit" aspectratio="t"/>
                  <w10:wrap type="none"/>
                  <w10:anchorlock/>
                </v:shape>
              </w:pict>
            </w:r>
          </w:p>
          <w:p>
            <w:pPr>
              <w:keepNext w:val="0"/>
              <w:keepLines w:val="0"/>
              <w:suppressLineNumbers w:val="0"/>
              <w:spacing w:before="0" w:beforeAutospacing="0" w:after="0" w:afterAutospacing="0"/>
              <w:ind w:left="0" w:leftChars="0" w:right="0" w:rightChars="0" w:firstLine="0" w:firstLineChars="0"/>
              <w:jc w:val="center"/>
              <w:rPr>
                <w:rFonts w:ascii="Calibri" w:hAnsi="Calibri" w:eastAsia="宋体" w:cs="Times New Roman"/>
              </w:rPr>
            </w:pPr>
            <w:r>
              <w:rPr>
                <w:rFonts w:hint="default" w:ascii="Times New Roman" w:hAnsi="Times New Roman" w:eastAsia="宋体" w:cs="Times New Roman"/>
                <w:b/>
                <w:bCs/>
                <w:color w:val="auto"/>
                <w:sz w:val="21"/>
                <w:szCs w:val="21"/>
                <w:highlight w:val="none"/>
                <w:lang w:eastAsia="zh-CN"/>
              </w:rPr>
              <w:t>图</w:t>
            </w:r>
            <w:r>
              <w:rPr>
                <w:rFonts w:hint="default" w:ascii="Times New Roman" w:hAnsi="Times New Roman" w:eastAsia="宋体" w:cs="Times New Roman"/>
                <w:b/>
                <w:bCs/>
                <w:color w:val="auto"/>
                <w:sz w:val="21"/>
                <w:szCs w:val="21"/>
                <w:highlight w:val="none"/>
                <w:lang w:val="en-US" w:eastAsia="zh-CN"/>
              </w:rPr>
              <w:t>2-2  项目临时占地平面布置图</w:t>
            </w:r>
          </w:p>
        </w:tc>
        <w:tc>
          <w:tcPr>
            <w:tcW w:w="4418" w:type="dxa"/>
            <w:noWrap w:val="0"/>
            <w:vAlign w:val="top"/>
          </w:tcPr>
          <w:p>
            <w:pPr>
              <w:keepNext w:val="0"/>
              <w:keepLines w:val="0"/>
              <w:suppressLineNumbers w:val="0"/>
              <w:spacing w:before="0" w:beforeAutospacing="0" w:after="0" w:afterAutospacing="0"/>
              <w:ind w:left="0" w:leftChars="0" w:right="0" w:rightChars="0" w:firstLine="0" w:firstLineChars="0"/>
              <w:jc w:val="center"/>
              <w:rPr>
                <w:rFonts w:hint="default" w:ascii="Times New Roman" w:hAnsi="Times New Roman" w:eastAsia="宋体" w:cs="Times New Roman"/>
                <w:b/>
                <w:bCs/>
                <w:color w:val="auto"/>
                <w:sz w:val="21"/>
                <w:szCs w:val="21"/>
                <w:highlight w:val="none"/>
                <w:lang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71" w:hRule="atLeast"/>
          <w:jc w:val="center"/>
        </w:trPr>
        <w:tc>
          <w:tcPr>
            <w:tcW w:w="222" w:type="dxa"/>
            <w:noWrap w:val="0"/>
            <w:vAlign w:val="center"/>
          </w:tcPr>
          <w:p>
            <w:pPr>
              <w:pStyle w:val="23"/>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olor w:val="auto"/>
                <w:sz w:val="21"/>
                <w:szCs w:val="21"/>
                <w:highlight w:val="none"/>
                <w:lang w:eastAsia="zh-CN"/>
              </w:rPr>
            </w:pPr>
            <w:r>
              <w:rPr>
                <w:rFonts w:hint="eastAsia" w:ascii="Times New Roman" w:hAnsi="Times New Roman"/>
                <w:color w:val="auto"/>
                <w:sz w:val="21"/>
                <w:szCs w:val="21"/>
                <w:highlight w:val="none"/>
                <w:lang w:eastAsia="zh-CN"/>
              </w:rPr>
              <w:t>施工方案</w:t>
            </w:r>
          </w:p>
        </w:tc>
        <w:tc>
          <w:tcPr>
            <w:tcW w:w="4418" w:type="dxa"/>
            <w:noWrap w:val="0"/>
            <w:vAlign w:val="top"/>
          </w:tcPr>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1、施工方案</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（1）机房、皮带栈桥基础等土建工程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根据设计，皮带栈桥、机房基础采用灌注桩结构。灌注桩施工可采用潜水钻机或冲击钻成孔、循环泥浆护壁，而后安放钢筋笼、竖管法浇筑混凝土。当灌注桩达到设计强度后，马上进行基坑开挖，凿除桩头混凝土，而后直立模板、绑扎钢筋，混凝土搅拌车现场浇筑机房基础混凝土。然后，铺筑垫层混凝土，混凝土搅拌车浇筑梁、承台及上部结构混凝土，人工砌筑坎墙。当基础浇筑达到强度后，即可由自卸汽车进行土方回填。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（2）工艺设备安装工程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本工程地面以上的皮带机输送系统工程可根据现场条件适时安排施工，机房钢结构安装配合基础完成进度相继开始，同步进行相关的供电、控制系统的安装调试。全部设备安装完毕并经单机调试后，装卸系统可按照设计要求进行系统调试。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（3）地基处理工程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本工程地基处理面积为6.5万m</w:t>
            </w:r>
            <w:r>
              <w:rPr>
                <w:rFonts w:hint="eastAsia" w:ascii="Times New Roman" w:hAnsi="Times New Roman" w:eastAsia="宋体" w:cs="Times New Roman"/>
                <w:color w:val="auto"/>
                <w:sz w:val="24"/>
                <w:szCs w:val="24"/>
                <w:highlight w:val="none"/>
                <w:vertAlign w:val="superscript"/>
                <w:lang w:val="en-US" w:eastAsia="zh-CN"/>
              </w:rPr>
              <w:t>2</w:t>
            </w:r>
            <w:r>
              <w:rPr>
                <w:rFonts w:hint="eastAsia" w:ascii="Times New Roman" w:hAnsi="Times New Roman" w:eastAsia="宋体" w:cs="Times New Roman"/>
                <w:color w:val="auto"/>
                <w:sz w:val="24"/>
                <w:szCs w:val="24"/>
                <w:highlight w:val="none"/>
                <w:lang w:val="en-US" w:eastAsia="zh-CN"/>
              </w:rPr>
              <w:t>。地基处理拟采用打设塑料排水板+强夯方式。</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工程施工先由反铲挖掘机按照设计要求开挖上部土方，然后进行土方换填。换填料可采用拆除料，多余土方由汽车外运至指定地点堆存。然后陆上机械打塑料排水板，强夯施工可由专用起重机和夯锤进行夯击，其夯点及夯击遍数应符合设计要求。强夯完成后对于地基处理沉降所需要的土方可由自卸汽车直接运至现场填筑。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（4）堆场道路工程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铺面面层采用混凝土高强联锁块结构。首先拆除原有结构面层，然后浇筑混凝土垫层，在达到设计要求的强度后，即可由人工铺砌砂垫层和高强混凝土联锁块面层。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（5）其他配套工程</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本工程配套项目包括辅助建筑、供电照明、控制、给排水、消防环保等，可视相关工程的进展情况安排施工。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工程主要施工项目见下表。</w:t>
            </w:r>
          </w:p>
          <w:p>
            <w:pPr>
              <w:keepNext w:val="0"/>
              <w:keepLines w:val="0"/>
              <w:suppressLineNumbers w:val="0"/>
              <w:tabs>
                <w:tab w:val="left" w:pos="180"/>
              </w:tabs>
              <w:spacing w:before="0" w:beforeAutospacing="0" w:after="0" w:afterAutospacing="0" w:line="240" w:lineRule="auto"/>
              <w:ind w:left="0" w:right="0"/>
              <w:jc w:val="center"/>
              <w:rPr>
                <w:rFonts w:hint="eastAsia" w:ascii="Times New Roman" w:hAnsi="Times New Roman" w:eastAsia="宋体" w:cs="Times New Roman"/>
                <w:b/>
                <w:color w:val="auto"/>
                <w:highlight w:val="none"/>
                <w:lang w:eastAsia="zh-CN"/>
              </w:rPr>
            </w:pPr>
            <w:r>
              <w:rPr>
                <w:rFonts w:ascii="Times New Roman" w:hAnsi="Times New Roman" w:eastAsia="宋体" w:cs="Times New Roman"/>
                <w:b/>
                <w:color w:val="auto"/>
                <w:highlight w:val="none"/>
              </w:rPr>
              <w:t>表</w:t>
            </w:r>
            <w:r>
              <w:rPr>
                <w:rFonts w:hint="eastAsia" w:ascii="Times New Roman" w:hAnsi="Times New Roman" w:eastAsia="宋体" w:cs="Times New Roman"/>
                <w:b/>
                <w:color w:val="auto"/>
                <w:highlight w:val="none"/>
              </w:rPr>
              <w:t>2-</w:t>
            </w:r>
            <w:r>
              <w:rPr>
                <w:rFonts w:hint="eastAsia" w:ascii="Times New Roman" w:hAnsi="Times New Roman" w:eastAsia="宋体" w:cs="Times New Roman"/>
                <w:b/>
                <w:color w:val="auto"/>
                <w:highlight w:val="none"/>
                <w:lang w:val="en-US" w:eastAsia="zh-CN"/>
              </w:rPr>
              <w:t>13</w:t>
            </w:r>
            <w:r>
              <w:rPr>
                <w:rFonts w:ascii="Times New Roman" w:hAnsi="Times New Roman" w:eastAsia="宋体" w:cs="Times New Roman"/>
                <w:b/>
                <w:color w:val="auto"/>
                <w:highlight w:val="none"/>
              </w:rPr>
              <w:t xml:space="preserve">  </w:t>
            </w:r>
            <w:r>
              <w:rPr>
                <w:rFonts w:hint="eastAsia" w:ascii="Times New Roman" w:hAnsi="Times New Roman" w:eastAsia="宋体" w:cs="Times New Roman"/>
                <w:b/>
                <w:color w:val="auto"/>
                <w:highlight w:val="none"/>
                <w:lang w:eastAsia="zh-CN"/>
              </w:rPr>
              <w:t>主要施工项目</w:t>
            </w:r>
          </w:p>
          <w:tbl>
            <w:tblPr>
              <w:tblStyle w:val="28"/>
              <w:tblW w:w="5000"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02"/>
              <w:gridCol w:w="3479"/>
              <w:gridCol w:w="935"/>
              <w:gridCol w:w="1047"/>
              <w:gridCol w:w="204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b/>
                      <w:bCs/>
                      <w:sz w:val="21"/>
                      <w:vertAlign w:val="baseline"/>
                      <w:lang w:eastAsia="zh-CN"/>
                    </w:rPr>
                  </w:pPr>
                  <w:r>
                    <w:rPr>
                      <w:rFonts w:hint="default" w:ascii="Times New Roman" w:hAnsi="Times New Roman" w:eastAsia="宋体" w:cs="Times New Roman"/>
                      <w:b/>
                      <w:bCs/>
                      <w:sz w:val="21"/>
                      <w:vertAlign w:val="baseline"/>
                      <w:lang w:eastAsia="zh-CN"/>
                    </w:rPr>
                    <w:t>序号</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b/>
                      <w:bCs/>
                      <w:sz w:val="21"/>
                      <w:vertAlign w:val="baseline"/>
                      <w:lang w:eastAsia="zh-CN"/>
                    </w:rPr>
                  </w:pPr>
                  <w:r>
                    <w:rPr>
                      <w:rFonts w:hint="default" w:ascii="Times New Roman" w:hAnsi="Times New Roman" w:eastAsia="宋体" w:cs="Times New Roman"/>
                      <w:b/>
                      <w:bCs/>
                      <w:sz w:val="21"/>
                      <w:vertAlign w:val="baseline"/>
                      <w:lang w:eastAsia="zh-CN"/>
                    </w:rPr>
                    <w:t>项目名称</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b/>
                      <w:bCs/>
                      <w:sz w:val="21"/>
                      <w:vertAlign w:val="baseline"/>
                      <w:lang w:eastAsia="zh-CN"/>
                    </w:rPr>
                  </w:pPr>
                  <w:r>
                    <w:rPr>
                      <w:rFonts w:hint="default" w:ascii="Times New Roman" w:hAnsi="Times New Roman" w:eastAsia="宋体" w:cs="Times New Roman"/>
                      <w:b/>
                      <w:bCs/>
                      <w:sz w:val="21"/>
                      <w:vertAlign w:val="baseline"/>
                      <w:lang w:eastAsia="zh-CN"/>
                    </w:rPr>
                    <w:t>单位</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b/>
                      <w:bCs/>
                      <w:sz w:val="21"/>
                      <w:vertAlign w:val="baseline"/>
                      <w:lang w:eastAsia="zh-CN"/>
                    </w:rPr>
                  </w:pPr>
                  <w:r>
                    <w:rPr>
                      <w:rFonts w:hint="default" w:ascii="Times New Roman" w:hAnsi="Times New Roman" w:eastAsia="宋体" w:cs="Times New Roman"/>
                      <w:b/>
                      <w:bCs/>
                      <w:sz w:val="21"/>
                      <w:vertAlign w:val="baseline"/>
                      <w:lang w:eastAsia="zh-CN"/>
                    </w:rPr>
                    <w:t>数量</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b/>
                      <w:bCs/>
                      <w:sz w:val="21"/>
                      <w:vertAlign w:val="baseline"/>
                      <w:lang w:eastAsia="zh-CN"/>
                    </w:rPr>
                  </w:pPr>
                  <w:r>
                    <w:rPr>
                      <w:rFonts w:hint="default" w:ascii="Times New Roman" w:hAnsi="Times New Roman" w:eastAsia="宋体" w:cs="Times New Roman"/>
                      <w:b/>
                      <w:bCs/>
                      <w:sz w:val="21"/>
                      <w:vertAlign w:val="baseline"/>
                      <w:lang w:eastAsia="zh-CN"/>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一</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转接机房、皮带机基础工程</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钢筋混凝土灌注桩</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根</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2029</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eastAsia="zh-CN"/>
                    </w:rPr>
                    <w:t>混凝土</w:t>
                  </w:r>
                  <w:r>
                    <w:rPr>
                      <w:rFonts w:hint="default" w:ascii="Times New Roman" w:hAnsi="Times New Roman" w:eastAsia="宋体" w:cs="Times New Roman"/>
                      <w:sz w:val="21"/>
                      <w:vertAlign w:val="baseline"/>
                      <w:lang w:val="en-US" w:eastAsia="zh-CN"/>
                    </w:rPr>
                    <w:t>18852m</w:t>
                  </w:r>
                  <w:r>
                    <w:rPr>
                      <w:rFonts w:hint="default" w:ascii="Times New Roman" w:hAnsi="Times New Roman" w:eastAsia="宋体" w:cs="Times New Roman"/>
                      <w:sz w:val="21"/>
                      <w:vertAlign w:val="superscript"/>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2</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土方开挖</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万</w:t>
                  </w:r>
                  <w:r>
                    <w:rPr>
                      <w:rFonts w:hint="default" w:ascii="Times New Roman" w:hAnsi="Times New Roman" w:eastAsia="宋体" w:cs="Times New Roman"/>
                      <w:sz w:val="21"/>
                      <w:vertAlign w:val="baseline"/>
                      <w:lang w:val="en-US" w:eastAsia="zh-CN"/>
                    </w:rPr>
                    <w:t>m</w:t>
                  </w:r>
                  <w:r>
                    <w:rPr>
                      <w:rFonts w:hint="default" w:ascii="Times New Roman" w:hAnsi="Times New Roman" w:eastAsia="宋体" w:cs="Times New Roman"/>
                      <w:sz w:val="21"/>
                      <w:vertAlign w:val="superscript"/>
                      <w:lang w:val="en-US" w:eastAsia="zh-CN"/>
                    </w:rPr>
                    <w:t>3</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4.44</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3</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val="en-US" w:eastAsia="zh-CN"/>
                    </w:rPr>
                    <w:t>浇筑基础及上部结构混凝土</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val="en-US" w:eastAsia="zh-CN"/>
                    </w:rPr>
                    <w:t>万m</w:t>
                  </w:r>
                  <w:r>
                    <w:rPr>
                      <w:rFonts w:hint="default" w:ascii="Times New Roman" w:hAnsi="Times New Roman" w:eastAsia="宋体" w:cs="Times New Roman"/>
                      <w:sz w:val="21"/>
                      <w:vertAlign w:val="superscript"/>
                      <w:lang w:val="en-US" w:eastAsia="zh-CN"/>
                    </w:rPr>
                    <w:t>3</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1.03</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4</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土方回填</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val="en-US" w:eastAsia="zh-CN"/>
                    </w:rPr>
                    <w:t>万m</w:t>
                  </w:r>
                  <w:r>
                    <w:rPr>
                      <w:rFonts w:hint="default" w:ascii="Times New Roman" w:hAnsi="Times New Roman" w:eastAsia="宋体" w:cs="Times New Roman"/>
                      <w:sz w:val="21"/>
                      <w:vertAlign w:val="superscript"/>
                      <w:lang w:val="en-US" w:eastAsia="zh-CN"/>
                    </w:rPr>
                    <w:t>3</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3.44</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二</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工艺设备安装工程</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新建管带机</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m</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8465.7</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2</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新建带式输送机</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m</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1743.9</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三</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地基处理</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val="en-US" w:eastAsia="zh-CN"/>
                    </w:rPr>
                    <w:t>万m</w:t>
                  </w:r>
                  <w:r>
                    <w:rPr>
                      <w:rFonts w:hint="default" w:ascii="Times New Roman" w:hAnsi="Times New Roman" w:eastAsia="宋体" w:cs="Times New Roman"/>
                      <w:sz w:val="21"/>
                      <w:vertAlign w:val="superscript"/>
                      <w:lang w:val="en-US" w:eastAsia="zh-CN"/>
                    </w:rPr>
                    <w:t>3</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6.5</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四</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堆场道路</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val="en-US" w:eastAsia="zh-CN"/>
                    </w:rPr>
                    <w:t>万m</w:t>
                  </w:r>
                  <w:r>
                    <w:rPr>
                      <w:rFonts w:hint="default" w:ascii="Times New Roman" w:hAnsi="Times New Roman" w:eastAsia="宋体" w:cs="Times New Roman"/>
                      <w:sz w:val="21"/>
                      <w:vertAlign w:val="superscript"/>
                      <w:lang w:val="en-US" w:eastAsia="zh-CN"/>
                    </w:rPr>
                    <w:t>3</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1.75</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五</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房建工程</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m</w:t>
                  </w:r>
                  <w:r>
                    <w:rPr>
                      <w:rFonts w:hint="default" w:ascii="Times New Roman" w:hAnsi="Times New Roman" w:eastAsia="宋体" w:cs="Times New Roman"/>
                      <w:sz w:val="21"/>
                      <w:vertAlign w:val="superscript"/>
                      <w:lang w:val="en-US" w:eastAsia="zh-CN"/>
                    </w:rPr>
                    <w:t>2</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1807.04</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六</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供电照明、控制</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eastAsia="zh-CN"/>
                    </w:rPr>
                    <w:t>项</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七</w:t>
                  </w:r>
                </w:p>
              </w:tc>
              <w:tc>
                <w:tcPr>
                  <w:tcW w:w="212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给排水、消防</w:t>
                  </w:r>
                </w:p>
              </w:tc>
              <w:tc>
                <w:tcPr>
                  <w:tcW w:w="57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r>
                    <w:rPr>
                      <w:rFonts w:hint="default" w:ascii="Times New Roman" w:hAnsi="Times New Roman" w:eastAsia="宋体" w:cs="Times New Roman"/>
                      <w:sz w:val="21"/>
                      <w:vertAlign w:val="baseline"/>
                      <w:lang w:eastAsia="zh-CN"/>
                    </w:rPr>
                    <w:t>项</w:t>
                  </w:r>
                </w:p>
              </w:tc>
              <w:tc>
                <w:tcPr>
                  <w:tcW w:w="63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val="en-US" w:eastAsia="zh-CN"/>
                    </w:rPr>
                  </w:pPr>
                  <w:r>
                    <w:rPr>
                      <w:rFonts w:hint="default" w:ascii="Times New Roman" w:hAnsi="Times New Roman" w:eastAsia="宋体" w:cs="Times New Roman"/>
                      <w:sz w:val="21"/>
                      <w:vertAlign w:val="baseline"/>
                      <w:lang w:val="en-US" w:eastAsia="zh-CN"/>
                    </w:rPr>
                    <w:t>1</w:t>
                  </w:r>
                </w:p>
              </w:tc>
              <w:tc>
                <w:tcPr>
                  <w:tcW w:w="1243"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vertAlign w:val="baseline"/>
                      <w:lang w:eastAsia="zh-CN"/>
                    </w:rPr>
                  </w:pPr>
                </w:p>
              </w:tc>
            </w:tr>
          </w:tbl>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产污节点：本项目施工期废气主要是清理地表、场地平整、地基开挖、结构施工等过程中液压挖掘机、推土机、平地机及装载机等设备作业、材料装运和堆存、施工垃圾装运和堆存等施工作业产生的扬尘；同时运输车辆进出工地，车辆轮胎不可避免的将工地的泥土带出，遗洒在车辆经过的路面，在其它车辆通过时产生二次扬尘。可以通过实施封闭管理，设置车辆冲洗，设置防尘网、防尘布、定期喷洒抑制剂和定期喷水压尘。</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 xml:space="preserve">废水主要是混凝土养护废水、设备清洗废水和施工人员的生活污水。由于混凝土养护废水及设备清洗产生的废水量较小，且主要污染物为泥沙，施工过程中在临时施工区设置沉淀池，设备清洗废水经沉淀池处理后，回用于施工场地洒水抑尘，不外排，不会对周围环境产生明显影响。施工现场厕所采用防渗旱厕，定期清掏。施工生活污水主要为施工人员的盥洗废水，废水产生量较少，可用于场地泼洒抑尘。 </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本项目施工期主要噪声源有施工机械噪声和车辆运输噪声两大类，其中主要施工机械有推土机、夯土机、吊装车等，同时在施工过程中设备、建材的运输将动用大量的运输车辆，特别是载重汽车的噪声辐射强度较高，频繁经过施工现场、施工便道等对周围声环境产生干扰。</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2、施工时序</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leftChars="0" w:right="0" w:rightChars="0" w:firstLine="0" w:firstLineChars="0"/>
              <w:jc w:val="both"/>
              <w:rPr>
                <w:rFonts w:hint="eastAsia" w:ascii="Calibri" w:hAnsi="Calibri" w:eastAsia="宋体" w:cs="Times New Roman"/>
                <w:lang w:eastAsia="zh-CN"/>
              </w:rPr>
            </w:pPr>
            <w:r>
              <w:rPr>
                <w:rFonts w:hint="eastAsia" w:ascii="Calibri" w:hAnsi="Calibri" w:eastAsia="宋体" w:cs="Times New Roman"/>
                <w:lang w:eastAsia="zh-CN"/>
              </w:rPr>
              <w:pict>
                <v:shape id="_x0000_i1027" o:spt="75" alt="唐山港管带机廊道港区连接线项目-工可研-20240424-改为干式除尘_00" type="#_x0000_t75" style="height:282.5pt;width:420.6pt;" filled="f" o:preferrelative="t" stroked="f" coordsize="21600,21600">
                  <v:path/>
                  <v:fill on="f" focussize="0,0"/>
                  <v:stroke on="f"/>
                  <v:imagedata r:id="rId11" o:title="唐山港管带机廊道港区连接线项目-工可研-20240424-改为干式除尘_00"/>
                  <o:lock v:ext="edit" aspectratio="t"/>
                  <w10:wrap type="none"/>
                  <w10:anchorlock/>
                </v:shape>
              </w:pic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leftChars="0" w:right="0" w:rightChars="0" w:firstLine="0" w:firstLineChars="0"/>
              <w:jc w:val="center"/>
              <w:rPr>
                <w:rFonts w:hint="eastAsia" w:ascii="Times New Roman" w:hAnsi="Times New Roman" w:eastAsia="宋体" w:cs="Times New Roman"/>
                <w:b/>
                <w:bCs/>
                <w:color w:val="auto"/>
                <w:sz w:val="21"/>
                <w:szCs w:val="21"/>
                <w:highlight w:val="none"/>
                <w:lang w:val="en-US" w:eastAsia="zh-CN"/>
              </w:rPr>
            </w:pPr>
            <w:r>
              <w:rPr>
                <w:rFonts w:hint="eastAsia" w:ascii="Times New Roman" w:hAnsi="Times New Roman" w:eastAsia="宋体" w:cs="Times New Roman"/>
                <w:b/>
                <w:bCs/>
                <w:color w:val="auto"/>
                <w:sz w:val="21"/>
                <w:szCs w:val="21"/>
                <w:highlight w:val="none"/>
                <w:lang w:val="en-US" w:eastAsia="zh-CN"/>
              </w:rPr>
              <w:t>图2-1 项目施工时序</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3、建设周期</w:t>
            </w:r>
          </w:p>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Calibri" w:hAnsi="Calibri" w:eastAsia="宋体" w:cs="Times New Roman"/>
                <w:lang w:eastAsia="zh-CN"/>
              </w:rPr>
            </w:pPr>
            <w:r>
              <w:rPr>
                <w:rFonts w:hint="eastAsia" w:ascii="Times New Roman" w:hAnsi="Times New Roman" w:eastAsia="宋体" w:cs="Times New Roman"/>
                <w:color w:val="auto"/>
                <w:sz w:val="24"/>
                <w:szCs w:val="24"/>
                <w:highlight w:val="none"/>
                <w:lang w:val="en-US" w:eastAsia="zh-CN"/>
              </w:rPr>
              <w:t>根据本工程的建设规模、以及现场施工条件等因素分析，本工程施工期约18 个月。</w:t>
            </w:r>
          </w:p>
        </w:tc>
        <w:tc>
          <w:tcPr>
            <w:tcW w:w="4418" w:type="dxa"/>
            <w:noWrap w:val="0"/>
            <w:vAlign w:val="top"/>
          </w:tcPr>
          <w:p>
            <w:pPr>
              <w:pStyle w:val="2"/>
              <w:keepNext w:val="0"/>
              <w:keepLines w:val="0"/>
              <w:pageBreakBefore w:val="0"/>
              <w:widowControl w:val="0"/>
              <w:suppressLineNumbers w:val="0"/>
              <w:kinsoku/>
              <w:wordWrap/>
              <w:overflowPunct/>
              <w:topLinePunct w:val="0"/>
              <w:autoSpaceDE/>
              <w:autoSpaceDN/>
              <w:bidi w:val="0"/>
              <w:snapToGrid/>
              <w:spacing w:before="0" w:beforeAutospacing="0" w:after="0" w:afterAutospacing="0" w:line="500" w:lineRule="exact"/>
              <w:ind w:left="0" w:leftChars="0" w:right="0" w:rightChars="0" w:firstLine="480" w:firstLineChars="200"/>
              <w:rPr>
                <w:rFonts w:hint="eastAsia" w:ascii="Times New Roman" w:hAnsi="Times New Roman" w:eastAsia="宋体" w:cs="Times New Roman"/>
                <w:color w:val="auto"/>
                <w:sz w:val="24"/>
                <w:szCs w:val="24"/>
                <w:highlight w:val="none"/>
                <w:lang w:val="en-US" w:eastAsia="zh-CN"/>
              </w:rPr>
            </w:pPr>
          </w:p>
        </w:tc>
      </w:tr>
    </w:tbl>
    <w:p>
      <w:pPr>
        <w:pStyle w:val="23"/>
        <w:jc w:val="center"/>
        <w:rPr>
          <w:rFonts w:hint="eastAsia" w:ascii="黑体" w:hAnsi="黑体" w:eastAsia="黑体"/>
          <w:snapToGrid w:val="0"/>
          <w:color w:val="auto"/>
          <w:sz w:val="36"/>
          <w:szCs w:val="36"/>
          <w:lang w:eastAsia="zh-CN"/>
        </w:rPr>
        <w:sectPr>
          <w:pgSz w:w="11905" w:h="16838"/>
          <w:pgMar w:top="1701" w:right="1531" w:bottom="1701" w:left="1531" w:header="851" w:footer="1077" w:gutter="0"/>
          <w:pgBorders>
            <w:top w:val="none" w:sz="0" w:space="0"/>
            <w:left w:val="none" w:sz="0" w:space="0"/>
            <w:bottom w:val="none" w:sz="0" w:space="0"/>
            <w:right w:val="none" w:sz="0" w:space="0"/>
          </w:pgBorders>
          <w:pgNumType w:fmt="decimal"/>
          <w:cols w:space="720" w:num="1"/>
          <w:rtlGutter w:val="0"/>
          <w:docGrid w:linePitch="312" w:charSpace="0"/>
        </w:sectPr>
      </w:pPr>
    </w:p>
    <w:p>
      <w:pPr>
        <w:pStyle w:val="23"/>
        <w:jc w:val="center"/>
        <w:outlineLvl w:val="0"/>
        <w:rPr>
          <w:rFonts w:hint="eastAsia" w:ascii="黑体" w:hAnsi="黑体" w:eastAsia="黑体"/>
          <w:snapToGrid w:val="0"/>
          <w:color w:val="auto"/>
          <w:sz w:val="30"/>
          <w:szCs w:val="30"/>
          <w:lang w:eastAsia="zh-CN"/>
        </w:rPr>
      </w:pPr>
      <w:bookmarkStart w:id="3" w:name="_Toc11505"/>
      <w:r>
        <w:rPr>
          <w:rFonts w:hint="eastAsia" w:ascii="黑体" w:hAnsi="黑体" w:eastAsia="黑体"/>
          <w:snapToGrid w:val="0"/>
          <w:color w:val="auto"/>
          <w:sz w:val="30"/>
          <w:szCs w:val="30"/>
        </w:rPr>
        <w:t>三、</w:t>
      </w:r>
      <w:r>
        <w:rPr>
          <w:rFonts w:hint="eastAsia" w:ascii="黑体" w:hAnsi="黑体" w:eastAsia="黑体"/>
          <w:snapToGrid w:val="0"/>
          <w:color w:val="auto"/>
          <w:sz w:val="30"/>
          <w:szCs w:val="30"/>
          <w:lang w:eastAsia="zh-CN"/>
        </w:rPr>
        <w:t>生态环境现状、保护目标及评价标准</w:t>
      </w:r>
      <w:bookmarkEnd w:id="3"/>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447"/>
        <w:gridCol w:w="854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47"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区域</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环境</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质量</w:t>
            </w:r>
          </w:p>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rPr>
              <w:t>现状</w:t>
            </w:r>
          </w:p>
        </w:tc>
        <w:tc>
          <w:tcPr>
            <w:tcW w:w="85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textAlignment w:val="auto"/>
              <w:rPr>
                <w:rFonts w:hint="eastAsia" w:ascii="Times New Roman" w:hAnsi="Times New Roman" w:eastAsia="宋体" w:cs="Times New Roman"/>
                <w:b/>
                <w:color w:val="auto"/>
                <w:sz w:val="24"/>
                <w:szCs w:val="24"/>
                <w:lang w:val="en-US" w:eastAsia="zh-CN"/>
              </w:rPr>
            </w:pPr>
            <w:r>
              <w:rPr>
                <w:rFonts w:hint="eastAsia" w:ascii="Times New Roman" w:hAnsi="Times New Roman" w:eastAsia="宋体" w:cs="Times New Roman"/>
                <w:b/>
                <w:color w:val="auto"/>
                <w:sz w:val="24"/>
                <w:szCs w:val="24"/>
                <w:lang w:val="en-US" w:eastAsia="zh-CN"/>
              </w:rPr>
              <w:t>1、生态环境现状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eastAsia="zh-CN"/>
              </w:rPr>
            </w:pPr>
            <w:r>
              <w:rPr>
                <w:rFonts w:hint="eastAsia" w:ascii="Times New Roman" w:hAnsi="Times New Roman" w:eastAsia="宋体" w:cs="Times New Roman"/>
                <w:color w:val="auto"/>
                <w:spacing w:val="10"/>
                <w:kern w:val="24"/>
                <w:sz w:val="24"/>
                <w:szCs w:val="24"/>
                <w:lang w:val="en-US" w:eastAsia="zh-CN"/>
              </w:rPr>
              <w:t xml:space="preserve">（1）生态系统类型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highlight w:val="yellow"/>
                <w:lang w:val="en-US" w:eastAsia="zh-CN"/>
              </w:rPr>
            </w:pPr>
            <w:r>
              <w:rPr>
                <w:rFonts w:hint="eastAsia" w:ascii="Times New Roman" w:hAnsi="Times New Roman" w:eastAsia="宋体" w:cs="Times New Roman"/>
                <w:color w:val="auto"/>
                <w:spacing w:val="10"/>
                <w:kern w:val="24"/>
                <w:sz w:val="24"/>
                <w:szCs w:val="24"/>
                <w:lang w:val="en-US" w:eastAsia="zh-CN"/>
              </w:rPr>
              <w:t>本项目位于河北唐山海港经济开发区内，</w:t>
            </w:r>
            <w:r>
              <w:rPr>
                <w:rFonts w:hint="eastAsia" w:ascii="Times New Roman" w:hAnsi="Times New Roman" w:eastAsia="宋体" w:cs="Times New Roman"/>
                <w:color w:val="auto"/>
                <w:spacing w:val="10"/>
                <w:kern w:val="24"/>
                <w:sz w:val="24"/>
                <w:szCs w:val="24"/>
                <w:highlight w:val="none"/>
                <w:lang w:val="en-US" w:eastAsia="zh-CN"/>
              </w:rPr>
              <w:t>土地利用现状主要为空地及绿化带。其中各转接区占地现状均为空地</w:t>
            </w:r>
            <w:r>
              <w:rPr>
                <w:rFonts w:hint="eastAsia" w:cs="Times New Roman"/>
                <w:color w:val="auto"/>
                <w:spacing w:val="10"/>
                <w:kern w:val="24"/>
                <w:sz w:val="24"/>
                <w:szCs w:val="24"/>
                <w:highlight w:val="none"/>
                <w:lang w:val="en-US" w:eastAsia="zh-CN"/>
              </w:rPr>
              <w:t>及绿化带</w:t>
            </w:r>
            <w:r>
              <w:rPr>
                <w:rFonts w:hint="eastAsia" w:ascii="Times New Roman" w:hAnsi="Times New Roman" w:eastAsia="宋体" w:cs="Times New Roman"/>
                <w:color w:val="auto"/>
                <w:spacing w:val="10"/>
                <w:kern w:val="24"/>
                <w:sz w:val="24"/>
                <w:szCs w:val="24"/>
                <w:highlight w:val="none"/>
                <w:lang w:val="en-US" w:eastAsia="zh-CN"/>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eastAsia="zh-CN"/>
              </w:rPr>
            </w:pPr>
            <w:r>
              <w:rPr>
                <w:rFonts w:hint="eastAsia" w:ascii="Times New Roman" w:hAnsi="Times New Roman" w:eastAsia="宋体" w:cs="Times New Roman"/>
                <w:color w:val="auto"/>
                <w:spacing w:val="10"/>
                <w:kern w:val="24"/>
                <w:sz w:val="24"/>
                <w:szCs w:val="24"/>
                <w:lang w:val="en-US" w:eastAsia="zh-CN"/>
              </w:rPr>
              <w:t xml:space="preserve">项目所在区域以仓储物流和工业生产为主要功能，根据现场踏勘，项目周边主要为人工生态系统，区域土壤主要为滨海盐土，不利于植物生长，植物主要为绿化植被，物种丰富度一般。受人为干扰，区域野生动物稀少，现有的野生动物多为一些常见的鸟类及啮齿类动物等，生态环境质量一般。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eastAsia="zh-CN"/>
              </w:rPr>
            </w:pPr>
            <w:r>
              <w:rPr>
                <w:rFonts w:hint="eastAsia" w:ascii="Times New Roman" w:hAnsi="Times New Roman" w:eastAsia="宋体" w:cs="Times New Roman"/>
                <w:color w:val="auto"/>
                <w:spacing w:val="10"/>
                <w:kern w:val="24"/>
                <w:sz w:val="24"/>
                <w:szCs w:val="24"/>
                <w:lang w:val="en-US" w:eastAsia="zh-CN"/>
              </w:rPr>
              <w:t xml:space="preserve">（2）动植物资源调查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 xml:space="preserve">本项目周边区域受人类干扰较大，野生动物种类较少，没有大型野生哺乳动物，现有野生动物多为一些常见的鸟类及啮齿类动物等。区域土壤主要为滨海盐土，不利于植物生长，植物主要为绿化植被，物种丰富度一般。项目所在区域冲积平原区植被类型为人工落叶阔叶林，主要树木有杨、柳、椿、榆、槐等，种植作物有小麦、玉米、棉花、花生及豆类。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 xml:space="preserve">野生植物有荆条、白草、黄草、苍耳、茜草、车前子、马齿苋等。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 xml:space="preserve">野生动物兽类有兔、刺猬等，禽类有麻雀、燕子、鹰、布谷鸟、喜鹊、黄鹂等，爬行动物有青蛙、蛇、蟾蜍等，水生动物有鲤鱼、鲇鱼、黑鱼、小虾、港虾等，昆虫类有蜈蚣、蜘蛛、蝴蝶、蜻蜓、蚂蚱、蝉等。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textAlignment w:val="auto"/>
              <w:rPr>
                <w:rFonts w:hint="eastAsia" w:ascii="Times New Roman" w:hAnsi="Times New Roman" w:eastAsia="宋体" w:cs="Times New Roman"/>
                <w:b/>
                <w:bCs/>
                <w:color w:val="auto"/>
                <w:spacing w:val="10"/>
                <w:kern w:val="24"/>
                <w:sz w:val="24"/>
                <w:szCs w:val="24"/>
                <w:lang w:val="en-US" w:eastAsia="zh-CN"/>
              </w:rPr>
            </w:pPr>
            <w:r>
              <w:rPr>
                <w:rFonts w:hint="eastAsia" w:ascii="Times New Roman" w:hAnsi="Times New Roman" w:eastAsia="宋体" w:cs="Times New Roman"/>
                <w:b/>
                <w:bCs/>
                <w:color w:val="auto"/>
                <w:spacing w:val="10"/>
                <w:kern w:val="24"/>
                <w:sz w:val="24"/>
                <w:szCs w:val="24"/>
                <w:lang w:val="en-US" w:eastAsia="zh-CN"/>
              </w:rPr>
              <w:t xml:space="preserve">2、水文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唐山市区内主要河流为陡河、青龙河，这两条河流是流经市区的重要河流。其现状功能主要是泄洪、排污、灌溉和工业用水，而泄洪与灌溉是季节性的，排污与工业用水是常年性的。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本项目所在地属于滦河水系，主要涉及的河流为湖林</w:t>
            </w:r>
            <w:r>
              <w:rPr>
                <w:rFonts w:hint="eastAsia" w:cs="Times New Roman"/>
                <w:color w:val="auto"/>
                <w:spacing w:val="10"/>
                <w:kern w:val="24"/>
                <w:sz w:val="24"/>
                <w:szCs w:val="24"/>
                <w:lang w:val="en-US" w:eastAsia="zh-CN"/>
              </w:rPr>
              <w:t>新</w:t>
            </w:r>
            <w:r>
              <w:rPr>
                <w:rFonts w:hint="eastAsia" w:ascii="Times New Roman" w:hAnsi="Times New Roman" w:eastAsia="宋体" w:cs="Times New Roman"/>
                <w:color w:val="auto"/>
                <w:spacing w:val="10"/>
                <w:kern w:val="24"/>
                <w:sz w:val="24"/>
                <w:szCs w:val="24"/>
                <w:lang w:val="en-US" w:eastAsia="zh-CN"/>
              </w:rPr>
              <w:t xml:space="preserve">河。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textAlignment w:val="auto"/>
              <w:rPr>
                <w:rFonts w:hint="eastAsia" w:ascii="Times New Roman" w:hAnsi="Times New Roman" w:eastAsia="宋体" w:cs="Times New Roman"/>
                <w:b/>
                <w:bCs/>
                <w:color w:val="auto"/>
                <w:spacing w:val="10"/>
                <w:kern w:val="24"/>
                <w:sz w:val="24"/>
                <w:szCs w:val="24"/>
                <w:lang w:val="en-US" w:eastAsia="zh-CN"/>
              </w:rPr>
            </w:pPr>
            <w:r>
              <w:rPr>
                <w:rFonts w:hint="eastAsia" w:ascii="Times New Roman" w:hAnsi="Times New Roman" w:eastAsia="宋体" w:cs="Times New Roman"/>
                <w:b/>
                <w:bCs/>
                <w:color w:val="auto"/>
                <w:spacing w:val="10"/>
                <w:kern w:val="24"/>
                <w:sz w:val="24"/>
                <w:szCs w:val="24"/>
                <w:lang w:val="en-US" w:eastAsia="zh-CN"/>
              </w:rPr>
              <w:t>3、海洋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所在区域海域均位于渤海北部靠西岸。沿海地势平坦，平均坡度小于0.25%，自岸向海倾斜，等深线与海岸基本平行。全域海岸线0-5m等深线面积183km</w:t>
            </w:r>
            <w:r>
              <w:rPr>
                <w:rFonts w:hint="eastAsia" w:ascii="Times New Roman" w:hAnsi="Times New Roman" w:eastAsia="宋体" w:cs="Times New Roman"/>
                <w:color w:val="auto"/>
                <w:spacing w:val="10"/>
                <w:kern w:val="24"/>
                <w:sz w:val="24"/>
                <w:szCs w:val="24"/>
                <w:vertAlign w:val="superscript"/>
                <w:lang w:val="en-US" w:eastAsia="zh-CN"/>
              </w:rPr>
              <w:t>2</w:t>
            </w:r>
            <w:r>
              <w:rPr>
                <w:rFonts w:hint="eastAsia" w:ascii="Times New Roman" w:hAnsi="Times New Roman" w:eastAsia="宋体" w:cs="Times New Roman"/>
                <w:color w:val="auto"/>
                <w:spacing w:val="10"/>
                <w:kern w:val="24"/>
                <w:sz w:val="24"/>
                <w:szCs w:val="24"/>
                <w:lang w:val="en-US" w:eastAsia="zh-CN"/>
              </w:rPr>
              <w:t>，5-10m等深线面积219.4km</w:t>
            </w:r>
            <w:r>
              <w:rPr>
                <w:rFonts w:hint="eastAsia" w:ascii="Times New Roman" w:hAnsi="Times New Roman" w:eastAsia="宋体" w:cs="Times New Roman"/>
                <w:color w:val="auto"/>
                <w:spacing w:val="10"/>
                <w:kern w:val="24"/>
                <w:sz w:val="24"/>
                <w:szCs w:val="24"/>
                <w:vertAlign w:val="superscript"/>
                <w:lang w:val="en-US" w:eastAsia="zh-CN"/>
              </w:rPr>
              <w:t>2</w:t>
            </w:r>
            <w:r>
              <w:rPr>
                <w:rFonts w:hint="eastAsia" w:ascii="Times New Roman" w:hAnsi="Times New Roman" w:eastAsia="宋体" w:cs="Times New Roman"/>
                <w:color w:val="auto"/>
                <w:spacing w:val="10"/>
                <w:kern w:val="24"/>
                <w:sz w:val="24"/>
                <w:szCs w:val="24"/>
                <w:lang w:val="en-US" w:eastAsia="zh-CN"/>
              </w:rPr>
              <w:t>，10-20m等深线面积1405.5km</w:t>
            </w:r>
            <w:r>
              <w:rPr>
                <w:rFonts w:hint="eastAsia" w:ascii="Times New Roman" w:hAnsi="Times New Roman" w:eastAsia="宋体" w:cs="Times New Roman"/>
                <w:color w:val="auto"/>
                <w:spacing w:val="10"/>
                <w:kern w:val="24"/>
                <w:sz w:val="24"/>
                <w:szCs w:val="24"/>
                <w:vertAlign w:val="superscript"/>
                <w:lang w:val="en-US" w:eastAsia="zh-CN"/>
              </w:rPr>
              <w:t>2</w:t>
            </w:r>
            <w:r>
              <w:rPr>
                <w:rFonts w:hint="eastAsia" w:ascii="Times New Roman" w:hAnsi="Times New Roman" w:eastAsia="宋体" w:cs="Times New Roman"/>
                <w:color w:val="auto"/>
                <w:spacing w:val="10"/>
                <w:kern w:val="24"/>
                <w:sz w:val="24"/>
                <w:szCs w:val="24"/>
                <w:lang w:val="en-US" w:eastAsia="zh-CN"/>
              </w:rPr>
              <w:t>，共计1807.9km</w:t>
            </w:r>
            <w:r>
              <w:rPr>
                <w:rFonts w:hint="eastAsia" w:ascii="Times New Roman" w:hAnsi="Times New Roman" w:eastAsia="宋体" w:cs="Times New Roman"/>
                <w:color w:val="auto"/>
                <w:spacing w:val="10"/>
                <w:kern w:val="24"/>
                <w:sz w:val="24"/>
                <w:szCs w:val="24"/>
                <w:vertAlign w:val="superscript"/>
                <w:lang w:val="en-US" w:eastAsia="zh-CN"/>
              </w:rPr>
              <w:t>2</w:t>
            </w:r>
            <w:r>
              <w:rPr>
                <w:rFonts w:hint="eastAsia" w:ascii="Times New Roman" w:hAnsi="Times New Roman" w:eastAsia="宋体" w:cs="Times New Roman"/>
                <w:color w:val="auto"/>
                <w:spacing w:val="10"/>
                <w:kern w:val="24"/>
                <w:sz w:val="24"/>
                <w:szCs w:val="24"/>
                <w:lang w:val="en-US" w:eastAsia="zh-CN"/>
              </w:rPr>
              <w:t>。海水平均盐度为32.3</w:t>
            </w:r>
            <w:r>
              <w:rPr>
                <w:rFonts w:hint="default" w:ascii="Times New Roman" w:hAnsi="Times New Roman" w:eastAsia="宋体" w:cs="Times New Roman"/>
                <w:color w:val="auto"/>
                <w:spacing w:val="10"/>
                <w:kern w:val="24"/>
                <w:sz w:val="24"/>
                <w:szCs w:val="24"/>
                <w:lang w:val="en-US" w:eastAsia="zh-CN"/>
              </w:rPr>
              <w:t>‰</w:t>
            </w:r>
            <w:r>
              <w:rPr>
                <w:rFonts w:hint="eastAsia" w:ascii="Times New Roman" w:hAnsi="Times New Roman" w:eastAsia="宋体" w:cs="Times New Roman"/>
                <w:color w:val="auto"/>
                <w:spacing w:val="10"/>
                <w:kern w:val="24"/>
                <w:sz w:val="24"/>
                <w:szCs w:val="24"/>
                <w:lang w:val="en-US" w:eastAsia="zh-CN"/>
              </w:rPr>
              <w:t>，夏季多雨季节可降到30</w:t>
            </w:r>
            <w:r>
              <w:rPr>
                <w:rFonts w:hint="default" w:ascii="Times New Roman" w:hAnsi="Times New Roman" w:eastAsia="宋体" w:cs="Times New Roman"/>
                <w:color w:val="auto"/>
                <w:spacing w:val="10"/>
                <w:kern w:val="24"/>
                <w:sz w:val="24"/>
                <w:szCs w:val="24"/>
                <w:lang w:val="en-US" w:eastAsia="zh-CN"/>
              </w:rPr>
              <w:t>‰</w:t>
            </w:r>
            <w:r>
              <w:rPr>
                <w:rFonts w:hint="eastAsia" w:ascii="Times New Roman" w:hAnsi="Times New Roman" w:eastAsia="宋体" w:cs="Times New Roman"/>
                <w:color w:val="auto"/>
                <w:spacing w:val="10"/>
                <w:kern w:val="24"/>
                <w:sz w:val="24"/>
                <w:szCs w:val="24"/>
                <w:lang w:val="en-US" w:eastAsia="zh-CN"/>
              </w:rPr>
              <w:t xml:space="preserve">左右。近海营养盐丰富，主要有硝酸盐、硅酸盐、亚硝酸盐和铵盐等。本海域流场为往复流，以潮流为主。涨潮流向为SW，落潮流向为NE，潮流平均最大流速范围 0.19-0.74m/s。海域冰期为11月底至翌年3月，盛冰期为1-2月。固定冰最大宽度为150m，厚度为0.10-0.80m。浮冰最大流速为0.5m/s，浮水流向为NE-SW。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本项目主要建设内容为</w:t>
            </w:r>
            <w:r>
              <w:rPr>
                <w:rFonts w:hint="eastAsia" w:cs="Times New Roman"/>
                <w:color w:val="auto"/>
                <w:spacing w:val="10"/>
                <w:kern w:val="24"/>
                <w:sz w:val="24"/>
                <w:szCs w:val="24"/>
                <w:lang w:val="en-US" w:eastAsia="zh-CN"/>
              </w:rPr>
              <w:t>输送</w:t>
            </w:r>
            <w:r>
              <w:rPr>
                <w:rFonts w:hint="eastAsia" w:ascii="Times New Roman" w:hAnsi="Times New Roman" w:eastAsia="宋体" w:cs="Times New Roman"/>
                <w:color w:val="auto"/>
                <w:spacing w:val="10"/>
                <w:kern w:val="24"/>
                <w:sz w:val="24"/>
                <w:szCs w:val="24"/>
                <w:lang w:val="en-US" w:eastAsia="zh-CN"/>
              </w:rPr>
              <w:t xml:space="preserve">通廊。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textAlignment w:val="auto"/>
              <w:rPr>
                <w:rFonts w:hint="eastAsia" w:ascii="Times New Roman" w:hAnsi="Times New Roman" w:eastAsia="宋体" w:cs="Times New Roman"/>
                <w:b/>
                <w:bCs/>
                <w:color w:val="auto"/>
                <w:spacing w:val="10"/>
                <w:kern w:val="24"/>
                <w:sz w:val="24"/>
                <w:szCs w:val="24"/>
                <w:lang w:val="en-US" w:eastAsia="zh-CN"/>
              </w:rPr>
            </w:pPr>
            <w:r>
              <w:rPr>
                <w:rFonts w:hint="eastAsia" w:ascii="Times New Roman" w:hAnsi="Times New Roman" w:eastAsia="宋体" w:cs="Times New Roman"/>
                <w:b/>
                <w:bCs/>
                <w:color w:val="auto"/>
                <w:spacing w:val="10"/>
                <w:kern w:val="24"/>
                <w:sz w:val="24"/>
                <w:szCs w:val="24"/>
                <w:lang w:val="en-US" w:eastAsia="zh-CN"/>
              </w:rPr>
              <w:t xml:space="preserve">4、土壤及生物多样性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hint="eastAsia" w:ascii="Times New Roman" w:hAnsi="Times New Roman" w:eastAsia="宋体" w:cs="Times New Roman"/>
                <w:color w:val="auto"/>
                <w:spacing w:val="10"/>
                <w:kern w:val="24"/>
                <w:sz w:val="24"/>
                <w:szCs w:val="24"/>
                <w:lang w:val="en-US" w:eastAsia="zh-CN"/>
              </w:rPr>
            </w:pPr>
            <w:r>
              <w:rPr>
                <w:rFonts w:hint="eastAsia" w:ascii="Times New Roman" w:hAnsi="Times New Roman" w:eastAsia="宋体" w:cs="Times New Roman"/>
                <w:color w:val="auto"/>
                <w:spacing w:val="10"/>
                <w:kern w:val="24"/>
                <w:sz w:val="24"/>
                <w:szCs w:val="24"/>
                <w:lang w:val="en-US" w:eastAsia="zh-CN"/>
              </w:rPr>
              <w:t>项目所在区域地貌单一，土壤类型较简单。其成土母质属于河流冲击物，受河流冲击影响较突出，砂、壤、粘层次排列明显，而造成土壤的土种和变种复杂多样。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textAlignment w:val="auto"/>
              <w:rPr>
                <w:rFonts w:hint="eastAsia" w:ascii="Times New Roman" w:hAnsi="Times New Roman" w:eastAsia="宋体" w:cs="Times New Roman"/>
                <w:b/>
                <w:bCs/>
                <w:color w:val="auto"/>
                <w:spacing w:val="10"/>
                <w:kern w:val="24"/>
                <w:sz w:val="24"/>
                <w:szCs w:val="24"/>
                <w:lang w:val="en-US" w:eastAsia="zh-CN"/>
              </w:rPr>
            </w:pPr>
            <w:r>
              <w:rPr>
                <w:rFonts w:hint="eastAsia" w:ascii="Times New Roman" w:hAnsi="Times New Roman" w:eastAsia="宋体" w:cs="Times New Roman"/>
                <w:b/>
                <w:bCs/>
                <w:color w:val="auto"/>
                <w:spacing w:val="10"/>
                <w:kern w:val="24"/>
                <w:sz w:val="24"/>
                <w:szCs w:val="24"/>
                <w:lang w:val="en-US" w:eastAsia="zh-CN"/>
              </w:rPr>
              <w:t>5、大气环境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520" w:firstLineChars="200"/>
              <w:textAlignment w:val="auto"/>
              <w:rPr>
                <w:rFonts w:ascii="Times New Roman" w:hAnsi="Times New Roman" w:eastAsia="宋体" w:cs="Times New Roman"/>
                <w:color w:val="auto"/>
                <w:spacing w:val="10"/>
                <w:kern w:val="24"/>
                <w:sz w:val="24"/>
                <w:szCs w:val="24"/>
                <w:lang w:val="zh-CN"/>
              </w:rPr>
            </w:pPr>
            <w:r>
              <w:rPr>
                <w:rFonts w:hint="eastAsia" w:ascii="Times New Roman" w:hAnsi="Times New Roman" w:eastAsia="宋体" w:cs="Times New Roman"/>
                <w:color w:val="auto"/>
                <w:spacing w:val="10"/>
                <w:kern w:val="24"/>
                <w:sz w:val="24"/>
                <w:szCs w:val="24"/>
                <w:lang w:eastAsia="zh-CN"/>
              </w:rPr>
              <w:t>（</w:t>
            </w:r>
            <w:r>
              <w:rPr>
                <w:rFonts w:hint="eastAsia" w:ascii="Times New Roman" w:hAnsi="Times New Roman" w:eastAsia="宋体" w:cs="Times New Roman"/>
                <w:color w:val="auto"/>
                <w:spacing w:val="10"/>
                <w:kern w:val="24"/>
                <w:sz w:val="24"/>
                <w:szCs w:val="24"/>
                <w:lang w:val="en-US" w:eastAsia="zh-CN"/>
              </w:rPr>
              <w:t>1</w:t>
            </w:r>
            <w:r>
              <w:rPr>
                <w:rFonts w:hint="eastAsia" w:ascii="Times New Roman" w:hAnsi="Times New Roman" w:eastAsia="宋体" w:cs="Times New Roman"/>
                <w:color w:val="auto"/>
                <w:spacing w:val="10"/>
                <w:kern w:val="24"/>
                <w:sz w:val="24"/>
                <w:szCs w:val="24"/>
                <w:lang w:eastAsia="zh-CN"/>
              </w:rPr>
              <w:t>）</w:t>
            </w:r>
            <w:r>
              <w:rPr>
                <w:rFonts w:ascii="Times New Roman" w:hAnsi="Times New Roman" w:eastAsia="宋体" w:cs="Times New Roman"/>
                <w:color w:val="auto"/>
                <w:sz w:val="24"/>
                <w:szCs w:val="24"/>
              </w:rPr>
              <w:t>空气质量达标区判定</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根据唐山市生态环境局202</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年6月发布的《202</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rPr>
              <w:t>年唐山市</w:t>
            </w:r>
            <w:r>
              <w:rPr>
                <w:rFonts w:hint="eastAsia" w:ascii="Times New Roman" w:hAnsi="Times New Roman" w:eastAsia="宋体" w:cs="Times New Roman"/>
                <w:color w:val="auto"/>
                <w:sz w:val="24"/>
                <w:szCs w:val="24"/>
                <w:lang w:val="en-US" w:eastAsia="zh-CN"/>
              </w:rPr>
              <w:t>生态</w:t>
            </w:r>
            <w:r>
              <w:rPr>
                <w:rFonts w:hint="default" w:ascii="Times New Roman" w:hAnsi="Times New Roman" w:eastAsia="宋体" w:cs="Times New Roman"/>
                <w:color w:val="auto"/>
                <w:sz w:val="24"/>
                <w:szCs w:val="24"/>
              </w:rPr>
              <w:t>环境状况公报》：2022年全市优良天数275天，同比增加19天，优良天数比例为75.3%，同比提高5.2个百分点。重度污染以上天数3天，占比0.8%，同比减少5天</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项目所在区域为不达标区</w:t>
            </w:r>
            <w:r>
              <w:rPr>
                <w:rFonts w:ascii="Times New Roman" w:hAnsi="Times New Roman" w:eastAsia="宋体" w:cs="Times New Roman"/>
                <w:color w:val="auto"/>
                <w:sz w:val="24"/>
                <w:szCs w:val="24"/>
              </w:rPr>
              <w:t>。项目所在区域空气质量现状评价见表</w:t>
            </w:r>
            <w:r>
              <w:rPr>
                <w:rFonts w:hint="eastAsia" w:ascii="Times New Roman" w:hAnsi="Times New Roman" w:eastAsia="宋体" w:cs="Times New Roman"/>
                <w:color w:val="auto"/>
                <w:sz w:val="24"/>
                <w:szCs w:val="24"/>
              </w:rPr>
              <w:t>3-1</w:t>
            </w:r>
            <w:r>
              <w:rPr>
                <w:rFonts w:ascii="Times New Roman" w:hAnsi="Times New Roman" w:eastAsia="宋体" w:cs="Times New Roman"/>
                <w:color w:val="auto"/>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jc w:val="center"/>
              <w:textAlignment w:val="auto"/>
              <w:rPr>
                <w:rFonts w:ascii="Times New Roman" w:hAnsi="Times New Roman" w:eastAsia="宋体" w:cs="Times New Roman"/>
                <w:b/>
                <w:bCs/>
                <w:color w:val="auto"/>
                <w:szCs w:val="21"/>
              </w:rPr>
            </w:pPr>
            <w:r>
              <w:rPr>
                <w:rFonts w:ascii="Times New Roman" w:hAnsi="Times New Roman" w:eastAsia="宋体" w:cs="Times New Roman"/>
                <w:b/>
                <w:bCs/>
                <w:color w:val="auto"/>
                <w:szCs w:val="21"/>
              </w:rPr>
              <w:t>表</w:t>
            </w:r>
            <w:r>
              <w:rPr>
                <w:rFonts w:hint="eastAsia" w:ascii="Times New Roman" w:hAnsi="Times New Roman" w:eastAsia="宋体" w:cs="Times New Roman"/>
                <w:b/>
                <w:bCs/>
                <w:color w:val="auto"/>
                <w:szCs w:val="21"/>
              </w:rPr>
              <w:t>3-1</w:t>
            </w:r>
            <w:r>
              <w:rPr>
                <w:rFonts w:ascii="Times New Roman" w:hAnsi="Times New Roman" w:eastAsia="宋体" w:cs="Times New Roman"/>
                <w:b/>
                <w:bCs/>
                <w:color w:val="auto"/>
                <w:szCs w:val="21"/>
              </w:rPr>
              <w:t xml:space="preserve">    区域环境空气质量现状评价表</w:t>
            </w:r>
          </w:p>
          <w:tbl>
            <w:tblPr>
              <w:tblStyle w:val="27"/>
              <w:tblW w:w="0" w:type="auto"/>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57" w:type="dxa"/>
                <w:bottom w:w="0" w:type="dxa"/>
                <w:right w:w="57" w:type="dxa"/>
              </w:tblCellMar>
            </w:tblPr>
            <w:tblGrid>
              <w:gridCol w:w="701"/>
              <w:gridCol w:w="2837"/>
              <w:gridCol w:w="1651"/>
              <w:gridCol w:w="1499"/>
              <w:gridCol w:w="827"/>
              <w:gridCol w:w="78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jc w:val="center"/>
              </w:trPr>
              <w:tc>
                <w:tcPr>
                  <w:tcW w:w="702" w:type="dxa"/>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污染物</w:t>
                  </w:r>
                </w:p>
              </w:tc>
              <w:tc>
                <w:tcPr>
                  <w:tcW w:w="2854" w:type="dxa"/>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年评价指标</w:t>
                  </w:r>
                </w:p>
              </w:tc>
              <w:tc>
                <w:tcPr>
                  <w:tcW w:w="1655" w:type="dxa"/>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现状浓度（μg/m</w:t>
                  </w:r>
                  <w:r>
                    <w:rPr>
                      <w:rFonts w:hint="default" w:ascii="Times New Roman" w:hAnsi="Times New Roman" w:eastAsia="宋体" w:cs="Times New Roman"/>
                      <w:b/>
                      <w:bCs w:val="0"/>
                      <w:color w:val="auto"/>
                      <w:sz w:val="21"/>
                      <w:szCs w:val="21"/>
                      <w:vertAlign w:val="superscript"/>
                    </w:rPr>
                    <w:t>3</w:t>
                  </w:r>
                  <w:r>
                    <w:rPr>
                      <w:rFonts w:hint="default" w:ascii="Times New Roman" w:hAnsi="Times New Roman" w:eastAsia="宋体" w:cs="Times New Roman"/>
                      <w:b/>
                      <w:bCs w:val="0"/>
                      <w:color w:val="auto"/>
                      <w:sz w:val="21"/>
                      <w:szCs w:val="21"/>
                    </w:rPr>
                    <w:t>）</w:t>
                  </w:r>
                </w:p>
              </w:tc>
              <w:tc>
                <w:tcPr>
                  <w:tcW w:w="1502" w:type="dxa"/>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标准值（μg/m</w:t>
                  </w:r>
                  <w:r>
                    <w:rPr>
                      <w:rFonts w:hint="default" w:ascii="Times New Roman" w:hAnsi="Times New Roman" w:eastAsia="宋体" w:cs="Times New Roman"/>
                      <w:b/>
                      <w:bCs w:val="0"/>
                      <w:color w:val="auto"/>
                      <w:sz w:val="21"/>
                      <w:szCs w:val="21"/>
                      <w:vertAlign w:val="superscript"/>
                    </w:rPr>
                    <w:t>3</w:t>
                  </w:r>
                  <w:r>
                    <w:rPr>
                      <w:rFonts w:hint="default" w:ascii="Times New Roman" w:hAnsi="Times New Roman" w:eastAsia="宋体" w:cs="Times New Roman"/>
                      <w:b/>
                      <w:bCs w:val="0"/>
                      <w:color w:val="auto"/>
                      <w:sz w:val="21"/>
                      <w:szCs w:val="21"/>
                    </w:rPr>
                    <w:t>）</w:t>
                  </w:r>
                </w:p>
              </w:tc>
              <w:tc>
                <w:tcPr>
                  <w:tcW w:w="829" w:type="dxa"/>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占标率%</w:t>
                  </w:r>
                </w:p>
              </w:tc>
              <w:tc>
                <w:tcPr>
                  <w:tcW w:w="785" w:type="dxa"/>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b/>
                      <w:bCs w:val="0"/>
                      <w:color w:val="auto"/>
                      <w:sz w:val="21"/>
                      <w:szCs w:val="21"/>
                    </w:rPr>
                  </w:pPr>
                  <w:r>
                    <w:rPr>
                      <w:rFonts w:hint="default" w:ascii="Times New Roman" w:hAnsi="Times New Roman" w:eastAsia="宋体" w:cs="Times New Roman"/>
                      <w:b/>
                      <w:bCs w:val="0"/>
                      <w:color w:val="auto"/>
                      <w:sz w:val="21"/>
                      <w:szCs w:val="21"/>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jc w:val="center"/>
              </w:trPr>
              <w:tc>
                <w:tcPr>
                  <w:tcW w:w="7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SO</w:t>
                  </w:r>
                  <w:r>
                    <w:rPr>
                      <w:rFonts w:hint="default" w:ascii="Times New Roman" w:hAnsi="Times New Roman" w:eastAsia="宋体" w:cs="Times New Roman"/>
                      <w:color w:val="auto"/>
                      <w:sz w:val="21"/>
                      <w:szCs w:val="21"/>
                      <w:vertAlign w:val="subscript"/>
                    </w:rPr>
                    <w:t>2</w:t>
                  </w:r>
                </w:p>
              </w:tc>
              <w:tc>
                <w:tcPr>
                  <w:tcW w:w="2854"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年平均质量浓度</w:t>
                  </w:r>
                </w:p>
              </w:tc>
              <w:tc>
                <w:tcPr>
                  <w:tcW w:w="165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color w:val="auto"/>
                      <w:sz w:val="21"/>
                      <w:szCs w:val="21"/>
                      <w:lang w:val="en-US" w:eastAsia="zh-CN"/>
                    </w:rPr>
                    <w:t>13</w:t>
                  </w:r>
                </w:p>
              </w:tc>
              <w:tc>
                <w:tcPr>
                  <w:tcW w:w="15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60</w:t>
                  </w:r>
                </w:p>
              </w:tc>
              <w:tc>
                <w:tcPr>
                  <w:tcW w:w="829"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lang w:val="en-US" w:eastAsia="zh-CN"/>
                    </w:rPr>
                  </w:pPr>
                  <w:r>
                    <w:rPr>
                      <w:rFonts w:hint="default" w:ascii="Times New Roman" w:hAnsi="Times New Roman" w:eastAsia="宋体" w:cs="Times New Roman"/>
                      <w:color w:val="auto"/>
                      <w:sz w:val="21"/>
                      <w:szCs w:val="21"/>
                    </w:rPr>
                    <w:t>16.7</w:t>
                  </w:r>
                </w:p>
              </w:tc>
              <w:tc>
                <w:tcPr>
                  <w:tcW w:w="78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jc w:val="center"/>
              </w:trPr>
              <w:tc>
                <w:tcPr>
                  <w:tcW w:w="7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NO</w:t>
                  </w:r>
                  <w:r>
                    <w:rPr>
                      <w:rFonts w:hint="default" w:ascii="Times New Roman" w:hAnsi="Times New Roman" w:eastAsia="宋体" w:cs="Times New Roman"/>
                      <w:color w:val="auto"/>
                      <w:sz w:val="21"/>
                      <w:szCs w:val="21"/>
                      <w:vertAlign w:val="subscript"/>
                    </w:rPr>
                    <w:t>2</w:t>
                  </w:r>
                </w:p>
              </w:tc>
              <w:tc>
                <w:tcPr>
                  <w:tcW w:w="2854"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年平均质量浓度</w:t>
                  </w:r>
                </w:p>
              </w:tc>
              <w:tc>
                <w:tcPr>
                  <w:tcW w:w="165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bCs/>
                      <w:color w:val="auto"/>
                      <w:sz w:val="21"/>
                      <w:szCs w:val="21"/>
                      <w:lang w:val="en-US" w:eastAsia="zh-CN"/>
                    </w:rPr>
                    <w:t>28</w:t>
                  </w:r>
                </w:p>
              </w:tc>
              <w:tc>
                <w:tcPr>
                  <w:tcW w:w="15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40</w:t>
                  </w:r>
                </w:p>
              </w:tc>
              <w:tc>
                <w:tcPr>
                  <w:tcW w:w="829"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lang w:val="en-US" w:eastAsia="zh-CN"/>
                    </w:rPr>
                  </w:pPr>
                  <w:r>
                    <w:rPr>
                      <w:rFonts w:hint="default" w:ascii="Times New Roman" w:hAnsi="Times New Roman" w:eastAsia="宋体" w:cs="Times New Roman"/>
                      <w:color w:val="auto"/>
                      <w:sz w:val="21"/>
                      <w:szCs w:val="21"/>
                    </w:rPr>
                    <w:t>97.5</w:t>
                  </w:r>
                </w:p>
              </w:tc>
              <w:tc>
                <w:tcPr>
                  <w:tcW w:w="78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jc w:val="center"/>
              </w:trPr>
              <w:tc>
                <w:tcPr>
                  <w:tcW w:w="7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PM</w:t>
                  </w:r>
                  <w:r>
                    <w:rPr>
                      <w:rFonts w:hint="default" w:ascii="Times New Roman" w:hAnsi="Times New Roman" w:eastAsia="宋体" w:cs="Times New Roman"/>
                      <w:color w:val="auto"/>
                      <w:sz w:val="21"/>
                      <w:szCs w:val="21"/>
                      <w:vertAlign w:val="subscript"/>
                    </w:rPr>
                    <w:t>10</w:t>
                  </w:r>
                </w:p>
              </w:tc>
              <w:tc>
                <w:tcPr>
                  <w:tcW w:w="2854"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年平均质量浓度</w:t>
                  </w:r>
                </w:p>
              </w:tc>
              <w:tc>
                <w:tcPr>
                  <w:tcW w:w="165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color w:val="auto"/>
                      <w:sz w:val="21"/>
                      <w:szCs w:val="21"/>
                      <w:lang w:val="en-US" w:eastAsia="zh-CN"/>
                    </w:rPr>
                    <w:t>54</w:t>
                  </w:r>
                </w:p>
              </w:tc>
              <w:tc>
                <w:tcPr>
                  <w:tcW w:w="15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70</w:t>
                  </w:r>
                </w:p>
              </w:tc>
              <w:tc>
                <w:tcPr>
                  <w:tcW w:w="829"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lang w:val="en-US" w:eastAsia="zh-CN"/>
                    </w:rPr>
                  </w:pPr>
                  <w:r>
                    <w:rPr>
                      <w:rFonts w:hint="default" w:ascii="Times New Roman" w:hAnsi="Times New Roman" w:eastAsia="宋体" w:cs="Times New Roman"/>
                      <w:color w:val="auto"/>
                      <w:sz w:val="21"/>
                      <w:szCs w:val="21"/>
                    </w:rPr>
                    <w:t>112.8</w:t>
                  </w:r>
                </w:p>
              </w:tc>
              <w:tc>
                <w:tcPr>
                  <w:tcW w:w="78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jc w:val="center"/>
              </w:trPr>
              <w:tc>
                <w:tcPr>
                  <w:tcW w:w="7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PM</w:t>
                  </w:r>
                  <w:r>
                    <w:rPr>
                      <w:rFonts w:hint="default" w:ascii="Times New Roman" w:hAnsi="Times New Roman" w:eastAsia="宋体" w:cs="Times New Roman"/>
                      <w:color w:val="auto"/>
                      <w:sz w:val="21"/>
                      <w:szCs w:val="21"/>
                      <w:vertAlign w:val="subscript"/>
                    </w:rPr>
                    <w:t>2.5</w:t>
                  </w:r>
                </w:p>
              </w:tc>
              <w:tc>
                <w:tcPr>
                  <w:tcW w:w="2854"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年平均质量浓度</w:t>
                  </w:r>
                </w:p>
              </w:tc>
              <w:tc>
                <w:tcPr>
                  <w:tcW w:w="165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color w:val="auto"/>
                      <w:sz w:val="21"/>
                      <w:szCs w:val="21"/>
                      <w:lang w:val="en-US" w:eastAsia="zh-CN"/>
                    </w:rPr>
                    <w:t>25</w:t>
                  </w:r>
                </w:p>
              </w:tc>
              <w:tc>
                <w:tcPr>
                  <w:tcW w:w="15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35</w:t>
                  </w:r>
                </w:p>
              </w:tc>
              <w:tc>
                <w:tcPr>
                  <w:tcW w:w="829"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lang w:val="en-US" w:eastAsia="zh-CN"/>
                    </w:rPr>
                  </w:pPr>
                  <w:r>
                    <w:rPr>
                      <w:rFonts w:hint="default" w:ascii="Times New Roman" w:hAnsi="Times New Roman" w:eastAsia="宋体" w:cs="Times New Roman"/>
                      <w:color w:val="auto"/>
                      <w:sz w:val="21"/>
                      <w:szCs w:val="21"/>
                    </w:rPr>
                    <w:t>122.8</w:t>
                  </w:r>
                </w:p>
              </w:tc>
              <w:tc>
                <w:tcPr>
                  <w:tcW w:w="78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jc w:val="center"/>
              </w:trPr>
              <w:tc>
                <w:tcPr>
                  <w:tcW w:w="7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CO</w:t>
                  </w:r>
                </w:p>
              </w:tc>
              <w:tc>
                <w:tcPr>
                  <w:tcW w:w="2854"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color w:val="auto"/>
                      <w:sz w:val="21"/>
                      <w:szCs w:val="21"/>
                    </w:rPr>
                    <w:t>第95百分位平均浓度</w:t>
                  </w:r>
                </w:p>
              </w:tc>
              <w:tc>
                <w:tcPr>
                  <w:tcW w:w="165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color w:val="auto"/>
                      <w:sz w:val="21"/>
                      <w:szCs w:val="21"/>
                    </w:rPr>
                    <w:t>1</w:t>
                  </w:r>
                  <w:r>
                    <w:rPr>
                      <w:rFonts w:hint="default" w:ascii="Times New Roman" w:hAnsi="Times New Roman" w:eastAsia="宋体" w:cs="Times New Roman"/>
                      <w:color w:val="auto"/>
                      <w:sz w:val="21"/>
                      <w:szCs w:val="21"/>
                      <w:lang w:val="en-US" w:eastAsia="zh-CN"/>
                    </w:rPr>
                    <w:t>.2</w:t>
                  </w:r>
                  <w:r>
                    <w:rPr>
                      <w:rFonts w:hint="default" w:ascii="Times New Roman" w:hAnsi="Times New Roman" w:eastAsia="宋体" w:cs="Times New Roman"/>
                      <w:color w:val="auto"/>
                      <w:sz w:val="21"/>
                      <w:szCs w:val="21"/>
                      <w:highlight w:val="none"/>
                      <w:lang w:val="en-US" w:eastAsia="zh-CN"/>
                    </w:rPr>
                    <w:t>mg/m</w:t>
                  </w:r>
                  <w:r>
                    <w:rPr>
                      <w:rFonts w:hint="default" w:ascii="Times New Roman" w:hAnsi="Times New Roman" w:eastAsia="宋体" w:cs="Times New Roman"/>
                      <w:color w:val="auto"/>
                      <w:sz w:val="21"/>
                      <w:szCs w:val="21"/>
                      <w:highlight w:val="none"/>
                      <w:vertAlign w:val="superscript"/>
                      <w:lang w:val="en-US" w:eastAsia="zh-CN"/>
                    </w:rPr>
                    <w:t>3</w:t>
                  </w:r>
                </w:p>
              </w:tc>
              <w:tc>
                <w:tcPr>
                  <w:tcW w:w="15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4</w:t>
                  </w:r>
                  <w:r>
                    <w:rPr>
                      <w:rFonts w:hint="default" w:ascii="Times New Roman" w:hAnsi="Times New Roman" w:eastAsia="宋体" w:cs="Times New Roman"/>
                      <w:color w:val="auto"/>
                      <w:sz w:val="21"/>
                      <w:szCs w:val="21"/>
                      <w:lang w:val="en-US" w:eastAsia="zh-CN"/>
                    </w:rPr>
                    <w:t>.0</w:t>
                  </w:r>
                  <w:r>
                    <w:rPr>
                      <w:rFonts w:hint="default" w:ascii="Times New Roman" w:hAnsi="Times New Roman" w:eastAsia="宋体" w:cs="Times New Roman"/>
                      <w:color w:val="auto"/>
                      <w:sz w:val="21"/>
                      <w:szCs w:val="21"/>
                      <w:highlight w:val="none"/>
                      <w:lang w:val="en-US" w:eastAsia="zh-CN"/>
                    </w:rPr>
                    <w:t>mg/m</w:t>
                  </w:r>
                  <w:r>
                    <w:rPr>
                      <w:rFonts w:hint="default" w:ascii="Times New Roman" w:hAnsi="Times New Roman" w:eastAsia="宋体" w:cs="Times New Roman"/>
                      <w:color w:val="auto"/>
                      <w:sz w:val="21"/>
                      <w:szCs w:val="21"/>
                      <w:highlight w:val="none"/>
                      <w:vertAlign w:val="superscript"/>
                      <w:lang w:val="en-US" w:eastAsia="zh-CN"/>
                    </w:rPr>
                    <w:t>3</w:t>
                  </w:r>
                </w:p>
              </w:tc>
              <w:tc>
                <w:tcPr>
                  <w:tcW w:w="829"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lang w:val="en-US" w:eastAsia="zh-CN"/>
                    </w:rPr>
                  </w:pPr>
                  <w:r>
                    <w:rPr>
                      <w:rFonts w:hint="default" w:ascii="Times New Roman" w:hAnsi="Times New Roman" w:eastAsia="宋体" w:cs="Times New Roman"/>
                      <w:color w:val="auto"/>
                      <w:sz w:val="21"/>
                      <w:szCs w:val="21"/>
                    </w:rPr>
                    <w:t>47.5</w:t>
                  </w:r>
                </w:p>
              </w:tc>
              <w:tc>
                <w:tcPr>
                  <w:tcW w:w="78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达标</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7" w:type="dxa"/>
                  <w:bottom w:w="0" w:type="dxa"/>
                  <w:right w:w="57" w:type="dxa"/>
                </w:tblCellMar>
              </w:tblPrEx>
              <w:trPr>
                <w:jc w:val="center"/>
              </w:trPr>
              <w:tc>
                <w:tcPr>
                  <w:tcW w:w="7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p>
              </w:tc>
              <w:tc>
                <w:tcPr>
                  <w:tcW w:w="2854"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lang w:eastAsia="zh-CN"/>
                    </w:rPr>
                  </w:pPr>
                  <w:r>
                    <w:rPr>
                      <w:rFonts w:hint="default" w:ascii="Times New Roman" w:hAnsi="Times New Roman" w:eastAsia="宋体" w:cs="Times New Roman"/>
                      <w:color w:val="auto"/>
                      <w:sz w:val="21"/>
                      <w:szCs w:val="21"/>
                    </w:rPr>
                    <w:t>日最大8小时平均第90百分位平均浓度</w:t>
                  </w:r>
                </w:p>
              </w:tc>
              <w:tc>
                <w:tcPr>
                  <w:tcW w:w="165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lang w:val="en-US" w:eastAsia="zh-CN"/>
                    </w:rPr>
                  </w:pPr>
                  <w:r>
                    <w:rPr>
                      <w:rFonts w:hint="default" w:ascii="Times New Roman" w:hAnsi="Times New Roman" w:eastAsia="宋体" w:cs="Times New Roman"/>
                      <w:color w:val="auto"/>
                      <w:sz w:val="21"/>
                      <w:szCs w:val="21"/>
                      <w:lang w:val="en-US" w:eastAsia="zh-CN"/>
                    </w:rPr>
                    <w:t>179</w:t>
                  </w:r>
                </w:p>
              </w:tc>
              <w:tc>
                <w:tcPr>
                  <w:tcW w:w="1502"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160</w:t>
                  </w:r>
                </w:p>
              </w:tc>
              <w:tc>
                <w:tcPr>
                  <w:tcW w:w="829"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kern w:val="0"/>
                      <w:sz w:val="21"/>
                      <w:szCs w:val="21"/>
                    </w:rPr>
                  </w:pPr>
                  <w:r>
                    <w:rPr>
                      <w:rFonts w:hint="default" w:ascii="Times New Roman" w:hAnsi="Times New Roman" w:eastAsia="宋体" w:cs="Times New Roman"/>
                      <w:color w:val="auto"/>
                      <w:sz w:val="21"/>
                      <w:szCs w:val="21"/>
                    </w:rPr>
                    <w:t>100.6</w:t>
                  </w:r>
                </w:p>
              </w:tc>
              <w:tc>
                <w:tcPr>
                  <w:tcW w:w="785" w:type="dxa"/>
                  <w:noWrap w:val="0"/>
                  <w:vAlign w:val="center"/>
                </w:tcPr>
                <w:p>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Cs/>
                      <w:color w:val="auto"/>
                      <w:sz w:val="21"/>
                      <w:szCs w:val="21"/>
                    </w:rPr>
                  </w:pPr>
                  <w:r>
                    <w:rPr>
                      <w:rFonts w:hint="default" w:ascii="Times New Roman" w:hAnsi="Times New Roman" w:eastAsia="宋体" w:cs="Times New Roman"/>
                      <w:color w:val="auto"/>
                      <w:sz w:val="21"/>
                      <w:szCs w:val="21"/>
                    </w:rPr>
                    <w:t>不达标</w:t>
                  </w:r>
                </w:p>
              </w:tc>
            </w:tr>
          </w:tbl>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rPr>
            </w:pPr>
            <w:r>
              <w:rPr>
                <w:rFonts w:ascii="Times New Roman" w:hAnsi="Times New Roman" w:eastAsia="宋体" w:cs="Times New Roman"/>
                <w:color w:val="auto"/>
                <w:sz w:val="24"/>
                <w:szCs w:val="24"/>
              </w:rPr>
              <w:t>根据公报结果，项目区域</w:t>
            </w:r>
            <w:r>
              <w:rPr>
                <w:rFonts w:hint="eastAsia" w:ascii="Times New Roman" w:hAnsi="Times New Roman" w:eastAsia="宋体" w:cs="Times New Roman"/>
                <w:color w:val="auto"/>
                <w:sz w:val="24"/>
                <w:szCs w:val="24"/>
                <w:lang w:eastAsia="zh-CN"/>
              </w:rPr>
              <w:t>（唐山市）</w:t>
            </w:r>
            <w:r>
              <w:rPr>
                <w:rFonts w:ascii="Times New Roman" w:hAnsi="Times New Roman" w:eastAsia="宋体" w:cs="Times New Roman"/>
                <w:color w:val="auto"/>
                <w:sz w:val="24"/>
                <w:szCs w:val="24"/>
              </w:rPr>
              <w:t>为环境空气质量不达标区，不达标因子为O</w:t>
            </w:r>
            <w:r>
              <w:rPr>
                <w:rFonts w:ascii="Times New Roman" w:hAnsi="Times New Roman" w:eastAsia="宋体" w:cs="Times New Roman"/>
                <w:color w:val="auto"/>
                <w:sz w:val="24"/>
                <w:szCs w:val="24"/>
                <w:vertAlign w:val="subscript"/>
              </w:rPr>
              <w:t>3</w:t>
            </w:r>
            <w:r>
              <w:rPr>
                <w:rFonts w:ascii="Times New Roman" w:hAnsi="Times New Roman" w:eastAsia="宋体" w:cs="Times New Roman"/>
                <w:color w:val="auto"/>
                <w:sz w:val="24"/>
                <w:szCs w:val="24"/>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yellow"/>
                <w:lang w:eastAsia="zh-CN"/>
              </w:rPr>
            </w:pPr>
            <w:r>
              <w:rPr>
                <w:rFonts w:hint="eastAsia" w:ascii="Times New Roman" w:hAnsi="Times New Roman" w:eastAsia="宋体" w:cs="Times New Roman"/>
                <w:color w:val="auto"/>
                <w:sz w:val="24"/>
                <w:szCs w:val="24"/>
                <w:highlight w:val="none"/>
                <w:lang w:eastAsia="zh-CN"/>
              </w:rPr>
              <w:t>（</w:t>
            </w:r>
            <w:r>
              <w:rPr>
                <w:rFonts w:hint="eastAsia" w:ascii="Times New Roman" w:hAnsi="Times New Roman" w:eastAsia="宋体" w:cs="Times New Roman"/>
                <w:color w:val="auto"/>
                <w:sz w:val="24"/>
                <w:szCs w:val="24"/>
                <w:highlight w:val="none"/>
                <w:lang w:val="en-US" w:eastAsia="zh-CN"/>
              </w:rPr>
              <w:t>2</w:t>
            </w:r>
            <w:r>
              <w:rPr>
                <w:rFonts w:hint="eastAsia" w:ascii="Times New Roman" w:hAnsi="Times New Roman" w:eastAsia="宋体" w:cs="Times New Roman"/>
                <w:color w:val="auto"/>
                <w:sz w:val="24"/>
                <w:szCs w:val="24"/>
                <w:highlight w:val="none"/>
                <w:lang w:eastAsia="zh-CN"/>
              </w:rPr>
              <w:t>）其他污染物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本项目TSP环境质量现状监测引用</w:t>
            </w:r>
            <w:r>
              <w:rPr>
                <w:rFonts w:hint="eastAsia" w:ascii="Times New Roman" w:hAnsi="Times New Roman" w:eastAsia="宋体" w:cs="Times New Roman"/>
                <w:color w:val="auto"/>
                <w:sz w:val="24"/>
                <w:szCs w:val="24"/>
                <w:lang w:eastAsia="zh-CN"/>
              </w:rPr>
              <w:t>河北德普环境监测有限公司</w:t>
            </w:r>
            <w:r>
              <w:rPr>
                <w:rFonts w:hint="default" w:ascii="Times New Roman" w:hAnsi="Times New Roman" w:eastAsia="宋体" w:cs="Times New Roman"/>
                <w:color w:val="auto"/>
                <w:sz w:val="24"/>
                <w:szCs w:val="24"/>
                <w:lang w:val="en-US" w:eastAsia="zh-CN"/>
              </w:rPr>
              <w:t>202</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年</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月</w:t>
            </w:r>
            <w:r>
              <w:rPr>
                <w:rFonts w:hint="eastAsia" w:ascii="Times New Roman" w:hAnsi="Times New Roman" w:eastAsia="宋体" w:cs="Times New Roman"/>
                <w:color w:val="auto"/>
                <w:sz w:val="24"/>
                <w:szCs w:val="24"/>
                <w:lang w:val="en-US" w:eastAsia="zh-CN"/>
              </w:rPr>
              <w:t>27</w:t>
            </w:r>
            <w:r>
              <w:rPr>
                <w:rFonts w:hint="default" w:ascii="Times New Roman" w:hAnsi="Times New Roman" w:eastAsia="宋体" w:cs="Times New Roman"/>
                <w:color w:val="auto"/>
                <w:sz w:val="24"/>
                <w:szCs w:val="24"/>
                <w:lang w:val="en-US" w:eastAsia="zh-CN"/>
              </w:rPr>
              <w:t>日出具的检验检测报告（报告编号：</w:t>
            </w:r>
            <w:r>
              <w:rPr>
                <w:rFonts w:hint="eastAsia" w:ascii="Times New Roman" w:hAnsi="Times New Roman" w:eastAsia="宋体" w:cs="Times New Roman"/>
                <w:color w:val="auto"/>
                <w:sz w:val="24"/>
                <w:szCs w:val="24"/>
                <w:lang w:val="en-US" w:eastAsia="zh-CN"/>
              </w:rPr>
              <w:t>HBDP[2023]第H0004号</w:t>
            </w:r>
            <w:r>
              <w:rPr>
                <w:rFonts w:hint="default" w:ascii="Times New Roman" w:hAnsi="Times New Roman" w:eastAsia="宋体" w:cs="Times New Roman"/>
                <w:color w:val="auto"/>
                <w:sz w:val="24"/>
                <w:szCs w:val="24"/>
                <w:lang w:val="en-US" w:eastAsia="zh-CN"/>
              </w:rPr>
              <w:t>）中的数据，监测时间为202</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年</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月</w:t>
            </w:r>
            <w:r>
              <w:rPr>
                <w:rFonts w:hint="eastAsia" w:ascii="Times New Roman" w:hAnsi="Times New Roman" w:eastAsia="宋体" w:cs="Times New Roman"/>
                <w:color w:val="auto"/>
                <w:sz w:val="24"/>
                <w:szCs w:val="24"/>
                <w:lang w:val="en-US" w:eastAsia="zh-CN"/>
              </w:rPr>
              <w:t>24</w:t>
            </w:r>
            <w:r>
              <w:rPr>
                <w:rFonts w:hint="default" w:ascii="Times New Roman" w:hAnsi="Times New Roman" w:eastAsia="宋体" w:cs="Times New Roman"/>
                <w:color w:val="auto"/>
                <w:sz w:val="24"/>
                <w:szCs w:val="24"/>
                <w:lang w:val="en-US" w:eastAsia="zh-CN"/>
              </w:rPr>
              <w:t>日~202</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lang w:val="en-US" w:eastAsia="zh-CN"/>
              </w:rPr>
              <w:t>年</w:t>
            </w:r>
            <w:r>
              <w:rPr>
                <w:rFonts w:hint="eastAsia" w:ascii="Times New Roman" w:hAnsi="Times New Roman" w:eastAsia="宋体" w:cs="Times New Roman"/>
                <w:color w:val="auto"/>
                <w:sz w:val="24"/>
                <w:szCs w:val="24"/>
                <w:lang w:val="en-US" w:eastAsia="zh-CN"/>
              </w:rPr>
              <w:t>2</w:t>
            </w:r>
            <w:r>
              <w:rPr>
                <w:rFonts w:hint="default" w:ascii="Times New Roman" w:hAnsi="Times New Roman" w:eastAsia="宋体" w:cs="Times New Roman"/>
                <w:color w:val="auto"/>
                <w:sz w:val="24"/>
                <w:szCs w:val="24"/>
                <w:lang w:val="en-US" w:eastAsia="zh-CN"/>
              </w:rPr>
              <w:t>月</w:t>
            </w:r>
            <w:r>
              <w:rPr>
                <w:rFonts w:hint="eastAsia" w:ascii="Times New Roman" w:hAnsi="Times New Roman" w:eastAsia="宋体" w:cs="Times New Roman"/>
                <w:color w:val="auto"/>
                <w:sz w:val="24"/>
                <w:szCs w:val="24"/>
                <w:lang w:val="en-US" w:eastAsia="zh-CN"/>
              </w:rPr>
              <w:t>26</w:t>
            </w:r>
            <w:r>
              <w:rPr>
                <w:rFonts w:hint="default" w:ascii="Times New Roman" w:hAnsi="Times New Roman" w:eastAsia="宋体" w:cs="Times New Roman"/>
                <w:color w:val="auto"/>
                <w:sz w:val="24"/>
                <w:szCs w:val="24"/>
                <w:lang w:val="en-US" w:eastAsia="zh-CN"/>
              </w:rPr>
              <w:t>日，监测点位距离本项目</w:t>
            </w:r>
            <w:r>
              <w:rPr>
                <w:rFonts w:hint="eastAsia" w:ascii="Times New Roman" w:hAnsi="Times New Roman" w:eastAsia="宋体" w:cs="Times New Roman"/>
                <w:color w:val="auto"/>
                <w:sz w:val="24"/>
                <w:szCs w:val="24"/>
                <w:lang w:val="en-US" w:eastAsia="zh-CN"/>
              </w:rPr>
              <w:t>430</w:t>
            </w:r>
            <w:r>
              <w:rPr>
                <w:rFonts w:hint="default" w:ascii="Times New Roman" w:hAnsi="Times New Roman" w:eastAsia="宋体" w:cs="Times New Roman"/>
                <w:color w:val="auto"/>
                <w:sz w:val="24"/>
                <w:szCs w:val="24"/>
                <w:lang w:val="en-US" w:eastAsia="zh-CN"/>
              </w:rPr>
              <w:t>m，位于</w:t>
            </w:r>
            <w:r>
              <w:rPr>
                <w:rFonts w:hint="eastAsia" w:ascii="Times New Roman" w:hAnsi="Times New Roman" w:eastAsia="宋体" w:cs="Times New Roman"/>
                <w:color w:val="auto"/>
                <w:sz w:val="24"/>
                <w:szCs w:val="24"/>
                <w:lang w:val="en-US" w:eastAsia="zh-CN"/>
              </w:rPr>
              <w:t>唐山宏鸿穆穆实业有限公司</w:t>
            </w:r>
            <w:r>
              <w:rPr>
                <w:rFonts w:hint="default" w:ascii="Times New Roman" w:hAnsi="Times New Roman" w:eastAsia="宋体" w:cs="Times New Roman"/>
                <w:color w:val="auto"/>
                <w:sz w:val="24"/>
                <w:szCs w:val="24"/>
                <w:lang w:val="en-US" w:eastAsia="zh-CN"/>
              </w:rPr>
              <w:t>厂址</w:t>
            </w:r>
            <w:r>
              <w:rPr>
                <w:rFonts w:hint="eastAsia" w:ascii="Times New Roman" w:hAnsi="Times New Roman" w:eastAsia="宋体" w:cs="Times New Roman"/>
                <w:color w:val="auto"/>
                <w:sz w:val="24"/>
                <w:szCs w:val="24"/>
                <w:lang w:val="en-US" w:eastAsia="zh-CN"/>
              </w:rPr>
              <w:t>南侧</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引用的监测数据满足要求，监测结果见表3-2。</w:t>
            </w:r>
          </w:p>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b/>
                <w:color w:val="auto"/>
                <w:szCs w:val="21"/>
                <w:highlight w:val="none"/>
              </w:rPr>
            </w:pPr>
            <w:r>
              <w:rPr>
                <w:rFonts w:hint="default" w:ascii="Times New Roman" w:hAnsi="Times New Roman" w:eastAsia="宋体" w:cs="Times New Roman"/>
                <w:b/>
                <w:color w:val="auto"/>
                <w:szCs w:val="21"/>
                <w:highlight w:val="none"/>
              </w:rPr>
              <w:t>表3-2</w:t>
            </w:r>
            <w:r>
              <w:rPr>
                <w:rFonts w:hint="default" w:ascii="Times New Roman" w:hAnsi="Times New Roman" w:eastAsia="宋体" w:cs="Times New Roman"/>
                <w:b/>
                <w:color w:val="auto"/>
                <w:szCs w:val="21"/>
                <w:highlight w:val="none"/>
                <w:lang w:val="en-US" w:eastAsia="zh-CN"/>
              </w:rPr>
              <w:t xml:space="preserve">  </w:t>
            </w:r>
            <w:r>
              <w:rPr>
                <w:rFonts w:hint="default" w:ascii="Times New Roman" w:hAnsi="Times New Roman" w:eastAsia="宋体" w:cs="Times New Roman"/>
                <w:b/>
                <w:color w:val="auto"/>
                <w:szCs w:val="21"/>
                <w:highlight w:val="none"/>
              </w:rPr>
              <w:t>监测点环境空气现状监测结果与评价一览表</w:t>
            </w:r>
          </w:p>
          <w:tbl>
            <w:tblPr>
              <w:tblStyle w:val="27"/>
              <w:tblW w:w="5000"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28" w:type="dxa"/>
                <w:bottom w:w="0" w:type="dxa"/>
                <w:right w:w="28" w:type="dxa"/>
              </w:tblCellMar>
            </w:tblPr>
            <w:tblGrid>
              <w:gridCol w:w="666"/>
              <w:gridCol w:w="2492"/>
              <w:gridCol w:w="758"/>
              <w:gridCol w:w="1056"/>
              <w:gridCol w:w="1056"/>
              <w:gridCol w:w="995"/>
              <w:gridCol w:w="758"/>
              <w:gridCol w:w="51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227" w:hRule="atLeast"/>
                <w:tblHeader/>
                <w:jc w:val="center"/>
              </w:trPr>
              <w:tc>
                <w:tcPr>
                  <w:tcW w:w="632" w:type="dxa"/>
                  <w:noWrap w:val="0"/>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监测因子</w:t>
                  </w:r>
                </w:p>
              </w:tc>
              <w:tc>
                <w:tcPr>
                  <w:tcW w:w="2366" w:type="dxa"/>
                  <w:tcBorders>
                    <w:right w:val="single" w:color="auto" w:sz="6" w:space="0"/>
                  </w:tcBorders>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监测点位</w:t>
                  </w:r>
                </w:p>
              </w:tc>
              <w:tc>
                <w:tcPr>
                  <w:tcW w:w="720" w:type="dxa"/>
                  <w:tcBorders>
                    <w:left w:val="single" w:color="auto" w:sz="6" w:space="0"/>
                  </w:tcBorders>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类别</w:t>
                  </w:r>
                </w:p>
              </w:tc>
              <w:tc>
                <w:tcPr>
                  <w:tcW w:w="900" w:type="dxa"/>
                  <w:tcBorders>
                    <w:left w:val="single" w:color="auto" w:sz="6" w:space="0"/>
                  </w:tcBorders>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监测值（μg/m</w:t>
                  </w:r>
                  <w:r>
                    <w:rPr>
                      <w:rFonts w:hint="default" w:ascii="Times New Roman" w:hAnsi="Times New Roman" w:eastAsia="宋体" w:cs="Times New Roman"/>
                      <w:b/>
                      <w:bCs/>
                      <w:color w:val="auto"/>
                      <w:sz w:val="21"/>
                      <w:szCs w:val="21"/>
                      <w:highlight w:val="none"/>
                      <w:vertAlign w:val="superscript"/>
                    </w:rPr>
                    <w:t>3</w:t>
                  </w:r>
                  <w:r>
                    <w:rPr>
                      <w:rFonts w:hint="default" w:ascii="Times New Roman" w:hAnsi="Times New Roman" w:eastAsia="宋体" w:cs="Times New Roman"/>
                      <w:b/>
                      <w:bCs/>
                      <w:color w:val="auto"/>
                      <w:sz w:val="21"/>
                      <w:szCs w:val="21"/>
                      <w:highlight w:val="none"/>
                    </w:rPr>
                    <w:t>）</w:t>
                  </w:r>
                </w:p>
              </w:tc>
              <w:tc>
                <w:tcPr>
                  <w:tcW w:w="900" w:type="dxa"/>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标准值（μg/m</w:t>
                  </w:r>
                  <w:r>
                    <w:rPr>
                      <w:rFonts w:hint="default" w:ascii="Times New Roman" w:hAnsi="Times New Roman" w:eastAsia="宋体" w:cs="Times New Roman"/>
                      <w:b/>
                      <w:bCs/>
                      <w:color w:val="auto"/>
                      <w:sz w:val="21"/>
                      <w:szCs w:val="21"/>
                      <w:highlight w:val="none"/>
                      <w:vertAlign w:val="superscript"/>
                    </w:rPr>
                    <w:t>3</w:t>
                  </w:r>
                  <w:r>
                    <w:rPr>
                      <w:rFonts w:hint="default" w:ascii="Times New Roman" w:hAnsi="Times New Roman" w:eastAsia="宋体" w:cs="Times New Roman"/>
                      <w:b/>
                      <w:bCs/>
                      <w:color w:val="auto"/>
                      <w:sz w:val="21"/>
                      <w:szCs w:val="21"/>
                      <w:highlight w:val="none"/>
                    </w:rPr>
                    <w:t>）</w:t>
                  </w:r>
                </w:p>
              </w:tc>
              <w:tc>
                <w:tcPr>
                  <w:tcW w:w="945" w:type="dxa"/>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最大浓度占标率%</w:t>
                  </w:r>
                </w:p>
              </w:tc>
              <w:tc>
                <w:tcPr>
                  <w:tcW w:w="719" w:type="dxa"/>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lang w:val="en-US" w:eastAsia="zh-CN"/>
                    </w:rPr>
                  </w:pPr>
                  <w:r>
                    <w:rPr>
                      <w:rFonts w:hint="default" w:ascii="Times New Roman" w:hAnsi="Times New Roman" w:eastAsia="宋体" w:cs="Times New Roman"/>
                      <w:b/>
                      <w:bCs/>
                      <w:color w:val="auto"/>
                      <w:sz w:val="21"/>
                      <w:szCs w:val="21"/>
                      <w:highlight w:val="none"/>
                    </w:rPr>
                    <w:t>超标率</w:t>
                  </w:r>
                  <w:r>
                    <w:rPr>
                      <w:rFonts w:hint="default" w:ascii="Times New Roman" w:hAnsi="Times New Roman" w:eastAsia="宋体" w:cs="Times New Roman"/>
                      <w:b/>
                      <w:bCs/>
                      <w:color w:val="auto"/>
                      <w:sz w:val="21"/>
                      <w:szCs w:val="21"/>
                      <w:highlight w:val="none"/>
                      <w:lang w:eastAsia="zh-CN"/>
                    </w:rPr>
                    <w:t>（</w:t>
                  </w:r>
                  <w:r>
                    <w:rPr>
                      <w:rFonts w:hint="default" w:ascii="Times New Roman" w:hAnsi="Times New Roman" w:eastAsia="宋体" w:cs="Times New Roman"/>
                      <w:b/>
                      <w:bCs/>
                      <w:color w:val="auto"/>
                      <w:sz w:val="21"/>
                      <w:szCs w:val="21"/>
                      <w:highlight w:val="none"/>
                    </w:rPr>
                    <w:t>%</w:t>
                  </w:r>
                  <w:r>
                    <w:rPr>
                      <w:rFonts w:hint="default" w:ascii="Times New Roman" w:hAnsi="Times New Roman" w:eastAsia="宋体" w:cs="Times New Roman"/>
                      <w:b/>
                      <w:bCs/>
                      <w:color w:val="auto"/>
                      <w:sz w:val="21"/>
                      <w:szCs w:val="21"/>
                      <w:highlight w:val="none"/>
                      <w:lang w:eastAsia="zh-CN"/>
                    </w:rPr>
                    <w:t>）</w:t>
                  </w:r>
                </w:p>
              </w:tc>
              <w:tc>
                <w:tcPr>
                  <w:tcW w:w="490" w:type="dxa"/>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sz w:val="21"/>
                      <w:szCs w:val="21"/>
                      <w:highlight w:val="none"/>
                    </w:rPr>
                  </w:pPr>
                  <w:r>
                    <w:rPr>
                      <w:rFonts w:hint="default" w:ascii="Times New Roman" w:hAnsi="Times New Roman" w:eastAsia="宋体" w:cs="Times New Roman"/>
                      <w:b/>
                      <w:bCs/>
                      <w:color w:val="auto"/>
                      <w:sz w:val="21"/>
                      <w:szCs w:val="21"/>
                      <w:highlight w:val="none"/>
                    </w:rPr>
                    <w:t>达标情况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90" w:hRule="atLeast"/>
                <w:jc w:val="center"/>
              </w:trPr>
              <w:tc>
                <w:tcPr>
                  <w:tcW w:w="632" w:type="dxa"/>
                  <w:noWrap w:val="0"/>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TSP</w:t>
                  </w:r>
                </w:p>
              </w:tc>
              <w:tc>
                <w:tcPr>
                  <w:tcW w:w="2366" w:type="dxa"/>
                  <w:tcBorders>
                    <w:right w:val="single" w:color="auto" w:sz="6" w:space="0"/>
                  </w:tcBorders>
                  <w:noWrap w:val="0"/>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leftChars="0" w:right="0" w:rightChars="0" w:firstLine="0" w:firstLineChars="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唐山宏鸿穆穆实业有限公司厂址南侧</w:t>
                  </w:r>
                </w:p>
              </w:tc>
              <w:tc>
                <w:tcPr>
                  <w:tcW w:w="720" w:type="dxa"/>
                  <w:tcBorders>
                    <w:left w:val="single" w:color="auto" w:sz="6" w:space="0"/>
                  </w:tcBorders>
                  <w:noWrap w:val="0"/>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24小时平均</w:t>
                  </w:r>
                </w:p>
              </w:tc>
              <w:tc>
                <w:tcPr>
                  <w:tcW w:w="900" w:type="dxa"/>
                  <w:tcBorders>
                    <w:left w:val="single" w:color="auto" w:sz="6" w:space="0"/>
                  </w:tcBorders>
                  <w:noWrap w:val="0"/>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86</w:t>
                  </w:r>
                  <w:r>
                    <w:rPr>
                      <w:rFonts w:hint="default" w:ascii="Times New Roman" w:hAnsi="Times New Roman" w:eastAsia="宋体" w:cs="Times New Roman"/>
                      <w:color w:val="auto"/>
                      <w:sz w:val="21"/>
                      <w:szCs w:val="21"/>
                      <w:highlight w:val="none"/>
                      <w:lang w:val="en-US" w:eastAsia="zh-CN"/>
                    </w:rPr>
                    <w:t>~</w:t>
                  </w:r>
                  <w:r>
                    <w:rPr>
                      <w:rFonts w:hint="eastAsia" w:ascii="Times New Roman" w:hAnsi="Times New Roman" w:eastAsia="宋体" w:cs="Times New Roman"/>
                      <w:color w:val="auto"/>
                      <w:sz w:val="21"/>
                      <w:szCs w:val="21"/>
                      <w:highlight w:val="none"/>
                      <w:lang w:val="en-US" w:eastAsia="zh-CN"/>
                    </w:rPr>
                    <w:t>159</w:t>
                  </w:r>
                </w:p>
              </w:tc>
              <w:tc>
                <w:tcPr>
                  <w:tcW w:w="900" w:type="dxa"/>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300</w:t>
                  </w:r>
                </w:p>
              </w:tc>
              <w:tc>
                <w:tcPr>
                  <w:tcW w:w="945" w:type="dxa"/>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53</w:t>
                  </w:r>
                </w:p>
              </w:tc>
              <w:tc>
                <w:tcPr>
                  <w:tcW w:w="719" w:type="dxa"/>
                  <w:noWrap w:val="0"/>
                  <w:vAlign w:val="center"/>
                </w:tcPr>
                <w:p>
                  <w:pPr>
                    <w:keepNext w:val="0"/>
                    <w:keepLines w:val="0"/>
                    <w:pageBreakBefore w:val="0"/>
                    <w:widowControl/>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0</w:t>
                  </w:r>
                </w:p>
              </w:tc>
              <w:tc>
                <w:tcPr>
                  <w:tcW w:w="490" w:type="dxa"/>
                  <w:noWrap w:val="0"/>
                  <w:vAlign w:val="center"/>
                </w:tcPr>
                <w:p>
                  <w:pPr>
                    <w:keepNext w:val="0"/>
                    <w:keepLines w:val="0"/>
                    <w:pageBreakBefore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z w:val="21"/>
                      <w:szCs w:val="21"/>
                      <w:highlight w:val="none"/>
                      <w:lang w:eastAsia="zh-CN"/>
                    </w:rPr>
                  </w:pPr>
                  <w:r>
                    <w:rPr>
                      <w:rFonts w:hint="default" w:ascii="Times New Roman" w:hAnsi="Times New Roman" w:eastAsia="宋体" w:cs="Times New Roman"/>
                      <w:color w:val="auto"/>
                      <w:sz w:val="21"/>
                      <w:szCs w:val="21"/>
                      <w:highlight w:val="none"/>
                      <w:lang w:eastAsia="zh-CN"/>
                    </w:rPr>
                    <w:t>达标</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textAlignment w:val="auto"/>
              <w:rPr>
                <w:rFonts w:hint="default" w:ascii="Times New Roman" w:hAnsi="Times New Roman" w:eastAsia="宋体" w:cs="Times New Roman"/>
                <w:snapToGrid w:val="0"/>
                <w:color w:val="auto"/>
                <w:sz w:val="24"/>
                <w:szCs w:val="24"/>
                <w:highlight w:val="none"/>
              </w:rPr>
            </w:pPr>
            <w:r>
              <w:rPr>
                <w:rFonts w:hint="default" w:ascii="Times New Roman" w:hAnsi="Times New Roman" w:eastAsia="宋体" w:cs="Times New Roman"/>
                <w:color w:val="auto"/>
                <w:sz w:val="24"/>
                <w:szCs w:val="24"/>
                <w:highlight w:val="none"/>
              </w:rPr>
              <w:t>由上表可知，监测点TSP</w:t>
            </w:r>
            <w:r>
              <w:rPr>
                <w:rFonts w:hint="default" w:ascii="Times New Roman" w:hAnsi="Times New Roman" w:eastAsia="宋体" w:cs="Times New Roman"/>
                <w:color w:val="auto"/>
                <w:sz w:val="24"/>
                <w:szCs w:val="24"/>
                <w:highlight w:val="none"/>
                <w:lang w:val="en-US" w:eastAsia="zh-CN"/>
              </w:rPr>
              <w:t xml:space="preserve"> </w:t>
            </w:r>
            <w:r>
              <w:rPr>
                <w:rFonts w:hint="default" w:ascii="Times New Roman" w:hAnsi="Times New Roman" w:eastAsia="宋体" w:cs="Times New Roman"/>
                <w:color w:val="auto"/>
                <w:sz w:val="24"/>
                <w:szCs w:val="24"/>
                <w:highlight w:val="none"/>
              </w:rPr>
              <w:t>24小时平均浓度</w:t>
            </w:r>
            <w:r>
              <w:rPr>
                <w:rFonts w:hint="default" w:ascii="Times New Roman" w:hAnsi="Times New Roman" w:eastAsia="宋体" w:cs="Times New Roman"/>
                <w:color w:val="auto"/>
                <w:sz w:val="24"/>
                <w:szCs w:val="24"/>
                <w:highlight w:val="none"/>
                <w:lang w:eastAsia="zh-CN"/>
              </w:rPr>
              <w:t>满足</w:t>
            </w:r>
            <w:r>
              <w:rPr>
                <w:rFonts w:hint="default" w:ascii="Times New Roman" w:hAnsi="Times New Roman" w:eastAsia="宋体" w:cs="Times New Roman"/>
                <w:color w:val="auto"/>
                <w:sz w:val="24"/>
                <w:szCs w:val="24"/>
                <w:highlight w:val="none"/>
              </w:rPr>
              <w:t>《环境空气质量标准》（GB3095-2012）及修改单二级标准要求。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textAlignment w:val="auto"/>
              <w:rPr>
                <w:rFonts w:hint="eastAsia" w:ascii="Times New Roman" w:hAnsi="Times New Roman" w:eastAsia="宋体" w:cs="Times New Roman"/>
                <w:b/>
                <w:bCs/>
                <w:color w:val="auto"/>
                <w:spacing w:val="10"/>
                <w:kern w:val="24"/>
                <w:sz w:val="24"/>
                <w:szCs w:val="24"/>
                <w:lang w:val="en-US" w:eastAsia="zh-CN"/>
              </w:rPr>
            </w:pPr>
            <w:r>
              <w:rPr>
                <w:rFonts w:hint="eastAsia" w:ascii="Times New Roman" w:hAnsi="Times New Roman" w:eastAsia="宋体" w:cs="Times New Roman"/>
                <w:b/>
                <w:bCs/>
                <w:color w:val="auto"/>
                <w:spacing w:val="10"/>
                <w:kern w:val="24"/>
                <w:sz w:val="24"/>
                <w:szCs w:val="24"/>
                <w:lang w:val="en-US" w:eastAsia="zh-CN"/>
              </w:rPr>
              <w:t>6、声环境</w:t>
            </w:r>
          </w:p>
          <w:p>
            <w:pPr>
              <w:keepNext w:val="0"/>
              <w:keepLines w:val="0"/>
              <w:suppressLineNumbers w:val="0"/>
              <w:spacing w:before="0" w:beforeAutospacing="0" w:after="0" w:afterAutospacing="0" w:line="480" w:lineRule="exact"/>
              <w:ind w:left="0" w:right="0" w:firstLine="480" w:firstLineChars="200"/>
              <w:rPr>
                <w:rFonts w:hint="default"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sz w:val="24"/>
                <w:szCs w:val="24"/>
                <w:highlight w:val="none"/>
                <w:lang w:val="en-US" w:eastAsia="zh-CN"/>
              </w:rPr>
              <w:t>本项目位于河北唐山海港经济开发区，根据现场调查可知，项目周边主要为港兴大街及唐港铁路，声环境质量一般。</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13" w:hRule="atLeast"/>
          <w:jc w:val="center"/>
        </w:trPr>
        <w:tc>
          <w:tcPr>
            <w:tcW w:w="447" w:type="dxa"/>
            <w:tcBorders>
              <w:top w:val="single" w:color="000000" w:sz="4" w:space="0"/>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ascii="Times New Roman" w:hAnsi="Times New Roman" w:eastAsia="宋体" w:cs="Times New Roman"/>
                <w:color w:val="auto"/>
                <w:kern w:val="0"/>
                <w:szCs w:val="21"/>
                <w:lang w:val="en-US" w:eastAsia="zh-CN"/>
              </w:rPr>
              <w:t>与项</w:t>
            </w:r>
            <w:r>
              <w:rPr>
                <w:rFonts w:hint="eastAsia" w:ascii="Times New Roman" w:hAnsi="Times New Roman" w:eastAsia="宋体" w:cs="Times New Roman"/>
                <w:color w:val="auto"/>
                <w:kern w:val="0"/>
                <w:szCs w:val="21"/>
                <w:lang w:val="en-US" w:eastAsia="zh-CN"/>
              </w:rPr>
              <w:t>目有关的原有环境污染问题</w:t>
            </w:r>
          </w:p>
        </w:tc>
        <w:tc>
          <w:tcPr>
            <w:tcW w:w="8544" w:type="dxa"/>
            <w:tcBorders>
              <w:top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snapToGrid w:val="0"/>
                <w:color w:val="auto"/>
                <w:sz w:val="24"/>
                <w:szCs w:val="24"/>
                <w:lang w:val="en-US" w:eastAsia="zh-CN"/>
              </w:rPr>
            </w:pPr>
            <w:r>
              <w:rPr>
                <w:rFonts w:hint="eastAsia" w:ascii="Times New Roman" w:hAnsi="Times New Roman" w:eastAsia="宋体" w:cs="Times New Roman"/>
                <w:snapToGrid w:val="0"/>
                <w:color w:val="auto"/>
                <w:sz w:val="24"/>
                <w:szCs w:val="24"/>
                <w:lang w:val="en-US" w:eastAsia="zh-CN"/>
              </w:rPr>
              <w:t>本项目为新建项目，占地现状主要为空地及绿化带</w:t>
            </w:r>
            <w:r>
              <w:rPr>
                <w:rFonts w:hint="eastAsia" w:ascii="Times New Roman" w:hAnsi="Times New Roman" w:eastAsia="宋体" w:cs="Times New Roman"/>
                <w:snapToGrid w:val="0"/>
                <w:color w:val="auto"/>
                <w:sz w:val="24"/>
                <w:szCs w:val="24"/>
                <w:highlight w:val="none"/>
                <w:lang w:val="en-US" w:eastAsia="zh-CN"/>
              </w:rPr>
              <w:t>。其中各转接区占</w:t>
            </w:r>
            <w:r>
              <w:rPr>
                <w:rFonts w:hint="eastAsia" w:ascii="Times New Roman" w:hAnsi="Times New Roman" w:eastAsia="宋体" w:cs="Times New Roman"/>
                <w:snapToGrid w:val="0"/>
                <w:color w:val="auto"/>
                <w:sz w:val="24"/>
                <w:szCs w:val="24"/>
                <w:lang w:val="en-US" w:eastAsia="zh-CN"/>
              </w:rPr>
              <w:t>地现状均为空地，无与本项目有关的原有污染问题。</w:t>
            </w:r>
          </w:p>
          <w:p>
            <w:pPr>
              <w:keepNext w:val="0"/>
              <w:keepLines w:val="0"/>
              <w:suppressLineNumbers w:val="0"/>
              <w:adjustRightInd w:val="0"/>
              <w:snapToGrid w:val="0"/>
              <w:spacing w:before="0" w:beforeAutospacing="0" w:after="0" w:afterAutospacing="0" w:line="480" w:lineRule="exact"/>
              <w:ind w:left="0" w:right="0"/>
              <w:rPr>
                <w:rFonts w:ascii="Times New Roman" w:hAnsi="Times New Roman" w:eastAsia="宋体" w:cs="Times New Roman"/>
                <w:snapToGrid w:val="0"/>
                <w:color w:val="auto"/>
                <w:szCs w:val="21"/>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36" w:hRule="atLeast"/>
          <w:jc w:val="center"/>
        </w:trPr>
        <w:tc>
          <w:tcPr>
            <w:tcW w:w="447" w:type="dxa"/>
            <w:tcBorders>
              <w:top w:val="single" w:color="000000" w:sz="4" w:space="0"/>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kern w:val="0"/>
                <w:szCs w:val="21"/>
              </w:rPr>
            </w:pPr>
            <w:r>
              <w:rPr>
                <w:rFonts w:hint="eastAsia" w:ascii="Times New Roman" w:hAnsi="Times New Roman" w:eastAsia="宋体" w:cs="Times New Roman"/>
                <w:color w:val="auto"/>
                <w:kern w:val="0"/>
                <w:szCs w:val="21"/>
                <w:lang w:eastAsia="zh-CN"/>
              </w:rPr>
              <w:t>生态</w:t>
            </w:r>
            <w:r>
              <w:rPr>
                <w:rFonts w:ascii="Times New Roman" w:hAnsi="Times New Roman" w:eastAsia="宋体" w:cs="Times New Roman"/>
                <w:color w:val="auto"/>
                <w:kern w:val="0"/>
                <w:szCs w:val="21"/>
              </w:rPr>
              <w:t>环境保护目标</w:t>
            </w:r>
          </w:p>
        </w:tc>
        <w:tc>
          <w:tcPr>
            <w:tcW w:w="8544" w:type="dxa"/>
            <w:tcBorders>
              <w:top w:val="single" w:color="000000" w:sz="4" w:space="0"/>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ascii="Times New Roman" w:hAnsi="Times New Roman" w:eastAsia="宋体" w:cs="Times New Roman"/>
                <w:snapToGrid w:val="0"/>
                <w:color w:val="auto"/>
                <w:szCs w:val="21"/>
              </w:rPr>
            </w:pPr>
            <w:r>
              <w:rPr>
                <w:rFonts w:ascii="Times New Roman" w:hAnsi="Times New Roman" w:eastAsia="宋体" w:cs="Times New Roman"/>
                <w:snapToGrid w:val="0"/>
                <w:color w:val="auto"/>
                <w:sz w:val="24"/>
                <w:szCs w:val="24"/>
              </w:rPr>
              <w:t>本项目位于</w:t>
            </w:r>
            <w:r>
              <w:rPr>
                <w:rFonts w:hint="eastAsia" w:ascii="Times New Roman" w:hAnsi="Times New Roman" w:eastAsia="宋体" w:cs="Times New Roman"/>
                <w:snapToGrid w:val="0"/>
                <w:color w:val="auto"/>
                <w:sz w:val="24"/>
                <w:szCs w:val="24"/>
                <w:lang w:eastAsia="zh-CN"/>
              </w:rPr>
              <w:t>唐山市海港开发区港兴大街西南约605米</w:t>
            </w:r>
            <w:r>
              <w:rPr>
                <w:rFonts w:ascii="Times New Roman" w:hAnsi="Times New Roman" w:eastAsia="宋体" w:cs="Times New Roman"/>
                <w:snapToGrid w:val="0"/>
                <w:color w:val="auto"/>
                <w:sz w:val="24"/>
                <w:szCs w:val="24"/>
              </w:rPr>
              <w:t>，</w:t>
            </w:r>
            <w:r>
              <w:rPr>
                <w:rFonts w:hint="default" w:ascii="Times New Roman" w:hAnsi="Times New Roman" w:eastAsia="宋体" w:cs="Times New Roman"/>
                <w:snapToGrid w:val="0"/>
                <w:color w:val="auto"/>
                <w:sz w:val="24"/>
                <w:szCs w:val="24"/>
                <w:lang w:val="en-US" w:eastAsia="zh-CN"/>
              </w:rPr>
              <w:t>①厂区周边500m范围内主要为厂房、空地，</w:t>
            </w:r>
            <w:r>
              <w:rPr>
                <w:rFonts w:hint="eastAsia" w:ascii="Times New Roman" w:hAnsi="Times New Roman" w:eastAsia="宋体" w:cs="Times New Roman"/>
                <w:snapToGrid w:val="0"/>
                <w:color w:val="auto"/>
                <w:sz w:val="24"/>
                <w:szCs w:val="24"/>
                <w:lang w:val="en-US" w:eastAsia="zh-CN"/>
              </w:rPr>
              <w:t>无居住区、行政办公区等敏感点，无需设置环境保护目标</w:t>
            </w:r>
            <w:r>
              <w:rPr>
                <w:rFonts w:hint="default" w:ascii="Times New Roman" w:hAnsi="Times New Roman" w:eastAsia="宋体" w:cs="Times New Roman"/>
                <w:snapToGrid w:val="0"/>
                <w:color w:val="auto"/>
                <w:sz w:val="24"/>
                <w:szCs w:val="24"/>
                <w:lang w:val="en-US" w:eastAsia="zh-CN"/>
              </w:rPr>
              <w:t>；②厂界外50m范围内无声环境保护目标；③厂界外500米范围内无地下水集中式饮用水水源和热水、矿泉水、温泉等特殊地下水资源；④本项目</w:t>
            </w:r>
            <w:r>
              <w:rPr>
                <w:rFonts w:hint="eastAsia" w:ascii="Times New Roman" w:hAnsi="Times New Roman" w:eastAsia="宋体" w:cs="Times New Roman"/>
                <w:snapToGrid w:val="0"/>
                <w:color w:val="auto"/>
                <w:sz w:val="24"/>
                <w:szCs w:val="24"/>
                <w:lang w:val="en-US" w:eastAsia="zh-CN"/>
              </w:rPr>
              <w:t>位于</w:t>
            </w:r>
            <w:r>
              <w:rPr>
                <w:rFonts w:hint="eastAsia" w:ascii="Times New Roman" w:hAnsi="Times New Roman" w:eastAsia="宋体" w:cs="Times New Roman"/>
                <w:snapToGrid w:val="0"/>
                <w:color w:val="auto"/>
                <w:sz w:val="24"/>
                <w:szCs w:val="24"/>
                <w:lang w:eastAsia="zh-CN"/>
              </w:rPr>
              <w:t>河北唐山海港经济开发区</w:t>
            </w:r>
            <w:r>
              <w:rPr>
                <w:rFonts w:hint="eastAsia" w:ascii="Times New Roman" w:hAnsi="Times New Roman" w:eastAsia="宋体" w:cs="Times New Roman"/>
                <w:snapToGrid w:val="0"/>
                <w:color w:val="auto"/>
                <w:sz w:val="24"/>
                <w:szCs w:val="24"/>
                <w:lang w:val="en-US" w:eastAsia="zh-CN"/>
              </w:rPr>
              <w:t>，占地范围内</w:t>
            </w:r>
            <w:r>
              <w:rPr>
                <w:rFonts w:hint="default" w:ascii="Times New Roman" w:hAnsi="Times New Roman" w:eastAsia="宋体" w:cs="Times New Roman"/>
                <w:snapToGrid w:val="0"/>
                <w:color w:val="auto"/>
                <w:sz w:val="24"/>
                <w:szCs w:val="24"/>
                <w:lang w:val="en-US" w:eastAsia="zh-CN"/>
              </w:rPr>
              <w:t>不涉及生态环境保护目标。</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66" w:hRule="atLeast"/>
          <w:jc w:val="center"/>
        </w:trPr>
        <w:tc>
          <w:tcPr>
            <w:tcW w:w="447" w:type="dxa"/>
            <w:tcBorders>
              <w:tl2br w:val="nil"/>
              <w:tr2bl w:val="nil"/>
            </w:tcBorders>
            <w:noWrap w:val="0"/>
            <w:tcMar>
              <w:left w:w="28" w:type="dxa"/>
              <w:right w:w="28" w:type="dxa"/>
            </w:tcMar>
            <w:vAlign w:val="center"/>
          </w:tcPr>
          <w:p>
            <w:pPr>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kern w:val="0"/>
                <w:szCs w:val="21"/>
                <w:lang w:eastAsia="zh-CN"/>
              </w:rPr>
            </w:pPr>
            <w:r>
              <w:rPr>
                <w:rFonts w:hint="eastAsia" w:ascii="Times New Roman" w:hAnsi="Times New Roman" w:eastAsia="宋体" w:cs="Times New Roman"/>
                <w:color w:val="auto"/>
                <w:kern w:val="0"/>
                <w:szCs w:val="21"/>
                <w:lang w:eastAsia="zh-CN"/>
              </w:rPr>
              <w:t>评价标准</w:t>
            </w:r>
          </w:p>
        </w:tc>
        <w:tc>
          <w:tcPr>
            <w:tcW w:w="8544" w:type="dxa"/>
            <w:tcBorders>
              <w:tl2br w:val="nil"/>
              <w:tr2bl w:val="nil"/>
            </w:tcBorders>
            <w:noWrap w:val="0"/>
            <w:vAlign w:val="center"/>
          </w:tcPr>
          <w:p>
            <w:pPr>
              <w:keepNext w:val="0"/>
              <w:keepLines w:val="0"/>
              <w:suppressLineNumbers w:val="0"/>
              <w:adjustRightInd w:val="0"/>
              <w:snapToGrid w:val="0"/>
              <w:spacing w:before="0" w:beforeAutospacing="0" w:after="0" w:afterAutospacing="0" w:line="480" w:lineRule="exact"/>
              <w:ind w:left="0" w:right="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1、环境质量标准</w:t>
            </w:r>
          </w:p>
          <w:p>
            <w:pPr>
              <w:keepNext w:val="0"/>
              <w:keepLines w:val="0"/>
              <w:suppressLineNumbers w:val="0"/>
              <w:adjustRightInd w:val="0"/>
              <w:snapToGrid w:val="0"/>
              <w:spacing w:before="0" w:beforeAutospacing="0" w:after="0" w:afterAutospacing="0" w:line="480" w:lineRule="exact"/>
              <w:ind w:left="0" w:right="0" w:firstLine="482" w:firstLineChars="20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1.1环境空气质量标准</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32"/>
                <w:highlight w:val="none"/>
                <w:lang w:val="en-US" w:eastAsia="zh-CN"/>
              </w:rPr>
            </w:pPr>
            <w:r>
              <w:rPr>
                <w:rFonts w:hint="eastAsia" w:ascii="Times New Roman" w:hAnsi="Times New Roman" w:eastAsia="宋体" w:cs="Times New Roman"/>
                <w:color w:val="auto"/>
                <w:sz w:val="24"/>
                <w:szCs w:val="32"/>
                <w:highlight w:val="none"/>
                <w:lang w:val="en-US" w:eastAsia="zh-CN"/>
              </w:rPr>
              <w:t>本项目区域环境空气质量执行《环境空气质量标准》（GB3095-2012）及其修改单中的二级标准浓度限值。标准值见下表。</w:t>
            </w:r>
          </w:p>
          <w:p>
            <w:pPr>
              <w:keepNext w:val="0"/>
              <w:keepLines w:val="0"/>
              <w:suppressLineNumbers w:val="0"/>
              <w:spacing w:before="0" w:beforeAutospacing="0" w:after="0" w:afterAutospacing="0" w:line="460" w:lineRule="exact"/>
              <w:ind w:left="0" w:right="0"/>
              <w:jc w:val="center"/>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color w:val="auto"/>
                <w:szCs w:val="21"/>
                <w:highlight w:val="none"/>
                <w:lang w:val="en-US" w:eastAsia="zh-CN"/>
              </w:rPr>
              <w:t>表3-3   环境空气质量标准</w:t>
            </w:r>
          </w:p>
          <w:tbl>
            <w:tblPr>
              <w:tblStyle w:val="2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38"/>
              <w:gridCol w:w="850"/>
              <w:gridCol w:w="1490"/>
              <w:gridCol w:w="1013"/>
              <w:gridCol w:w="1043"/>
              <w:gridCol w:w="1093"/>
              <w:gridCol w:w="207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445"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环境类别</w:t>
                  </w:r>
                </w:p>
              </w:tc>
              <w:tc>
                <w:tcPr>
                  <w:tcW w:w="51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监测因子</w:t>
                  </w:r>
                </w:p>
              </w:tc>
              <w:tc>
                <w:tcPr>
                  <w:tcW w:w="89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取值时间</w:t>
                  </w:r>
                </w:p>
              </w:tc>
              <w:tc>
                <w:tcPr>
                  <w:tcW w:w="1896" w:type="pct"/>
                  <w:gridSpan w:val="3"/>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浓度限值</w:t>
                  </w:r>
                </w:p>
              </w:tc>
              <w:tc>
                <w:tcPr>
                  <w:tcW w:w="124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标准名称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45" w:hRule="atLeast"/>
              </w:trPr>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ascii="Times New Roman" w:hAnsi="Times New Roman" w:eastAsia="宋体" w:cs="Times New Roman"/>
                      <w:b/>
                      <w:bCs/>
                      <w:spacing w:val="0"/>
                      <w:sz w:val="21"/>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ascii="Times New Roman" w:hAnsi="Times New Roman" w:eastAsia="宋体" w:cs="Times New Roman"/>
                      <w:b/>
                      <w:bCs/>
                      <w:spacing w:val="0"/>
                      <w:sz w:val="21"/>
                    </w:rPr>
                  </w:pPr>
                </w:p>
              </w:tc>
              <w:tc>
                <w:tcPr>
                  <w:tcW w:w="89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ascii="Times New Roman" w:hAnsi="Times New Roman" w:eastAsia="宋体" w:cs="Times New Roman"/>
                      <w:b/>
                      <w:bCs/>
                      <w:spacing w:val="0"/>
                      <w:sz w:val="21"/>
                    </w:rPr>
                  </w:pPr>
                </w:p>
              </w:tc>
              <w:tc>
                <w:tcPr>
                  <w:tcW w:w="61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级别</w:t>
                  </w: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浓度</w:t>
                  </w:r>
                </w:p>
              </w:tc>
              <w:tc>
                <w:tcPr>
                  <w:tcW w:w="65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单位</w:t>
                  </w: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环境空气</w:t>
                  </w:r>
                </w:p>
              </w:tc>
              <w:tc>
                <w:tcPr>
                  <w:tcW w:w="51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SO</w:t>
                  </w:r>
                  <w:r>
                    <w:rPr>
                      <w:rFonts w:hint="eastAsia" w:ascii="Times New Roman" w:hAnsi="Times New Roman" w:eastAsia="宋体" w:cs="Times New Roman"/>
                      <w:color w:val="auto"/>
                      <w:spacing w:val="0"/>
                      <w:sz w:val="21"/>
                      <w:szCs w:val="32"/>
                      <w:highlight w:val="none"/>
                      <w:vertAlign w:val="subscript"/>
                      <w:lang w:val="en-US" w:eastAsia="zh-CN"/>
                    </w:rPr>
                    <w:t>2</w:t>
                  </w: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年平均</w:t>
                  </w:r>
                </w:p>
              </w:tc>
              <w:tc>
                <w:tcPr>
                  <w:tcW w:w="610"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二级</w:t>
                  </w: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60</w:t>
                  </w:r>
                </w:p>
              </w:tc>
              <w:tc>
                <w:tcPr>
                  <w:tcW w:w="65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default" w:ascii="Times New Roman" w:hAnsi="Times New Roman" w:eastAsia="宋体" w:cs="Times New Roman"/>
                      <w:color w:val="auto"/>
                      <w:spacing w:val="0"/>
                      <w:sz w:val="21"/>
                      <w:szCs w:val="24"/>
                      <w:vertAlign w:val="baseline"/>
                      <w:lang w:val="en-US" w:eastAsia="zh-CN"/>
                    </w:rPr>
                    <w:t>μg</w:t>
                  </w:r>
                  <w:r>
                    <w:rPr>
                      <w:rFonts w:hint="eastAsia" w:ascii="Times New Roman" w:hAnsi="Times New Roman" w:eastAsia="宋体" w:cs="Times New Roman"/>
                      <w:color w:val="auto"/>
                      <w:spacing w:val="0"/>
                      <w:sz w:val="21"/>
                      <w:szCs w:val="24"/>
                      <w:vertAlign w:val="baseline"/>
                      <w:lang w:val="en-US" w:eastAsia="zh-CN"/>
                    </w:rPr>
                    <w:t>/m</w:t>
                  </w:r>
                  <w:r>
                    <w:rPr>
                      <w:rFonts w:hint="eastAsia" w:ascii="Times New Roman" w:hAnsi="Times New Roman" w:eastAsia="宋体" w:cs="Times New Roman"/>
                      <w:color w:val="auto"/>
                      <w:spacing w:val="0"/>
                      <w:sz w:val="21"/>
                      <w:szCs w:val="24"/>
                      <w:vertAlign w:val="superscript"/>
                      <w:lang w:val="en-US" w:eastAsia="zh-CN"/>
                    </w:rPr>
                    <w:t>3</w:t>
                  </w:r>
                </w:p>
              </w:tc>
              <w:tc>
                <w:tcPr>
                  <w:tcW w:w="1247"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lang w:val="en-US" w:eastAsia="zh-CN"/>
                    </w:rPr>
                    <w:t>《环境空气质量标准》（GB3095-2012）及其修改单</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24小时平均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150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1小时平均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500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TSP</w:t>
                  </w: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年平均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200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24小时平均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300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NO</w:t>
                  </w:r>
                  <w:r>
                    <w:rPr>
                      <w:rFonts w:hint="eastAsia" w:ascii="Times New Roman" w:hAnsi="Times New Roman" w:eastAsia="宋体" w:cs="Times New Roman"/>
                      <w:color w:val="auto"/>
                      <w:spacing w:val="0"/>
                      <w:sz w:val="21"/>
                      <w:szCs w:val="32"/>
                      <w:highlight w:val="none"/>
                      <w:vertAlign w:val="subscript"/>
                      <w:lang w:val="en-US" w:eastAsia="zh-CN"/>
                    </w:rPr>
                    <w:t>2</w:t>
                  </w: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kern w:val="2"/>
                      <w:sz w:val="21"/>
                      <w:szCs w:val="32"/>
                      <w:highlight w:val="none"/>
                      <w:vertAlign w:val="baseline"/>
                      <w:lang w:val="en-US" w:eastAsia="zh-CN" w:bidi="ar-SA"/>
                    </w:rPr>
                  </w:pPr>
                  <w:r>
                    <w:rPr>
                      <w:rFonts w:hint="eastAsia" w:ascii="Times New Roman" w:hAnsi="Times New Roman" w:eastAsia="宋体" w:cs="Times New Roman"/>
                      <w:color w:val="auto"/>
                      <w:spacing w:val="0"/>
                      <w:sz w:val="21"/>
                      <w:szCs w:val="32"/>
                      <w:highlight w:val="none"/>
                      <w:vertAlign w:val="baseline"/>
                      <w:lang w:val="en-US" w:eastAsia="zh-CN"/>
                    </w:rPr>
                    <w:t>年平均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40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kern w:val="2"/>
                      <w:sz w:val="21"/>
                      <w:szCs w:val="32"/>
                      <w:highlight w:val="none"/>
                      <w:vertAlign w:val="baseline"/>
                      <w:lang w:val="en-US" w:eastAsia="zh-CN" w:bidi="ar-SA"/>
                    </w:rPr>
                  </w:pPr>
                  <w:r>
                    <w:rPr>
                      <w:rFonts w:hint="eastAsia" w:ascii="Times New Roman" w:hAnsi="Times New Roman" w:eastAsia="宋体" w:cs="Times New Roman"/>
                      <w:color w:val="auto"/>
                      <w:spacing w:val="0"/>
                      <w:sz w:val="21"/>
                      <w:szCs w:val="32"/>
                      <w:highlight w:val="none"/>
                      <w:vertAlign w:val="baseline"/>
                      <w:lang w:val="en-US" w:eastAsia="zh-CN"/>
                    </w:rPr>
                    <w:t>24小时平均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80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1小时平均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200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PM</w:t>
                  </w:r>
                  <w:r>
                    <w:rPr>
                      <w:rFonts w:hint="eastAsia" w:ascii="Times New Roman" w:hAnsi="Times New Roman" w:eastAsia="宋体" w:cs="Times New Roman"/>
                      <w:color w:val="auto"/>
                      <w:spacing w:val="0"/>
                      <w:sz w:val="21"/>
                      <w:szCs w:val="32"/>
                      <w:highlight w:val="none"/>
                      <w:vertAlign w:val="subscript"/>
                      <w:lang w:val="en-US" w:eastAsia="zh-CN"/>
                    </w:rPr>
                    <w:t>10</w:t>
                  </w: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kern w:val="2"/>
                      <w:sz w:val="21"/>
                      <w:szCs w:val="32"/>
                      <w:highlight w:val="none"/>
                      <w:vertAlign w:val="baseline"/>
                      <w:lang w:val="en-US" w:eastAsia="zh-CN" w:bidi="ar-SA"/>
                    </w:rPr>
                  </w:pPr>
                  <w:r>
                    <w:rPr>
                      <w:rFonts w:hint="eastAsia" w:ascii="Times New Roman" w:hAnsi="Times New Roman" w:eastAsia="宋体" w:cs="Times New Roman"/>
                      <w:color w:val="auto"/>
                      <w:spacing w:val="0"/>
                      <w:sz w:val="21"/>
                      <w:szCs w:val="32"/>
                      <w:highlight w:val="none"/>
                      <w:vertAlign w:val="baseline"/>
                      <w:lang w:val="en-US" w:eastAsia="zh-CN"/>
                    </w:rPr>
                    <w:t>年平均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70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kern w:val="2"/>
                      <w:sz w:val="21"/>
                      <w:szCs w:val="32"/>
                      <w:highlight w:val="none"/>
                      <w:vertAlign w:val="baseline"/>
                      <w:lang w:val="en-US" w:eastAsia="zh-CN" w:bidi="ar-SA"/>
                    </w:rPr>
                  </w:pPr>
                  <w:r>
                    <w:rPr>
                      <w:rFonts w:hint="eastAsia" w:ascii="Times New Roman" w:hAnsi="Times New Roman" w:eastAsia="宋体" w:cs="Times New Roman"/>
                      <w:color w:val="auto"/>
                      <w:spacing w:val="0"/>
                      <w:sz w:val="21"/>
                      <w:szCs w:val="32"/>
                      <w:highlight w:val="none"/>
                      <w:vertAlign w:val="baseline"/>
                      <w:lang w:val="en-US" w:eastAsia="zh-CN"/>
                    </w:rPr>
                    <w:t>24小时平均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150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PM</w:t>
                  </w:r>
                  <w:r>
                    <w:rPr>
                      <w:rFonts w:hint="eastAsia" w:ascii="Times New Roman" w:hAnsi="Times New Roman" w:eastAsia="宋体" w:cs="Times New Roman"/>
                      <w:color w:val="auto"/>
                      <w:spacing w:val="0"/>
                      <w:sz w:val="21"/>
                      <w:szCs w:val="32"/>
                      <w:highlight w:val="none"/>
                      <w:vertAlign w:val="subscript"/>
                      <w:lang w:val="en-US" w:eastAsia="zh-CN"/>
                    </w:rPr>
                    <w:t>2.5</w:t>
                  </w: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kern w:val="2"/>
                      <w:sz w:val="21"/>
                      <w:szCs w:val="32"/>
                      <w:highlight w:val="none"/>
                      <w:vertAlign w:val="baseline"/>
                      <w:lang w:val="en-US" w:eastAsia="zh-CN" w:bidi="ar-SA"/>
                    </w:rPr>
                  </w:pPr>
                  <w:r>
                    <w:rPr>
                      <w:rFonts w:hint="eastAsia" w:ascii="Times New Roman" w:hAnsi="Times New Roman" w:eastAsia="宋体" w:cs="Times New Roman"/>
                      <w:color w:val="auto"/>
                      <w:spacing w:val="0"/>
                      <w:sz w:val="21"/>
                      <w:szCs w:val="32"/>
                      <w:highlight w:val="none"/>
                      <w:vertAlign w:val="baseline"/>
                      <w:lang w:val="en-US" w:eastAsia="zh-CN"/>
                    </w:rPr>
                    <w:t>年平均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35</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kern w:val="2"/>
                      <w:sz w:val="21"/>
                      <w:szCs w:val="32"/>
                      <w:highlight w:val="none"/>
                      <w:vertAlign w:val="baseline"/>
                      <w:lang w:val="en-US" w:eastAsia="zh-CN" w:bidi="ar-SA"/>
                    </w:rPr>
                  </w:pPr>
                  <w:r>
                    <w:rPr>
                      <w:rFonts w:hint="eastAsia" w:ascii="Times New Roman" w:hAnsi="Times New Roman" w:eastAsia="宋体" w:cs="Times New Roman"/>
                      <w:color w:val="auto"/>
                      <w:spacing w:val="0"/>
                      <w:sz w:val="21"/>
                      <w:szCs w:val="32"/>
                      <w:highlight w:val="none"/>
                      <w:vertAlign w:val="baseline"/>
                      <w:lang w:val="en-US" w:eastAsia="zh-CN"/>
                    </w:rPr>
                    <w:t>24小时平均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75</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O</w:t>
                  </w:r>
                  <w:r>
                    <w:rPr>
                      <w:rFonts w:hint="eastAsia" w:ascii="Times New Roman" w:hAnsi="Times New Roman" w:eastAsia="宋体" w:cs="Times New Roman"/>
                      <w:color w:val="auto"/>
                      <w:spacing w:val="0"/>
                      <w:sz w:val="21"/>
                      <w:szCs w:val="32"/>
                      <w:highlight w:val="none"/>
                      <w:vertAlign w:val="subscript"/>
                      <w:lang w:val="en-US" w:eastAsia="zh-CN"/>
                    </w:rPr>
                    <w:t>3</w:t>
                  </w: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日最大8小时平均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160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45"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512"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8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1小时平均</w:t>
                  </w:r>
                </w:p>
              </w:tc>
              <w:tc>
                <w:tcPr>
                  <w:tcW w:w="610"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62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200</w:t>
                  </w:r>
                </w:p>
              </w:tc>
              <w:tc>
                <w:tcPr>
                  <w:tcW w:w="65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c>
                <w:tcPr>
                  <w:tcW w:w="1247"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p>
              </w:tc>
            </w:tr>
          </w:tbl>
          <w:p>
            <w:pPr>
              <w:keepNext w:val="0"/>
              <w:keepLines w:val="0"/>
              <w:suppressLineNumbers w:val="0"/>
              <w:adjustRightInd w:val="0"/>
              <w:snapToGrid w:val="0"/>
              <w:spacing w:before="0" w:beforeAutospacing="0" w:after="0" w:afterAutospacing="0" w:line="480" w:lineRule="exact"/>
              <w:ind w:left="0" w:right="0" w:firstLine="482" w:firstLineChars="200"/>
              <w:rPr>
                <w:rFonts w:hint="default"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1.2声环境质量标准</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32"/>
                <w:highlight w:val="none"/>
                <w:lang w:val="en-US" w:eastAsia="zh-CN"/>
              </w:rPr>
            </w:pPr>
            <w:r>
              <w:rPr>
                <w:rFonts w:hint="eastAsia" w:ascii="Times New Roman" w:hAnsi="Times New Roman" w:eastAsia="宋体" w:cs="Times New Roman"/>
                <w:color w:val="auto"/>
                <w:sz w:val="24"/>
                <w:szCs w:val="32"/>
                <w:highlight w:val="none"/>
                <w:lang w:val="en-US" w:eastAsia="zh-CN"/>
              </w:rPr>
              <w:t>声环境质量执行《声环境质量标准》（GB3096-2008）3类区标准，标准值见下表。</w:t>
            </w:r>
          </w:p>
          <w:p>
            <w:pPr>
              <w:keepNext w:val="0"/>
              <w:keepLines w:val="0"/>
              <w:suppressLineNumbers w:val="0"/>
              <w:spacing w:before="0" w:beforeAutospacing="0" w:after="0" w:afterAutospacing="0" w:line="460" w:lineRule="exact"/>
              <w:ind w:left="0" w:right="0"/>
              <w:jc w:val="center"/>
              <w:rPr>
                <w:rFonts w:hint="eastAsia" w:ascii="Times New Roman" w:hAnsi="Times New Roman" w:eastAsia="宋体" w:cs="Times New Roman"/>
                <w:color w:val="auto"/>
                <w:sz w:val="24"/>
                <w:szCs w:val="32"/>
                <w:highlight w:val="none"/>
                <w:lang w:val="en-US" w:eastAsia="zh-CN"/>
              </w:rPr>
            </w:pPr>
            <w:r>
              <w:rPr>
                <w:rFonts w:hint="eastAsia" w:ascii="Times New Roman" w:hAnsi="Times New Roman" w:eastAsia="宋体" w:cs="Times New Roman"/>
                <w:b/>
                <w:color w:val="auto"/>
                <w:szCs w:val="21"/>
                <w:highlight w:val="none"/>
                <w:lang w:val="en-US" w:eastAsia="zh-CN"/>
              </w:rPr>
              <w:t>表3-4   声环境质量标准</w:t>
            </w:r>
          </w:p>
          <w:tbl>
            <w:tblPr>
              <w:tblStyle w:val="28"/>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840"/>
              <w:gridCol w:w="1616"/>
              <w:gridCol w:w="2251"/>
              <w:gridCol w:w="258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8" w:hRule="atLeast"/>
              </w:trPr>
              <w:tc>
                <w:tcPr>
                  <w:tcW w:w="11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标准类别</w:t>
                  </w:r>
                </w:p>
              </w:tc>
              <w:tc>
                <w:tcPr>
                  <w:tcW w:w="9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昼间</w:t>
                  </w:r>
                </w:p>
              </w:tc>
              <w:tc>
                <w:tcPr>
                  <w:tcW w:w="135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夜间</w:t>
                  </w:r>
                </w:p>
              </w:tc>
              <w:tc>
                <w:tcPr>
                  <w:tcW w:w="155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spacing w:val="0"/>
                      <w:sz w:val="21"/>
                      <w:szCs w:val="32"/>
                      <w:highlight w:val="none"/>
                      <w:vertAlign w:val="baseline"/>
                      <w:lang w:val="en-US" w:eastAsia="zh-CN"/>
                    </w:rPr>
                  </w:pPr>
                  <w:r>
                    <w:rPr>
                      <w:rFonts w:hint="eastAsia" w:ascii="Times New Roman" w:hAnsi="Times New Roman" w:eastAsia="宋体" w:cs="Times New Roman"/>
                      <w:b/>
                      <w:bCs/>
                      <w:color w:val="auto"/>
                      <w:spacing w:val="0"/>
                      <w:sz w:val="21"/>
                      <w:szCs w:val="32"/>
                      <w:highlight w:val="none"/>
                      <w:vertAlign w:val="baseline"/>
                      <w:lang w:val="en-US" w:eastAsia="zh-CN"/>
                    </w:rPr>
                    <w:t>标准名称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04" w:hRule="atLeast"/>
              </w:trPr>
              <w:tc>
                <w:tcPr>
                  <w:tcW w:w="110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3类</w:t>
                  </w:r>
                </w:p>
              </w:tc>
              <w:tc>
                <w:tcPr>
                  <w:tcW w:w="9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65</w:t>
                  </w:r>
                </w:p>
              </w:tc>
              <w:tc>
                <w:tcPr>
                  <w:tcW w:w="135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55</w:t>
                  </w:r>
                </w:p>
              </w:tc>
              <w:tc>
                <w:tcPr>
                  <w:tcW w:w="155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spacing w:val="0"/>
                      <w:sz w:val="21"/>
                      <w:szCs w:val="32"/>
                      <w:highlight w:val="none"/>
                      <w:vertAlign w:val="baseline"/>
                      <w:lang w:val="en-US" w:eastAsia="zh-CN"/>
                    </w:rPr>
                  </w:pPr>
                  <w:r>
                    <w:rPr>
                      <w:rFonts w:hint="eastAsia" w:ascii="Times New Roman" w:hAnsi="Times New Roman" w:eastAsia="宋体" w:cs="Times New Roman"/>
                      <w:color w:val="auto"/>
                      <w:spacing w:val="0"/>
                      <w:sz w:val="21"/>
                      <w:szCs w:val="32"/>
                      <w:highlight w:val="none"/>
                      <w:vertAlign w:val="baseline"/>
                      <w:lang w:val="en-US" w:eastAsia="zh-CN"/>
                    </w:rPr>
                    <w:t>声环境质量标准</w:t>
                  </w:r>
                </w:p>
              </w:tc>
            </w:tr>
          </w:tbl>
          <w:p>
            <w:pPr>
              <w:keepNext w:val="0"/>
              <w:keepLines w:val="0"/>
              <w:suppressLineNumbers w:val="0"/>
              <w:adjustRightInd w:val="0"/>
              <w:snapToGrid w:val="0"/>
              <w:spacing w:before="0" w:beforeAutospacing="0" w:after="0" w:afterAutospacing="0" w:line="480" w:lineRule="exact"/>
              <w:ind w:left="0" w:right="0"/>
              <w:rPr>
                <w:rFonts w:hint="eastAsia" w:ascii="Times New Roman" w:hAnsi="Times New Roman" w:eastAsia="宋体" w:cs="Times New Roman"/>
                <w:b/>
                <w:bCs/>
                <w:color w:val="auto"/>
                <w:sz w:val="24"/>
                <w:szCs w:val="24"/>
                <w:lang w:val="en-US" w:eastAsia="zh-CN"/>
              </w:rPr>
            </w:pPr>
          </w:p>
          <w:p>
            <w:pPr>
              <w:keepNext w:val="0"/>
              <w:keepLines w:val="0"/>
              <w:suppressLineNumbers w:val="0"/>
              <w:adjustRightInd w:val="0"/>
              <w:snapToGrid w:val="0"/>
              <w:spacing w:before="0" w:beforeAutospacing="0" w:after="0" w:afterAutospacing="0" w:line="480" w:lineRule="exact"/>
              <w:ind w:left="0" w:right="0"/>
              <w:rPr>
                <w:rFonts w:hint="eastAsia" w:ascii="Times New Roman" w:hAnsi="Times New Roman" w:eastAsia="宋体" w:cs="Times New Roman"/>
                <w:b/>
                <w:bCs/>
                <w:color w:val="auto"/>
                <w:sz w:val="24"/>
                <w:szCs w:val="24"/>
                <w:lang w:val="en-US" w:eastAsia="zh-CN"/>
              </w:rPr>
            </w:pPr>
            <w:r>
              <w:rPr>
                <w:rFonts w:hint="eastAsia" w:ascii="Times New Roman" w:hAnsi="Times New Roman" w:eastAsia="宋体" w:cs="Times New Roman"/>
                <w:b/>
                <w:bCs/>
                <w:color w:val="auto"/>
                <w:sz w:val="24"/>
                <w:szCs w:val="24"/>
                <w:lang w:val="en-US" w:eastAsia="zh-CN"/>
              </w:rPr>
              <w:t>2、污染物排放标准</w:t>
            </w:r>
          </w:p>
          <w:p>
            <w:pPr>
              <w:keepNext w:val="0"/>
              <w:keepLines w:val="0"/>
              <w:suppressLineNumbers w:val="0"/>
              <w:adjustRightInd w:val="0"/>
              <w:snapToGrid w:val="0"/>
              <w:spacing w:before="0" w:beforeAutospacing="0" w:after="0" w:afterAutospacing="0" w:line="480" w:lineRule="exact"/>
              <w:ind w:left="0" w:right="0" w:firstLine="482" w:firstLineChars="200"/>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lang w:val="en-US" w:eastAsia="zh-CN"/>
              </w:rPr>
              <w:t>2.1</w:t>
            </w:r>
            <w:r>
              <w:rPr>
                <w:rFonts w:ascii="Times New Roman" w:hAnsi="Times New Roman" w:eastAsia="宋体" w:cs="Times New Roman"/>
                <w:b/>
                <w:bCs/>
                <w:color w:val="auto"/>
                <w:sz w:val="24"/>
                <w:szCs w:val="24"/>
              </w:rPr>
              <w:t>施工期：</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lang w:eastAsia="zh-CN"/>
              </w:rPr>
            </w:pPr>
            <w:r>
              <w:rPr>
                <w:rFonts w:hint="eastAsia" w:ascii="Times New Roman" w:hAnsi="Times New Roman" w:eastAsia="宋体" w:cs="Times New Roman"/>
                <w:color w:val="auto"/>
                <w:sz w:val="24"/>
                <w:szCs w:val="24"/>
                <w:lang w:eastAsia="zh-CN"/>
              </w:rPr>
              <w:t>施工扬尘：</w:t>
            </w:r>
            <w:r>
              <w:rPr>
                <w:rFonts w:hint="default" w:ascii="Times New Roman" w:hAnsi="Times New Roman" w:eastAsia="宋体" w:cs="Times New Roman"/>
                <w:color w:val="auto"/>
                <w:sz w:val="24"/>
                <w:szCs w:val="32"/>
                <w:highlight w:val="none"/>
              </w:rPr>
              <w:t>扬尘</w:t>
            </w:r>
            <w:r>
              <w:rPr>
                <w:rFonts w:hint="default" w:ascii="Times New Roman" w:hAnsi="Times New Roman" w:eastAsia="宋体" w:cs="Times New Roman"/>
                <w:color w:val="auto"/>
                <w:sz w:val="24"/>
                <w:szCs w:val="32"/>
                <w:highlight w:val="none"/>
                <w:lang w:eastAsia="zh-CN"/>
              </w:rPr>
              <w:t>排放浓度限值</w:t>
            </w:r>
            <w:r>
              <w:rPr>
                <w:rFonts w:hint="default" w:ascii="Times New Roman" w:hAnsi="Times New Roman" w:eastAsia="宋体" w:cs="Times New Roman"/>
                <w:color w:val="auto"/>
                <w:sz w:val="24"/>
                <w:szCs w:val="32"/>
                <w:highlight w:val="none"/>
              </w:rPr>
              <w:t>执行《施工场地扬尘排放标准》（DB13/2934-2019）表1中监测点PM</w:t>
            </w:r>
            <w:r>
              <w:rPr>
                <w:rFonts w:hint="default" w:ascii="Times New Roman" w:hAnsi="Times New Roman" w:eastAsia="宋体" w:cs="Times New Roman"/>
                <w:color w:val="auto"/>
                <w:sz w:val="24"/>
                <w:szCs w:val="32"/>
                <w:highlight w:val="none"/>
                <w:vertAlign w:val="subscript"/>
              </w:rPr>
              <w:t>10</w:t>
            </w:r>
            <w:r>
              <w:rPr>
                <w:rFonts w:hint="default" w:ascii="Times New Roman" w:hAnsi="Times New Roman" w:eastAsia="宋体" w:cs="Times New Roman"/>
                <w:color w:val="auto"/>
                <w:sz w:val="24"/>
                <w:szCs w:val="32"/>
                <w:highlight w:val="none"/>
              </w:rPr>
              <w:t>浓度限值80μg/m</w:t>
            </w:r>
            <w:r>
              <w:rPr>
                <w:rFonts w:hint="default" w:ascii="Times New Roman" w:hAnsi="Times New Roman" w:eastAsia="宋体" w:cs="Times New Roman"/>
                <w:color w:val="auto"/>
                <w:sz w:val="24"/>
                <w:szCs w:val="32"/>
                <w:highlight w:val="none"/>
                <w:vertAlign w:val="superscript"/>
              </w:rPr>
              <w:t>3</w:t>
            </w:r>
            <w:r>
              <w:rPr>
                <w:rFonts w:hint="default" w:ascii="Times New Roman" w:hAnsi="Times New Roman" w:eastAsia="宋体" w:cs="Times New Roman"/>
                <w:color w:val="auto"/>
                <w:sz w:val="24"/>
                <w:szCs w:val="32"/>
                <w:highlight w:val="none"/>
                <w:vertAlign w:val="baseline"/>
                <w:lang w:eastAsia="zh-CN"/>
              </w:rPr>
              <w:t>（指监测点</w:t>
            </w:r>
            <w:r>
              <w:rPr>
                <w:rFonts w:hint="default" w:ascii="Times New Roman" w:hAnsi="Times New Roman" w:eastAsia="宋体" w:cs="Times New Roman"/>
                <w:color w:val="auto"/>
                <w:sz w:val="24"/>
                <w:szCs w:val="32"/>
                <w:highlight w:val="none"/>
              </w:rPr>
              <w:t>PM</w:t>
            </w:r>
            <w:r>
              <w:rPr>
                <w:rFonts w:hint="default" w:ascii="Times New Roman" w:hAnsi="Times New Roman" w:eastAsia="宋体" w:cs="Times New Roman"/>
                <w:color w:val="auto"/>
                <w:sz w:val="24"/>
                <w:szCs w:val="32"/>
                <w:highlight w:val="none"/>
                <w:vertAlign w:val="subscript"/>
              </w:rPr>
              <w:t>10</w:t>
            </w:r>
            <w:r>
              <w:rPr>
                <w:rFonts w:hint="default" w:ascii="Times New Roman" w:hAnsi="Times New Roman" w:eastAsia="宋体" w:cs="Times New Roman"/>
                <w:color w:val="auto"/>
                <w:sz w:val="24"/>
                <w:szCs w:val="32"/>
                <w:highlight w:val="none"/>
                <w:vertAlign w:val="baseline"/>
                <w:lang w:eastAsia="zh-CN"/>
              </w:rPr>
              <w:t>小时平均浓度实测值与同时段所属县（市、区）</w:t>
            </w:r>
            <w:r>
              <w:rPr>
                <w:rFonts w:hint="default" w:ascii="Times New Roman" w:hAnsi="Times New Roman" w:eastAsia="宋体" w:cs="Times New Roman"/>
                <w:color w:val="auto"/>
                <w:sz w:val="24"/>
                <w:szCs w:val="32"/>
                <w:highlight w:val="none"/>
              </w:rPr>
              <w:t>PM</w:t>
            </w:r>
            <w:r>
              <w:rPr>
                <w:rFonts w:hint="default" w:ascii="Times New Roman" w:hAnsi="Times New Roman" w:eastAsia="宋体" w:cs="Times New Roman"/>
                <w:color w:val="auto"/>
                <w:sz w:val="24"/>
                <w:szCs w:val="32"/>
                <w:highlight w:val="none"/>
                <w:vertAlign w:val="subscript"/>
              </w:rPr>
              <w:t>10</w:t>
            </w:r>
            <w:r>
              <w:rPr>
                <w:rFonts w:hint="default" w:ascii="Times New Roman" w:hAnsi="Times New Roman" w:eastAsia="宋体" w:cs="Times New Roman"/>
                <w:color w:val="auto"/>
                <w:sz w:val="24"/>
                <w:szCs w:val="32"/>
                <w:highlight w:val="none"/>
                <w:vertAlign w:val="baseline"/>
                <w:lang w:eastAsia="zh-CN"/>
              </w:rPr>
              <w:t>小时平均浓度的差值。当县（市、区）</w:t>
            </w:r>
            <w:r>
              <w:rPr>
                <w:rFonts w:hint="default" w:ascii="Times New Roman" w:hAnsi="Times New Roman" w:eastAsia="宋体" w:cs="Times New Roman"/>
                <w:color w:val="auto"/>
                <w:sz w:val="24"/>
                <w:szCs w:val="32"/>
                <w:highlight w:val="none"/>
              </w:rPr>
              <w:t>PM</w:t>
            </w:r>
            <w:r>
              <w:rPr>
                <w:rFonts w:hint="default" w:ascii="Times New Roman" w:hAnsi="Times New Roman" w:eastAsia="宋体" w:cs="Times New Roman"/>
                <w:color w:val="auto"/>
                <w:sz w:val="24"/>
                <w:szCs w:val="32"/>
                <w:highlight w:val="none"/>
                <w:vertAlign w:val="subscript"/>
              </w:rPr>
              <w:t>10</w:t>
            </w:r>
            <w:r>
              <w:rPr>
                <w:rFonts w:hint="default" w:ascii="Times New Roman" w:hAnsi="Times New Roman" w:eastAsia="宋体" w:cs="Times New Roman"/>
                <w:color w:val="auto"/>
                <w:sz w:val="24"/>
                <w:szCs w:val="32"/>
                <w:highlight w:val="none"/>
                <w:vertAlign w:val="baseline"/>
                <w:lang w:eastAsia="zh-CN"/>
              </w:rPr>
              <w:t>小时平均浓度值大于</w:t>
            </w:r>
            <w:r>
              <w:rPr>
                <w:rFonts w:hint="default" w:ascii="Times New Roman" w:hAnsi="Times New Roman" w:eastAsia="宋体" w:cs="Times New Roman"/>
                <w:color w:val="auto"/>
                <w:sz w:val="24"/>
                <w:szCs w:val="32"/>
                <w:highlight w:val="none"/>
                <w:vertAlign w:val="baseline"/>
                <w:lang w:val="en-US" w:eastAsia="zh-CN"/>
              </w:rPr>
              <w:t>150</w:t>
            </w:r>
            <w:r>
              <w:rPr>
                <w:rFonts w:hint="default" w:ascii="Times New Roman" w:hAnsi="Times New Roman" w:eastAsia="宋体" w:cs="Times New Roman"/>
                <w:color w:val="auto"/>
                <w:sz w:val="24"/>
                <w:szCs w:val="32"/>
                <w:highlight w:val="none"/>
              </w:rPr>
              <w:t>μg/m</w:t>
            </w:r>
            <w:r>
              <w:rPr>
                <w:rFonts w:hint="default" w:ascii="Times New Roman" w:hAnsi="Times New Roman" w:eastAsia="宋体" w:cs="Times New Roman"/>
                <w:color w:val="auto"/>
                <w:sz w:val="24"/>
                <w:szCs w:val="32"/>
                <w:highlight w:val="none"/>
                <w:vertAlign w:val="superscript"/>
              </w:rPr>
              <w:t>3</w:t>
            </w:r>
            <w:r>
              <w:rPr>
                <w:rFonts w:hint="default" w:ascii="Times New Roman" w:hAnsi="Times New Roman" w:eastAsia="宋体" w:cs="Times New Roman"/>
                <w:color w:val="auto"/>
                <w:sz w:val="24"/>
                <w:szCs w:val="32"/>
                <w:highlight w:val="none"/>
                <w:vertAlign w:val="baseline"/>
                <w:lang w:eastAsia="zh-CN"/>
              </w:rPr>
              <w:t>时，以</w:t>
            </w:r>
            <w:r>
              <w:rPr>
                <w:rFonts w:hint="default" w:ascii="Times New Roman" w:hAnsi="Times New Roman" w:eastAsia="宋体" w:cs="Times New Roman"/>
                <w:color w:val="auto"/>
                <w:sz w:val="24"/>
                <w:szCs w:val="32"/>
                <w:highlight w:val="none"/>
                <w:vertAlign w:val="baseline"/>
                <w:lang w:val="en-US" w:eastAsia="zh-CN"/>
              </w:rPr>
              <w:t>150</w:t>
            </w:r>
            <w:r>
              <w:rPr>
                <w:rFonts w:hint="default" w:ascii="Times New Roman" w:hAnsi="Times New Roman" w:eastAsia="宋体" w:cs="Times New Roman"/>
                <w:color w:val="auto"/>
                <w:sz w:val="24"/>
                <w:szCs w:val="32"/>
                <w:highlight w:val="none"/>
              </w:rPr>
              <w:t>μg/m</w:t>
            </w:r>
            <w:r>
              <w:rPr>
                <w:rFonts w:hint="default" w:ascii="Times New Roman" w:hAnsi="Times New Roman" w:eastAsia="宋体" w:cs="Times New Roman"/>
                <w:color w:val="auto"/>
                <w:sz w:val="24"/>
                <w:szCs w:val="32"/>
                <w:highlight w:val="none"/>
                <w:vertAlign w:val="superscript"/>
              </w:rPr>
              <w:t>3</w:t>
            </w:r>
            <w:r>
              <w:rPr>
                <w:rFonts w:hint="default" w:ascii="Times New Roman" w:hAnsi="Times New Roman" w:eastAsia="宋体" w:cs="Times New Roman"/>
                <w:color w:val="auto"/>
                <w:sz w:val="24"/>
                <w:szCs w:val="32"/>
                <w:highlight w:val="none"/>
                <w:vertAlign w:val="baseline"/>
                <w:lang w:eastAsia="zh-CN"/>
              </w:rPr>
              <w:t>计）</w:t>
            </w:r>
            <w:r>
              <w:rPr>
                <w:rFonts w:hint="eastAsia" w:ascii="Times New Roman" w:hAnsi="Times New Roman" w:eastAsia="宋体" w:cs="Times New Roman"/>
                <w:color w:val="auto"/>
                <w:sz w:val="24"/>
                <w:szCs w:val="24"/>
                <w:lang w:eastAsia="zh-CN"/>
              </w:rPr>
              <w: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rPr>
              <w:t>施工噪声</w:t>
            </w:r>
            <w:r>
              <w:rPr>
                <w:rFonts w:ascii="Times New Roman" w:hAnsi="Times New Roman" w:eastAsia="宋体" w:cs="Times New Roman"/>
                <w:color w:val="auto"/>
                <w:sz w:val="24"/>
                <w:szCs w:val="24"/>
              </w:rPr>
              <w:t>：执行《建筑施工场界环境噪声排放标准》(GB12523-2011</w:t>
            </w:r>
            <w:r>
              <w:rPr>
                <w:rFonts w:hint="eastAsia" w:ascii="Times New Roman" w:hAnsi="Times New Roman" w:eastAsia="宋体" w:cs="Times New Roman"/>
                <w:color w:val="auto"/>
                <w:sz w:val="24"/>
                <w:szCs w:val="24"/>
                <w:lang w:eastAsia="zh-CN"/>
              </w:rPr>
              <w:t>）</w:t>
            </w:r>
            <w:r>
              <w:rPr>
                <w:rFonts w:ascii="Times New Roman" w:hAnsi="Times New Roman" w:eastAsia="宋体" w:cs="Times New Roman"/>
                <w:color w:val="auto"/>
                <w:sz w:val="24"/>
                <w:szCs w:val="24"/>
              </w:rPr>
              <w:t>中标准：昼间：70dB(A)，夜间：55dB(A)。</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2" w:firstLineChars="200"/>
              <w:textAlignment w:val="auto"/>
              <w:rPr>
                <w:rFonts w:ascii="Times New Roman" w:hAnsi="Times New Roman" w:eastAsia="宋体" w:cs="Times New Roman"/>
                <w:b/>
                <w:bCs/>
                <w:color w:val="auto"/>
                <w:sz w:val="24"/>
                <w:szCs w:val="24"/>
              </w:rPr>
            </w:pPr>
            <w:r>
              <w:rPr>
                <w:rFonts w:hint="eastAsia" w:ascii="Times New Roman" w:hAnsi="Times New Roman" w:eastAsia="宋体" w:cs="Times New Roman"/>
                <w:b/>
                <w:bCs/>
                <w:color w:val="auto"/>
                <w:sz w:val="24"/>
                <w:szCs w:val="24"/>
                <w:lang w:val="en-US" w:eastAsia="zh-CN"/>
              </w:rPr>
              <w:t>2.2</w:t>
            </w:r>
            <w:r>
              <w:rPr>
                <w:rFonts w:ascii="Times New Roman" w:hAnsi="Times New Roman" w:eastAsia="宋体" w:cs="Times New Roman"/>
                <w:b/>
                <w:bCs/>
                <w:color w:val="auto"/>
                <w:sz w:val="24"/>
                <w:szCs w:val="24"/>
              </w:rPr>
              <w:t>运营期：</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rPr>
            </w:pPr>
            <w:r>
              <w:rPr>
                <w:rFonts w:ascii="Times New Roman" w:hAnsi="Times New Roman" w:eastAsia="宋体" w:cs="Times New Roman"/>
                <w:color w:val="auto"/>
                <w:kern w:val="2"/>
                <w:sz w:val="24"/>
                <w:szCs w:val="24"/>
                <w:lang w:val="en-US" w:eastAsia="zh-CN" w:bidi="ar-SA"/>
              </w:rPr>
              <w:t>（1）</w:t>
            </w:r>
            <w:r>
              <w:rPr>
                <w:rFonts w:ascii="Times New Roman" w:hAnsi="Times New Roman" w:eastAsia="宋体" w:cs="Times New Roman"/>
                <w:color w:val="auto"/>
                <w:sz w:val="24"/>
                <w:szCs w:val="24"/>
              </w:rPr>
              <w:t>废气：</w:t>
            </w:r>
            <w:r>
              <w:rPr>
                <w:rFonts w:hint="eastAsia" w:ascii="Times New Roman" w:hAnsi="Times New Roman" w:eastAsia="宋体" w:cs="Times New Roman"/>
                <w:color w:val="auto"/>
                <w:sz w:val="24"/>
                <w:szCs w:val="24"/>
                <w:lang w:val="en-US" w:eastAsia="zh-CN"/>
              </w:rPr>
              <w:t>物料在转接机房</w:t>
            </w:r>
            <w:r>
              <w:rPr>
                <w:rFonts w:hint="eastAsia" w:cs="Times New Roman"/>
                <w:color w:val="auto"/>
                <w:sz w:val="24"/>
                <w:szCs w:val="24"/>
                <w:lang w:val="en-US" w:eastAsia="zh-CN"/>
              </w:rPr>
              <w:t>上料、转运</w:t>
            </w:r>
            <w:r>
              <w:rPr>
                <w:rFonts w:hint="eastAsia" w:ascii="Times New Roman" w:hAnsi="Times New Roman" w:eastAsia="宋体" w:cs="Times New Roman"/>
                <w:color w:val="auto"/>
                <w:sz w:val="24"/>
                <w:szCs w:val="24"/>
                <w:lang w:val="en-US" w:eastAsia="zh-CN"/>
              </w:rPr>
              <w:t>过程产生的无组织颗粒物参照执行《钢铁工业大气污染超低排放标准》</w:t>
            </w:r>
            <w:r>
              <w:rPr>
                <w:rFonts w:hint="default" w:ascii="Times New Roman" w:hAnsi="Times New Roman" w:eastAsia="宋体" w:cs="Times New Roman"/>
                <w:color w:val="auto"/>
                <w:sz w:val="24"/>
                <w:szCs w:val="24"/>
                <w:lang w:val="en-US" w:eastAsia="zh-CN"/>
              </w:rPr>
              <w:t>(DB13/2169-2018</w:t>
            </w:r>
            <w:r>
              <w:rPr>
                <w:rFonts w:hint="eastAsia" w:ascii="Times New Roman" w:hAnsi="Times New Roman" w:eastAsia="宋体" w:cs="Times New Roman"/>
                <w:color w:val="auto"/>
                <w:sz w:val="24"/>
                <w:szCs w:val="24"/>
                <w:lang w:val="en-US" w:eastAsia="zh-CN"/>
              </w:rPr>
              <w:t>）表</w:t>
            </w:r>
            <w:r>
              <w:rPr>
                <w:rFonts w:hint="default" w:ascii="Times New Roman" w:hAnsi="Times New Roman" w:eastAsia="宋体" w:cs="Times New Roman"/>
                <w:color w:val="auto"/>
                <w:sz w:val="24"/>
                <w:szCs w:val="24"/>
                <w:lang w:val="en-US" w:eastAsia="zh-CN"/>
              </w:rPr>
              <w:t>5</w:t>
            </w:r>
            <w:r>
              <w:rPr>
                <w:rFonts w:hint="eastAsia" w:ascii="Times New Roman" w:hAnsi="Times New Roman" w:eastAsia="宋体" w:cs="Times New Roman"/>
                <w:color w:val="auto"/>
                <w:sz w:val="24"/>
                <w:szCs w:val="24"/>
                <w:lang w:val="en-US" w:eastAsia="zh-CN"/>
              </w:rPr>
              <w:t>企业厂界大气污染物无组织排放浓度限值。</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（2）废水：本项目无生产生活废水外排。</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（3）噪声：噪声厂界执行《工业企业厂界环境噪声排放标准》（GB12348-2008）3类标准：昼间65dB(A)，夜间55dB(A)。</w:t>
            </w:r>
          </w:p>
          <w:p>
            <w:pPr>
              <w:keepNext w:val="0"/>
              <w:keepLines w:val="0"/>
              <w:pageBreakBefore w:val="0"/>
              <w:widowControl w:val="0"/>
              <w:numPr>
                <w:ilvl w:val="0"/>
                <w:numId w:val="0"/>
              </w:numPr>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4）固废：一般固体废物参照执行《一般工业固体废物贮存和填埋污染控制标准》（GB18599-2020）、《中华人民共和国固体废物污染环境防治法》（2020年修订）相关要求；危险废物贮存、处置执行《危险废物贮存污染控制标准》（GB18597-2023）要求。</w:t>
            </w:r>
          </w:p>
          <w:p>
            <w:pPr>
              <w:keepNext w:val="0"/>
              <w:keepLines w:val="0"/>
              <w:suppressLineNumbers w:val="0"/>
              <w:spacing w:before="0" w:beforeAutospacing="0" w:after="0" w:afterAutospacing="0" w:line="480" w:lineRule="exact"/>
              <w:ind w:left="0" w:right="0"/>
              <w:jc w:val="center"/>
              <w:rPr>
                <w:rFonts w:ascii="Times New Roman" w:hAnsi="Times New Roman" w:eastAsia="宋体" w:cs="Times New Roman"/>
                <w:b/>
                <w:bCs/>
                <w:color w:val="auto"/>
              </w:rPr>
            </w:pPr>
            <w:r>
              <w:rPr>
                <w:rFonts w:ascii="Times New Roman" w:hAnsi="Times New Roman" w:eastAsia="宋体" w:cs="Times New Roman"/>
                <w:b/>
                <w:bCs/>
                <w:color w:val="auto"/>
              </w:rPr>
              <w:t>表3-</w:t>
            </w:r>
            <w:r>
              <w:rPr>
                <w:rFonts w:hint="eastAsia" w:ascii="Times New Roman" w:hAnsi="Times New Roman" w:eastAsia="宋体" w:cs="Times New Roman"/>
                <w:b/>
                <w:bCs/>
                <w:color w:val="auto"/>
                <w:lang w:val="en-US" w:eastAsia="zh-CN"/>
              </w:rPr>
              <w:t>5</w:t>
            </w:r>
            <w:r>
              <w:rPr>
                <w:rFonts w:ascii="Times New Roman" w:hAnsi="Times New Roman" w:eastAsia="宋体" w:cs="Times New Roman"/>
                <w:b/>
                <w:bCs/>
                <w:color w:val="auto"/>
              </w:rPr>
              <w:t xml:space="preserve">  </w:t>
            </w:r>
            <w:r>
              <w:rPr>
                <w:rFonts w:hint="eastAsia" w:ascii="Times New Roman" w:hAnsi="Times New Roman" w:eastAsia="宋体" w:cs="Times New Roman"/>
                <w:b/>
                <w:color w:val="auto"/>
                <w:kern w:val="0"/>
                <w:sz w:val="21"/>
                <w:szCs w:val="21"/>
                <w:lang w:val="zh-CN"/>
              </w:rPr>
              <w:t>运营期</w:t>
            </w:r>
            <w:r>
              <w:rPr>
                <w:rFonts w:hint="default" w:ascii="Times New Roman" w:hAnsi="Times New Roman" w:eastAsia="宋体" w:cs="Times New Roman"/>
                <w:b/>
                <w:color w:val="auto"/>
                <w:kern w:val="0"/>
                <w:sz w:val="21"/>
                <w:szCs w:val="21"/>
                <w:lang w:val="zh-CN"/>
              </w:rPr>
              <w:t>污染物排放标准</w:t>
            </w:r>
          </w:p>
          <w:tbl>
            <w:tblPr>
              <w:tblStyle w:val="27"/>
              <w:tblW w:w="829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509"/>
              <w:gridCol w:w="651"/>
              <w:gridCol w:w="1328"/>
              <w:gridCol w:w="3775"/>
              <w:gridCol w:w="2035"/>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160" w:type="dxa"/>
                  <w:gridSpan w:val="2"/>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b/>
                      <w:bCs/>
                      <w:color w:val="auto"/>
                      <w:szCs w:val="21"/>
                      <w:lang w:eastAsia="zh-CN"/>
                    </w:rPr>
                  </w:pPr>
                  <w:r>
                    <w:rPr>
                      <w:rFonts w:hint="eastAsia" w:ascii="Times New Roman" w:hAnsi="Times New Roman" w:eastAsia="宋体" w:cs="Times New Roman"/>
                      <w:b/>
                      <w:bCs/>
                      <w:color w:val="auto"/>
                      <w:szCs w:val="21"/>
                      <w:lang w:eastAsia="zh-CN"/>
                    </w:rPr>
                    <w:t>类别</w:t>
                  </w:r>
                </w:p>
              </w:tc>
              <w:tc>
                <w:tcPr>
                  <w:tcW w:w="1328" w:type="dxa"/>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b/>
                      <w:bCs/>
                      <w:color w:val="auto"/>
                      <w:szCs w:val="21"/>
                      <w:lang w:eastAsia="zh-CN"/>
                    </w:rPr>
                  </w:pPr>
                  <w:r>
                    <w:rPr>
                      <w:rFonts w:hint="eastAsia" w:ascii="Times New Roman" w:hAnsi="Times New Roman" w:eastAsia="宋体" w:cs="Times New Roman"/>
                      <w:b/>
                      <w:bCs/>
                      <w:color w:val="auto"/>
                      <w:szCs w:val="21"/>
                      <w:lang w:eastAsia="zh-CN"/>
                    </w:rPr>
                    <w:t>污染因子</w:t>
                  </w:r>
                </w:p>
              </w:tc>
              <w:tc>
                <w:tcPr>
                  <w:tcW w:w="3775" w:type="dxa"/>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b/>
                      <w:bCs/>
                      <w:color w:val="auto"/>
                      <w:szCs w:val="21"/>
                      <w:lang w:eastAsia="zh-CN"/>
                    </w:rPr>
                  </w:pPr>
                  <w:r>
                    <w:rPr>
                      <w:rFonts w:hint="eastAsia" w:ascii="Times New Roman" w:hAnsi="Times New Roman" w:eastAsia="宋体" w:cs="Times New Roman"/>
                      <w:b/>
                      <w:bCs/>
                      <w:color w:val="auto"/>
                      <w:szCs w:val="21"/>
                      <w:lang w:eastAsia="zh-CN"/>
                    </w:rPr>
                    <w:t>排放标准</w:t>
                  </w:r>
                </w:p>
              </w:tc>
              <w:tc>
                <w:tcPr>
                  <w:tcW w:w="2035" w:type="dxa"/>
                  <w:noWrap w:val="0"/>
                  <w:vAlign w:val="center"/>
                </w:tcPr>
                <w:p>
                  <w:pPr>
                    <w:keepNext w:val="0"/>
                    <w:keepLines w:val="0"/>
                    <w:suppressLineNumbers w:val="0"/>
                    <w:spacing w:before="0" w:beforeAutospacing="0" w:after="0" w:afterAutospacing="0" w:line="0" w:lineRule="atLeast"/>
                    <w:ind w:left="0" w:right="0"/>
                    <w:jc w:val="center"/>
                    <w:rPr>
                      <w:rFonts w:ascii="Times New Roman" w:hAnsi="Times New Roman" w:eastAsia="宋体" w:cs="Times New Roman"/>
                      <w:b/>
                      <w:bCs/>
                      <w:color w:val="auto"/>
                      <w:szCs w:val="21"/>
                    </w:rPr>
                  </w:pPr>
                  <w:r>
                    <w:rPr>
                      <w:rFonts w:ascii="Times New Roman" w:hAnsi="Times New Roman" w:eastAsia="宋体" w:cs="Times New Roman"/>
                      <w:b/>
                      <w:bCs/>
                      <w:color w:val="auto"/>
                      <w:szCs w:val="21"/>
                    </w:rPr>
                    <w:t>排放限值</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67" w:hRule="atLeast"/>
              </w:trPr>
              <w:tc>
                <w:tcPr>
                  <w:tcW w:w="509" w:type="dxa"/>
                  <w:tcBorders>
                    <w:right w:val="single" w:color="auto" w:sz="4" w:space="0"/>
                  </w:tcBorders>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废气</w:t>
                  </w:r>
                </w:p>
              </w:tc>
              <w:tc>
                <w:tcPr>
                  <w:tcW w:w="651" w:type="dxa"/>
                  <w:tcBorders>
                    <w:left w:val="single" w:color="auto" w:sz="4" w:space="0"/>
                  </w:tcBorders>
                  <w:noWrap w:val="0"/>
                  <w:vAlign w:val="center"/>
                </w:tcPr>
                <w:p>
                  <w:pPr>
                    <w:keepNext w:val="0"/>
                    <w:keepLines w:val="0"/>
                    <w:suppressLineNumbers w:val="0"/>
                    <w:spacing w:before="0" w:beforeAutospacing="0" w:after="0" w:afterAutospacing="0" w:line="0" w:lineRule="atLeast"/>
                    <w:ind w:left="0" w:right="0"/>
                    <w:jc w:val="center"/>
                    <w:rPr>
                      <w:rFonts w:ascii="Times New Roman" w:hAnsi="Times New Roman" w:eastAsia="宋体" w:cs="Times New Roman"/>
                      <w:color w:val="auto"/>
                      <w:kern w:val="2"/>
                      <w:sz w:val="21"/>
                      <w:szCs w:val="21"/>
                      <w:lang w:val="en-US" w:eastAsia="zh-CN" w:bidi="ar-SA"/>
                    </w:rPr>
                  </w:pPr>
                  <w:r>
                    <w:rPr>
                      <w:rFonts w:ascii="Times New Roman" w:hAnsi="Times New Roman" w:eastAsia="宋体" w:cs="Times New Roman"/>
                      <w:color w:val="auto"/>
                      <w:szCs w:val="21"/>
                    </w:rPr>
                    <w:t>无组织</w:t>
                  </w:r>
                </w:p>
              </w:tc>
              <w:tc>
                <w:tcPr>
                  <w:tcW w:w="1328" w:type="dxa"/>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颗粒物</w:t>
                  </w:r>
                </w:p>
              </w:tc>
              <w:tc>
                <w:tcPr>
                  <w:tcW w:w="3775" w:type="dxa"/>
                  <w:tcBorders>
                    <w:bottom w:val="single" w:color="auto" w:sz="4" w:space="0"/>
                  </w:tcBorders>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《钢铁工业大气污染物超低排放标准》(DB13/2169-2018）表5</w:t>
                  </w:r>
                </w:p>
              </w:tc>
              <w:tc>
                <w:tcPr>
                  <w:tcW w:w="2035" w:type="dxa"/>
                  <w:tcBorders>
                    <w:bottom w:val="single" w:color="auto" w:sz="4" w:space="0"/>
                  </w:tcBorders>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1.0mg/m</w:t>
                  </w:r>
                  <w:r>
                    <w:rPr>
                      <w:rFonts w:hint="eastAsia" w:ascii="Times New Roman" w:hAnsi="Times New Roman" w:eastAsia="宋体" w:cs="Times New Roman"/>
                      <w:color w:val="auto"/>
                      <w:szCs w:val="21"/>
                      <w:vertAlign w:val="superscript"/>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c>
                <w:tcPr>
                  <w:tcW w:w="1160" w:type="dxa"/>
                  <w:gridSpan w:val="2"/>
                  <w:noWrap w:val="0"/>
                  <w:vAlign w:val="center"/>
                </w:tcPr>
                <w:p>
                  <w:pPr>
                    <w:keepNext w:val="0"/>
                    <w:keepLines w:val="0"/>
                    <w:suppressLineNumbers w:val="0"/>
                    <w:spacing w:before="0" w:beforeAutospacing="0" w:after="0" w:afterAutospacing="0" w:line="0" w:lineRule="atLeast"/>
                    <w:ind w:left="0" w:right="0"/>
                    <w:jc w:val="center"/>
                    <w:rPr>
                      <w:rFonts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噪声</w:t>
                  </w:r>
                </w:p>
              </w:tc>
              <w:tc>
                <w:tcPr>
                  <w:tcW w:w="1328" w:type="dxa"/>
                  <w:noWrap w:val="0"/>
                  <w:vAlign w:val="center"/>
                </w:tcPr>
                <w:p>
                  <w:pPr>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Leq</w:t>
                  </w:r>
                </w:p>
              </w:tc>
              <w:tc>
                <w:tcPr>
                  <w:tcW w:w="3775" w:type="dxa"/>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val="en-US" w:eastAsia="zh-CN"/>
                    </w:rPr>
                    <w:t>《工业企业厂界噪声排放标准标准》（GB12348-2008）3类</w:t>
                  </w:r>
                </w:p>
              </w:tc>
              <w:tc>
                <w:tcPr>
                  <w:tcW w:w="2035" w:type="dxa"/>
                  <w:noWrap w:val="0"/>
                  <w:vAlign w:val="center"/>
                </w:tcPr>
                <w:p>
                  <w:pPr>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昼间65dB(A)</w:t>
                  </w:r>
                </w:p>
                <w:p>
                  <w:pPr>
                    <w:keepNext w:val="0"/>
                    <w:keepLines w:val="0"/>
                    <w:suppressLineNumbers w:val="0"/>
                    <w:spacing w:before="0" w:beforeAutospacing="0" w:after="0" w:afterAutospacing="0" w:line="0" w:lineRule="atLeast"/>
                    <w:ind w:left="0" w:right="0"/>
                    <w:jc w:val="center"/>
                    <w:rPr>
                      <w:rFonts w:ascii="Times New Roman" w:hAnsi="Times New Roman" w:eastAsia="宋体" w:cs="Times New Roman"/>
                      <w:color w:val="auto"/>
                      <w:szCs w:val="21"/>
                    </w:rPr>
                  </w:pPr>
                  <w:r>
                    <w:rPr>
                      <w:rFonts w:hint="eastAsia" w:ascii="Times New Roman" w:hAnsi="Times New Roman" w:eastAsia="宋体" w:cs="Times New Roman"/>
                      <w:color w:val="auto"/>
                      <w:szCs w:val="21"/>
                      <w:lang w:val="en-US" w:eastAsia="zh-CN"/>
                    </w:rPr>
                    <w:t>夜间55dB(A)</w:t>
                  </w:r>
                </w:p>
              </w:tc>
            </w:tr>
          </w:tbl>
          <w:p>
            <w:pPr>
              <w:keepNext w:val="0"/>
              <w:keepLines w:val="0"/>
              <w:widowControl/>
              <w:suppressLineNumbers w:val="0"/>
              <w:spacing w:before="0" w:beforeAutospacing="0" w:after="0" w:afterAutospacing="0" w:line="480" w:lineRule="exact"/>
              <w:ind w:left="0" w:right="0" w:firstLine="420" w:firstLineChars="200"/>
              <w:rPr>
                <w:rFonts w:hint="eastAsia" w:ascii="Times New Roman" w:hAnsi="Times New Roman" w:eastAsia="宋体" w:cs="Times New Roman"/>
                <w:color w:val="auto"/>
                <w:kern w:val="0"/>
                <w:szCs w:val="21"/>
                <w:lang w:eastAsia="zh-CN"/>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30" w:hRule="atLeast"/>
          <w:jc w:val="center"/>
        </w:trPr>
        <w:tc>
          <w:tcPr>
            <w:tcW w:w="447" w:type="dxa"/>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eastAsia" w:ascii="Times New Roman" w:hAnsi="Times New Roman" w:eastAsia="宋体" w:cs="Times New Roman"/>
                <w:color w:val="auto"/>
                <w:kern w:val="0"/>
                <w:szCs w:val="21"/>
                <w:lang w:val="en-US" w:eastAsia="zh-CN"/>
              </w:rPr>
            </w:pPr>
            <w:r>
              <w:rPr>
                <w:rFonts w:hint="eastAsia" w:ascii="Times New Roman" w:hAnsi="Times New Roman" w:eastAsia="宋体" w:cs="Times New Roman"/>
                <w:color w:val="auto"/>
                <w:kern w:val="0"/>
                <w:szCs w:val="21"/>
                <w:lang w:val="en-US" w:eastAsia="zh-CN"/>
              </w:rPr>
              <w:t>其它</w:t>
            </w:r>
          </w:p>
        </w:tc>
        <w:tc>
          <w:tcPr>
            <w:tcW w:w="8544" w:type="dxa"/>
            <w:tcBorders>
              <w:tl2br w:val="nil"/>
              <w:tr2bl w:val="nil"/>
            </w:tcBorders>
            <w:noWrap w:val="0"/>
            <w:vAlign w:val="center"/>
          </w:tcPr>
          <w:p>
            <w:pPr>
              <w:keepNext w:val="0"/>
              <w:keepLines w:val="0"/>
              <w:pageBreakBefore w:val="0"/>
              <w:suppressLineNumbers w:val="0"/>
              <w:kinsoku/>
              <w:wordWrap/>
              <w:overflowPunct/>
              <w:topLinePunct w:val="0"/>
              <w:autoSpaceDE w:val="0"/>
              <w:autoSpaceDN w:val="0"/>
              <w:bidi w:val="0"/>
              <w:snapToGrid w:val="0"/>
              <w:spacing w:before="0" w:beforeAutospacing="0" w:after="0" w:afterAutospacing="0" w:line="500" w:lineRule="exact"/>
              <w:ind w:left="0" w:right="0" w:firstLine="480" w:firstLineChars="200"/>
              <w:rPr>
                <w:rFonts w:hint="eastAsia" w:ascii="Times New Roman" w:hAnsi="Times New Roman" w:eastAsia="宋体" w:cs="Times New Roman"/>
                <w:color w:val="auto"/>
                <w:sz w:val="24"/>
                <w:szCs w:val="32"/>
                <w:lang w:val="en-US" w:eastAsia="zh-CN"/>
              </w:rPr>
            </w:pPr>
            <w:r>
              <w:rPr>
                <w:rFonts w:hint="eastAsia" w:ascii="Times New Roman" w:hAnsi="Times New Roman" w:eastAsia="宋体" w:cs="Times New Roman"/>
                <w:color w:val="auto"/>
                <w:sz w:val="24"/>
                <w:szCs w:val="32"/>
                <w:lang w:val="en-US" w:eastAsia="zh-CN"/>
              </w:rPr>
              <w:t>1、特征污染物的确定</w:t>
            </w:r>
          </w:p>
          <w:p>
            <w:pPr>
              <w:keepNext w:val="0"/>
              <w:keepLines w:val="0"/>
              <w:pageBreakBefore w:val="0"/>
              <w:suppressLineNumbers w:val="0"/>
              <w:kinsoku/>
              <w:wordWrap/>
              <w:overflowPunct/>
              <w:topLinePunct w:val="0"/>
              <w:autoSpaceDE w:val="0"/>
              <w:autoSpaceDN w:val="0"/>
              <w:bidi w:val="0"/>
              <w:snapToGrid w:val="0"/>
              <w:spacing w:before="0" w:beforeAutospacing="0" w:after="0" w:afterAutospacing="0" w:line="500" w:lineRule="exact"/>
              <w:ind w:left="0" w:right="0" w:firstLine="480" w:firstLineChars="200"/>
              <w:rPr>
                <w:rFonts w:ascii="Times New Roman" w:hAnsi="Times New Roman" w:eastAsia="宋体" w:cs="Times New Roman"/>
                <w:color w:val="auto"/>
                <w:sz w:val="24"/>
                <w:szCs w:val="32"/>
              </w:rPr>
            </w:pP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1</w:t>
            </w:r>
            <w:r>
              <w:rPr>
                <w:rFonts w:hint="eastAsia" w:ascii="Times New Roman" w:hAnsi="Times New Roman" w:eastAsia="宋体" w:cs="Times New Roman"/>
                <w:color w:val="auto"/>
                <w:sz w:val="24"/>
                <w:szCs w:val="32"/>
                <w:lang w:val="en-US" w:eastAsia="zh-CN"/>
              </w:rPr>
              <w:t>）《国务院关于印发</w:t>
            </w:r>
            <w:r>
              <w:rPr>
                <w:rFonts w:hint="default" w:ascii="Times New Roman" w:hAnsi="Times New Roman" w:eastAsia="宋体" w:cs="Times New Roman"/>
                <w:color w:val="auto"/>
                <w:sz w:val="24"/>
                <w:szCs w:val="32"/>
                <w:lang w:val="en-US" w:eastAsia="zh-CN"/>
              </w:rPr>
              <w:t>“</w:t>
            </w:r>
            <w:r>
              <w:rPr>
                <w:rFonts w:hint="eastAsia" w:ascii="Times New Roman" w:hAnsi="Times New Roman" w:eastAsia="宋体" w:cs="Times New Roman"/>
                <w:color w:val="auto"/>
                <w:sz w:val="24"/>
                <w:szCs w:val="32"/>
                <w:lang w:val="en-US" w:eastAsia="zh-CN"/>
              </w:rPr>
              <w:t>十三五</w:t>
            </w:r>
            <w:r>
              <w:rPr>
                <w:rFonts w:hint="default" w:ascii="Times New Roman" w:hAnsi="Times New Roman" w:eastAsia="宋体" w:cs="Times New Roman"/>
                <w:color w:val="auto"/>
                <w:sz w:val="24"/>
                <w:szCs w:val="32"/>
                <w:lang w:val="en-US" w:eastAsia="zh-CN"/>
              </w:rPr>
              <w:t>”</w:t>
            </w:r>
            <w:r>
              <w:rPr>
                <w:rFonts w:hint="eastAsia" w:ascii="Times New Roman" w:hAnsi="Times New Roman" w:eastAsia="宋体" w:cs="Times New Roman"/>
                <w:color w:val="auto"/>
                <w:sz w:val="24"/>
                <w:szCs w:val="32"/>
                <w:lang w:val="en-US" w:eastAsia="zh-CN"/>
              </w:rPr>
              <w:t>生态环境保护规划的通知》（国发〔</w:t>
            </w:r>
            <w:r>
              <w:rPr>
                <w:rFonts w:hint="default" w:ascii="Times New Roman" w:hAnsi="Times New Roman" w:eastAsia="宋体" w:cs="Times New Roman"/>
                <w:color w:val="auto"/>
                <w:sz w:val="24"/>
                <w:szCs w:val="32"/>
                <w:lang w:val="en-US" w:eastAsia="zh-CN"/>
              </w:rPr>
              <w:t>2016</w:t>
            </w: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65</w:t>
            </w:r>
            <w:r>
              <w:rPr>
                <w:rFonts w:hint="eastAsia" w:ascii="Times New Roman" w:hAnsi="Times New Roman" w:eastAsia="宋体" w:cs="Times New Roman"/>
                <w:color w:val="auto"/>
                <w:sz w:val="24"/>
                <w:szCs w:val="32"/>
                <w:lang w:val="en-US" w:eastAsia="zh-CN"/>
              </w:rPr>
              <w:t>号）中规定主要污染物：化学需氧量、氨氮、二氧化硫、氮氧化物。推进区域性污染物、重点地区重点行业挥发性有机物、重点地区总氮、重点地区总磷总量控制。</w:t>
            </w:r>
          </w:p>
          <w:p>
            <w:pPr>
              <w:keepNext w:val="0"/>
              <w:keepLines w:val="0"/>
              <w:pageBreakBefore w:val="0"/>
              <w:suppressLineNumbers w:val="0"/>
              <w:kinsoku/>
              <w:wordWrap/>
              <w:overflowPunct/>
              <w:topLinePunct w:val="0"/>
              <w:autoSpaceDE w:val="0"/>
              <w:autoSpaceDN w:val="0"/>
              <w:bidi w:val="0"/>
              <w:snapToGrid w:val="0"/>
              <w:spacing w:before="0" w:beforeAutospacing="0" w:after="0" w:afterAutospacing="0" w:line="500" w:lineRule="exact"/>
              <w:ind w:left="0" w:right="0" w:firstLine="480" w:firstLineChars="200"/>
              <w:rPr>
                <w:rFonts w:ascii="Times New Roman" w:hAnsi="Times New Roman" w:eastAsia="宋体" w:cs="Times New Roman"/>
                <w:color w:val="auto"/>
                <w:sz w:val="24"/>
                <w:szCs w:val="32"/>
              </w:rPr>
            </w:pP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2</w:t>
            </w:r>
            <w:r>
              <w:rPr>
                <w:rFonts w:hint="eastAsia" w:ascii="Times New Roman" w:hAnsi="Times New Roman" w:eastAsia="宋体" w:cs="Times New Roman"/>
                <w:color w:val="auto"/>
                <w:sz w:val="24"/>
                <w:szCs w:val="32"/>
                <w:lang w:val="en-US" w:eastAsia="zh-CN"/>
              </w:rPr>
              <w:t>）《国务院关于印发大气污染防治行动计划的通知》（国发〔</w:t>
            </w:r>
            <w:r>
              <w:rPr>
                <w:rFonts w:hint="default" w:ascii="Times New Roman" w:hAnsi="Times New Roman" w:eastAsia="宋体" w:cs="Times New Roman"/>
                <w:color w:val="auto"/>
                <w:sz w:val="24"/>
                <w:szCs w:val="32"/>
                <w:lang w:val="en-US" w:eastAsia="zh-CN"/>
              </w:rPr>
              <w:t>2013</w:t>
            </w: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37</w:t>
            </w:r>
            <w:r>
              <w:rPr>
                <w:rFonts w:hint="eastAsia" w:ascii="Times New Roman" w:hAnsi="Times New Roman" w:eastAsia="宋体" w:cs="Times New Roman"/>
                <w:color w:val="auto"/>
                <w:sz w:val="24"/>
                <w:szCs w:val="32"/>
                <w:lang w:val="en-US" w:eastAsia="zh-CN"/>
              </w:rPr>
              <w:t>号）中严格实施污染物排放总量控制，将二氧化硫、氮氧化物、烟粉尘和挥发性有机物排放是否符合总量控制要求作为建设项目环境影响评价审批的前置条件。</w:t>
            </w:r>
          </w:p>
          <w:p>
            <w:pPr>
              <w:keepNext w:val="0"/>
              <w:keepLines w:val="0"/>
              <w:pageBreakBefore w:val="0"/>
              <w:suppressLineNumbers w:val="0"/>
              <w:kinsoku/>
              <w:wordWrap/>
              <w:overflowPunct/>
              <w:topLinePunct w:val="0"/>
              <w:autoSpaceDE w:val="0"/>
              <w:autoSpaceDN w:val="0"/>
              <w:bidi w:val="0"/>
              <w:snapToGrid w:val="0"/>
              <w:spacing w:before="0" w:beforeAutospacing="0" w:after="0" w:afterAutospacing="0" w:line="500" w:lineRule="exact"/>
              <w:ind w:left="0" w:right="0" w:firstLine="480" w:firstLineChars="200"/>
              <w:rPr>
                <w:rFonts w:ascii="Times New Roman" w:hAnsi="Times New Roman" w:eastAsia="宋体" w:cs="Times New Roman"/>
                <w:color w:val="auto"/>
                <w:sz w:val="24"/>
                <w:szCs w:val="32"/>
              </w:rPr>
            </w:pP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3</w:t>
            </w:r>
            <w:r>
              <w:rPr>
                <w:rFonts w:hint="eastAsia" w:ascii="Times New Roman" w:hAnsi="Times New Roman" w:eastAsia="宋体" w:cs="Times New Roman"/>
                <w:color w:val="auto"/>
                <w:sz w:val="24"/>
                <w:szCs w:val="32"/>
                <w:lang w:val="en-US" w:eastAsia="zh-CN"/>
              </w:rPr>
              <w:t>）《国务院关于印发水污染防治行动计划的通知（国发〔</w:t>
            </w:r>
            <w:r>
              <w:rPr>
                <w:rFonts w:hint="default" w:ascii="Times New Roman" w:hAnsi="Times New Roman" w:eastAsia="宋体" w:cs="Times New Roman"/>
                <w:color w:val="auto"/>
                <w:sz w:val="24"/>
                <w:szCs w:val="32"/>
                <w:lang w:val="en-US" w:eastAsia="zh-CN"/>
              </w:rPr>
              <w:t>2015</w:t>
            </w: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17</w:t>
            </w:r>
            <w:r>
              <w:rPr>
                <w:rFonts w:hint="eastAsia" w:ascii="Times New Roman" w:hAnsi="Times New Roman" w:eastAsia="宋体" w:cs="Times New Roman"/>
                <w:color w:val="auto"/>
                <w:sz w:val="24"/>
                <w:szCs w:val="32"/>
                <w:lang w:val="en-US" w:eastAsia="zh-CN"/>
              </w:rPr>
              <w:t>号）》选择对水环境质量有突出影响的总氮、总磷、重金属等污染物，研究纳入流域、区域污染物排放总量控制约束性指标体系。</w:t>
            </w:r>
          </w:p>
          <w:p>
            <w:pPr>
              <w:keepNext w:val="0"/>
              <w:keepLines w:val="0"/>
              <w:pageBreakBefore w:val="0"/>
              <w:suppressLineNumbers w:val="0"/>
              <w:kinsoku/>
              <w:wordWrap/>
              <w:overflowPunct/>
              <w:topLinePunct w:val="0"/>
              <w:autoSpaceDE w:val="0"/>
              <w:autoSpaceDN w:val="0"/>
              <w:bidi w:val="0"/>
              <w:snapToGrid w:val="0"/>
              <w:spacing w:before="0" w:beforeAutospacing="0" w:after="0" w:afterAutospacing="0" w:line="500" w:lineRule="exact"/>
              <w:ind w:left="0" w:right="0" w:firstLine="480" w:firstLineChars="200"/>
              <w:rPr>
                <w:rFonts w:ascii="Times New Roman" w:hAnsi="Times New Roman" w:eastAsia="宋体" w:cs="Times New Roman"/>
                <w:color w:val="auto"/>
                <w:sz w:val="24"/>
                <w:szCs w:val="32"/>
              </w:rPr>
            </w:pPr>
            <w:r>
              <w:rPr>
                <w:rFonts w:hint="eastAsia" w:ascii="Times New Roman" w:hAnsi="Times New Roman" w:eastAsia="宋体" w:cs="Times New Roman"/>
                <w:color w:val="auto"/>
                <w:sz w:val="24"/>
                <w:szCs w:val="32"/>
                <w:lang w:val="en-US" w:eastAsia="zh-CN"/>
              </w:rPr>
              <w:t>依据上述文件要求，针对本项目特点，确定本项目的污染物排放总量控制因子为颗粒物。</w:t>
            </w:r>
          </w:p>
          <w:p>
            <w:pPr>
              <w:keepNext w:val="0"/>
              <w:keepLines w:val="0"/>
              <w:pageBreakBefore w:val="0"/>
              <w:suppressLineNumbers w:val="0"/>
              <w:kinsoku/>
              <w:wordWrap/>
              <w:overflowPunct/>
              <w:topLinePunct w:val="0"/>
              <w:autoSpaceDE w:val="0"/>
              <w:autoSpaceDN w:val="0"/>
              <w:bidi w:val="0"/>
              <w:snapToGrid w:val="0"/>
              <w:spacing w:before="0" w:beforeAutospacing="0" w:after="0" w:afterAutospacing="0" w:line="500" w:lineRule="exact"/>
              <w:ind w:left="0" w:right="0" w:firstLine="480" w:firstLineChars="200"/>
              <w:rPr>
                <w:rFonts w:ascii="Times New Roman" w:hAnsi="Times New Roman" w:eastAsia="宋体" w:cs="Times New Roman"/>
                <w:color w:val="auto"/>
                <w:sz w:val="24"/>
                <w:szCs w:val="32"/>
              </w:rPr>
            </w:pPr>
            <w:r>
              <w:rPr>
                <w:rFonts w:hint="default" w:ascii="Times New Roman" w:hAnsi="Times New Roman" w:eastAsia="宋体" w:cs="Times New Roman"/>
                <w:color w:val="auto"/>
                <w:sz w:val="24"/>
                <w:szCs w:val="32"/>
                <w:lang w:val="en-US" w:eastAsia="zh-CN"/>
              </w:rPr>
              <w:t>2</w:t>
            </w:r>
            <w:r>
              <w:rPr>
                <w:rFonts w:hint="eastAsia" w:ascii="Times New Roman" w:hAnsi="Times New Roman" w:eastAsia="宋体" w:cs="Times New Roman"/>
                <w:color w:val="auto"/>
                <w:sz w:val="24"/>
                <w:szCs w:val="32"/>
                <w:lang w:val="en-US" w:eastAsia="zh-CN"/>
              </w:rPr>
              <w:t xml:space="preserve">、总量控制指标计算 </w:t>
            </w:r>
          </w:p>
          <w:p>
            <w:pPr>
              <w:keepNext w:val="0"/>
              <w:keepLines w:val="0"/>
              <w:pageBreakBefore w:val="0"/>
              <w:suppressLineNumbers w:val="0"/>
              <w:kinsoku/>
              <w:wordWrap/>
              <w:overflowPunct/>
              <w:topLinePunct w:val="0"/>
              <w:autoSpaceDE w:val="0"/>
              <w:autoSpaceDN w:val="0"/>
              <w:bidi w:val="0"/>
              <w:snapToGrid w:val="0"/>
              <w:spacing w:before="0" w:beforeAutospacing="0" w:after="0" w:afterAutospacing="0" w:line="500" w:lineRule="exact"/>
              <w:ind w:left="0" w:right="0" w:firstLine="480" w:firstLineChars="200"/>
              <w:rPr>
                <w:rFonts w:ascii="Times New Roman" w:hAnsi="Times New Roman" w:eastAsia="宋体" w:cs="Times New Roman"/>
                <w:color w:val="auto"/>
                <w:sz w:val="24"/>
                <w:szCs w:val="32"/>
              </w:rPr>
            </w:pPr>
            <w:r>
              <w:rPr>
                <w:rFonts w:hint="eastAsia" w:ascii="Times New Roman" w:hAnsi="Times New Roman" w:eastAsia="宋体" w:cs="Times New Roman"/>
                <w:color w:val="auto"/>
                <w:sz w:val="24"/>
                <w:szCs w:val="32"/>
                <w:lang w:val="en-US" w:eastAsia="zh-CN"/>
              </w:rPr>
              <w:t>根据《关于印发</w:t>
            </w:r>
            <w:r>
              <w:rPr>
                <w:rFonts w:hint="default" w:ascii="Times New Roman" w:hAnsi="Times New Roman" w:eastAsia="宋体" w:cs="Times New Roman"/>
                <w:color w:val="auto"/>
                <w:sz w:val="24"/>
                <w:szCs w:val="32"/>
                <w:lang w:val="en-US" w:eastAsia="zh-CN"/>
              </w:rPr>
              <w:t>&lt;</w:t>
            </w:r>
            <w:r>
              <w:rPr>
                <w:rFonts w:hint="eastAsia" w:ascii="Times New Roman" w:hAnsi="Times New Roman" w:eastAsia="宋体" w:cs="Times New Roman"/>
                <w:color w:val="auto"/>
                <w:sz w:val="24"/>
                <w:szCs w:val="32"/>
                <w:lang w:val="en-US" w:eastAsia="zh-CN"/>
              </w:rPr>
              <w:t>建设项目主要污染物排放总量指标审核及管理暂行办法</w:t>
            </w:r>
            <w:r>
              <w:rPr>
                <w:rFonts w:hint="default" w:ascii="Times New Roman" w:hAnsi="Times New Roman" w:eastAsia="宋体" w:cs="Times New Roman"/>
                <w:color w:val="auto"/>
                <w:sz w:val="24"/>
                <w:szCs w:val="32"/>
                <w:lang w:val="en-US" w:eastAsia="zh-CN"/>
              </w:rPr>
              <w:t>&gt;</w:t>
            </w:r>
            <w:r>
              <w:rPr>
                <w:rFonts w:hint="eastAsia" w:ascii="Times New Roman" w:hAnsi="Times New Roman" w:eastAsia="宋体" w:cs="Times New Roman"/>
                <w:color w:val="auto"/>
                <w:sz w:val="24"/>
                <w:szCs w:val="32"/>
                <w:lang w:val="en-US" w:eastAsia="zh-CN"/>
              </w:rPr>
              <w:t>的通知》（环发〔</w:t>
            </w:r>
            <w:r>
              <w:rPr>
                <w:rFonts w:hint="default" w:ascii="Times New Roman" w:hAnsi="Times New Roman" w:eastAsia="宋体" w:cs="Times New Roman"/>
                <w:color w:val="auto"/>
                <w:sz w:val="24"/>
                <w:szCs w:val="32"/>
                <w:lang w:val="en-US" w:eastAsia="zh-CN"/>
              </w:rPr>
              <w:t>2014</w:t>
            </w: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 xml:space="preserve">197 </w:t>
            </w:r>
            <w:r>
              <w:rPr>
                <w:rFonts w:hint="eastAsia" w:ascii="Times New Roman" w:hAnsi="Times New Roman" w:eastAsia="宋体" w:cs="Times New Roman"/>
                <w:color w:val="auto"/>
                <w:sz w:val="24"/>
                <w:szCs w:val="32"/>
                <w:lang w:val="en-US" w:eastAsia="zh-CN"/>
              </w:rPr>
              <w:t>号）、《关于进一步改革和优化建设项目主要污染物排放总量核定工作的通知》（冀环总〔</w:t>
            </w:r>
            <w:r>
              <w:rPr>
                <w:rFonts w:hint="default" w:ascii="Times New Roman" w:hAnsi="Times New Roman" w:eastAsia="宋体" w:cs="Times New Roman"/>
                <w:color w:val="auto"/>
                <w:sz w:val="24"/>
                <w:szCs w:val="32"/>
                <w:lang w:val="en-US" w:eastAsia="zh-CN"/>
              </w:rPr>
              <w:t>2014</w:t>
            </w: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 xml:space="preserve">283 </w:t>
            </w:r>
            <w:r>
              <w:rPr>
                <w:rFonts w:hint="eastAsia" w:ascii="Times New Roman" w:hAnsi="Times New Roman" w:eastAsia="宋体" w:cs="Times New Roman"/>
                <w:color w:val="auto"/>
                <w:sz w:val="24"/>
                <w:szCs w:val="32"/>
                <w:lang w:val="en-US" w:eastAsia="zh-CN"/>
              </w:rPr>
              <w:t>号）和《关于进一步简化建设项目主要污染物排放总量核定事项的通知》（冀环办〔</w:t>
            </w:r>
            <w:r>
              <w:rPr>
                <w:rFonts w:hint="default" w:ascii="Times New Roman" w:hAnsi="Times New Roman" w:eastAsia="宋体" w:cs="Times New Roman"/>
                <w:color w:val="auto"/>
                <w:sz w:val="24"/>
                <w:szCs w:val="32"/>
                <w:lang w:val="en-US" w:eastAsia="zh-CN"/>
              </w:rPr>
              <w:t>2016</w:t>
            </w:r>
            <w:r>
              <w:rPr>
                <w:rFonts w:hint="eastAsia" w:ascii="Times New Roman" w:hAnsi="Times New Roman" w:eastAsia="宋体" w:cs="Times New Roman"/>
                <w:color w:val="auto"/>
                <w:sz w:val="24"/>
                <w:szCs w:val="32"/>
                <w:lang w:val="en-US" w:eastAsia="zh-CN"/>
              </w:rPr>
              <w:t>〕</w:t>
            </w:r>
            <w:r>
              <w:rPr>
                <w:rFonts w:hint="default" w:ascii="Times New Roman" w:hAnsi="Times New Roman" w:eastAsia="宋体" w:cs="Times New Roman"/>
                <w:color w:val="auto"/>
                <w:sz w:val="24"/>
                <w:szCs w:val="32"/>
                <w:lang w:val="en-US" w:eastAsia="zh-CN"/>
              </w:rPr>
              <w:t xml:space="preserve">58 </w:t>
            </w:r>
            <w:r>
              <w:rPr>
                <w:rFonts w:hint="eastAsia" w:ascii="Times New Roman" w:hAnsi="Times New Roman" w:eastAsia="宋体" w:cs="Times New Roman"/>
                <w:color w:val="auto"/>
                <w:sz w:val="24"/>
                <w:szCs w:val="32"/>
                <w:lang w:val="en-US" w:eastAsia="zh-CN"/>
              </w:rPr>
              <w:t>号）有关要求，拟建项目总量控制指标依照国家或地方污染物排放标准核定。</w:t>
            </w:r>
          </w:p>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leftChars="0" w:right="0" w:rightChars="0" w:firstLine="480" w:firstLineChars="200"/>
              <w:textAlignment w:val="auto"/>
              <w:rPr>
                <w:rFonts w:hint="eastAsia" w:ascii="Times New Roman" w:hAnsi="Times New Roman" w:eastAsia="宋体" w:cs="Times New Roman"/>
                <w:color w:val="auto"/>
                <w:kern w:val="2"/>
                <w:sz w:val="24"/>
                <w:szCs w:val="32"/>
                <w:lang w:val="en-US" w:eastAsia="zh-CN" w:bidi="ar-SA"/>
              </w:rPr>
            </w:pPr>
            <w:r>
              <w:rPr>
                <w:rFonts w:hint="eastAsia" w:ascii="Times New Roman" w:hAnsi="Times New Roman" w:eastAsia="宋体" w:cs="Times New Roman"/>
                <w:color w:val="auto"/>
                <w:sz w:val="24"/>
                <w:szCs w:val="32"/>
                <w:lang w:eastAsia="zh-CN"/>
              </w:rPr>
              <w:t>废气：物</w:t>
            </w:r>
            <w:r>
              <w:rPr>
                <w:rFonts w:hint="eastAsia" w:ascii="Times New Roman" w:hAnsi="Times New Roman" w:eastAsia="宋体" w:cs="Times New Roman"/>
                <w:color w:val="auto"/>
                <w:kern w:val="2"/>
                <w:sz w:val="24"/>
                <w:szCs w:val="32"/>
                <w:lang w:val="en-US" w:eastAsia="zh-CN" w:bidi="ar-SA"/>
              </w:rPr>
              <w:t>料在转接机房</w:t>
            </w:r>
            <w:r>
              <w:rPr>
                <w:rFonts w:hint="eastAsia" w:cs="Times New Roman"/>
                <w:color w:val="auto"/>
                <w:kern w:val="2"/>
                <w:sz w:val="24"/>
                <w:szCs w:val="32"/>
                <w:lang w:val="en-US" w:eastAsia="zh-CN" w:bidi="ar-SA"/>
              </w:rPr>
              <w:t>上料、转运</w:t>
            </w:r>
            <w:r>
              <w:rPr>
                <w:rFonts w:hint="eastAsia" w:ascii="Times New Roman" w:hAnsi="Times New Roman" w:eastAsia="宋体" w:cs="Times New Roman"/>
                <w:color w:val="auto"/>
                <w:kern w:val="2"/>
                <w:sz w:val="24"/>
                <w:szCs w:val="32"/>
                <w:lang w:val="en-US" w:eastAsia="zh-CN" w:bidi="ar-SA"/>
              </w:rPr>
              <w:t>过程产生的颗粒物经微干雾抑尘措施处理后无组织排放。</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default" w:ascii="Times New Roman" w:hAnsi="Times New Roman" w:eastAsia="宋体" w:cs="Times New Roman"/>
                <w:color w:val="auto"/>
                <w:sz w:val="24"/>
                <w:szCs w:val="32"/>
                <w:lang w:val="en-US" w:eastAsia="zh-CN"/>
              </w:rPr>
            </w:pPr>
            <w:r>
              <w:rPr>
                <w:rFonts w:ascii="Times New Roman" w:hAnsi="Times New Roman" w:eastAsia="宋体" w:cs="Times New Roman"/>
                <w:color w:val="auto"/>
                <w:sz w:val="24"/>
                <w:szCs w:val="32"/>
              </w:rPr>
              <w:t>废水：本项目无生产</w:t>
            </w:r>
            <w:r>
              <w:rPr>
                <w:rFonts w:hint="eastAsia" w:ascii="Times New Roman" w:hAnsi="Times New Roman" w:eastAsia="宋体" w:cs="Times New Roman"/>
                <w:color w:val="auto"/>
                <w:sz w:val="24"/>
                <w:szCs w:val="32"/>
                <w:lang w:eastAsia="zh-CN"/>
              </w:rPr>
              <w:t>生活</w:t>
            </w:r>
            <w:r>
              <w:rPr>
                <w:rFonts w:ascii="Times New Roman" w:hAnsi="Times New Roman" w:eastAsia="宋体" w:cs="Times New Roman"/>
                <w:color w:val="auto"/>
                <w:sz w:val="24"/>
                <w:szCs w:val="32"/>
              </w:rPr>
              <w:t>废水外排</w:t>
            </w:r>
            <w:r>
              <w:rPr>
                <w:rFonts w:hint="eastAsia" w:ascii="Times New Roman" w:hAnsi="Times New Roman" w:eastAsia="宋体" w:cs="Times New Roman"/>
                <w:color w:val="auto"/>
                <w:sz w:val="24"/>
                <w:szCs w:val="32"/>
                <w:lang w:eastAsia="zh-CN"/>
              </w:rPr>
              <w:t>，不涉及</w:t>
            </w:r>
            <w:r>
              <w:rPr>
                <w:rFonts w:ascii="Times New Roman" w:hAnsi="Times New Roman" w:eastAsia="宋体" w:cs="Times New Roman"/>
                <w:color w:val="auto"/>
                <w:sz w:val="24"/>
                <w:szCs w:val="32"/>
              </w:rPr>
              <w:t>COD</w:t>
            </w:r>
            <w:r>
              <w:rPr>
                <w:rFonts w:hint="eastAsia" w:ascii="Times New Roman" w:hAnsi="Times New Roman" w:eastAsia="宋体" w:cs="Times New Roman"/>
                <w:color w:val="auto"/>
                <w:sz w:val="24"/>
                <w:szCs w:val="32"/>
                <w:lang w:eastAsia="zh-CN"/>
              </w:rPr>
              <w:t>、</w:t>
            </w:r>
            <w:r>
              <w:rPr>
                <w:rFonts w:ascii="Times New Roman" w:hAnsi="Times New Roman" w:eastAsia="宋体" w:cs="Times New Roman"/>
                <w:color w:val="auto"/>
                <w:sz w:val="24"/>
                <w:szCs w:val="32"/>
              </w:rPr>
              <w:t>氨氮</w:t>
            </w:r>
            <w:r>
              <w:rPr>
                <w:rFonts w:hint="eastAsia" w:ascii="Times New Roman" w:hAnsi="Times New Roman" w:eastAsia="宋体" w:cs="Times New Roman"/>
                <w:color w:val="auto"/>
                <w:sz w:val="24"/>
                <w:szCs w:val="32"/>
                <w:lang w:eastAsia="zh-CN"/>
              </w:rPr>
              <w:t>排放。</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ascii="Times New Roman" w:hAnsi="Times New Roman" w:eastAsia="宋体" w:cs="Times New Roman"/>
                <w:color w:val="auto"/>
                <w:kern w:val="0"/>
                <w:szCs w:val="21"/>
              </w:rPr>
            </w:pPr>
            <w:r>
              <w:rPr>
                <w:rFonts w:ascii="Times New Roman" w:hAnsi="Times New Roman" w:eastAsia="宋体" w:cs="Times New Roman"/>
                <w:color w:val="auto"/>
                <w:sz w:val="24"/>
                <w:szCs w:val="32"/>
              </w:rPr>
              <w:t>综上所述，项目重点污染物建议总量控制指标为：COD</w:t>
            </w:r>
            <w:r>
              <w:rPr>
                <w:rFonts w:hint="eastAsia" w:ascii="Times New Roman" w:hAnsi="Times New Roman" w:eastAsia="宋体" w:cs="Times New Roman"/>
                <w:color w:val="auto"/>
                <w:sz w:val="24"/>
                <w:szCs w:val="32"/>
                <w:lang w:val="en-US" w:eastAsia="zh-CN"/>
              </w:rPr>
              <w:t xml:space="preserve"> 0</w:t>
            </w:r>
            <w:r>
              <w:rPr>
                <w:rFonts w:ascii="Times New Roman" w:hAnsi="Times New Roman" w:eastAsia="宋体" w:cs="Times New Roman"/>
                <w:color w:val="auto"/>
                <w:sz w:val="24"/>
                <w:szCs w:val="32"/>
              </w:rPr>
              <w:t>t/a；氨氮</w:t>
            </w:r>
            <w:r>
              <w:rPr>
                <w:rFonts w:hint="eastAsia" w:ascii="Times New Roman" w:hAnsi="Times New Roman" w:eastAsia="宋体" w:cs="Times New Roman"/>
                <w:color w:val="auto"/>
                <w:sz w:val="24"/>
                <w:szCs w:val="32"/>
                <w:lang w:val="en-US" w:eastAsia="zh-CN"/>
              </w:rPr>
              <w:t>0</w:t>
            </w:r>
            <w:r>
              <w:rPr>
                <w:rFonts w:ascii="Times New Roman" w:hAnsi="Times New Roman" w:eastAsia="宋体" w:cs="Times New Roman"/>
                <w:color w:val="auto"/>
                <w:sz w:val="24"/>
                <w:szCs w:val="32"/>
              </w:rPr>
              <w:t>t/a；SO</w:t>
            </w:r>
            <w:r>
              <w:rPr>
                <w:rFonts w:ascii="Times New Roman" w:hAnsi="Times New Roman" w:eastAsia="宋体" w:cs="Times New Roman"/>
                <w:color w:val="auto"/>
                <w:sz w:val="24"/>
                <w:szCs w:val="32"/>
                <w:vertAlign w:val="subscript"/>
              </w:rPr>
              <w:t>2</w:t>
            </w:r>
            <w:r>
              <w:rPr>
                <w:rFonts w:hint="eastAsia" w:ascii="Times New Roman" w:hAnsi="Times New Roman" w:eastAsia="宋体" w:cs="Times New Roman"/>
                <w:color w:val="auto"/>
                <w:sz w:val="24"/>
                <w:szCs w:val="32"/>
                <w:vertAlign w:val="subscript"/>
                <w:lang w:val="en-US" w:eastAsia="zh-CN"/>
              </w:rPr>
              <w:t xml:space="preserve"> </w:t>
            </w:r>
            <w:r>
              <w:rPr>
                <w:rFonts w:ascii="Times New Roman" w:hAnsi="Times New Roman" w:eastAsia="宋体" w:cs="Times New Roman"/>
                <w:color w:val="auto"/>
                <w:sz w:val="24"/>
                <w:szCs w:val="32"/>
              </w:rPr>
              <w:t>0t/a；NO</w:t>
            </w:r>
            <w:r>
              <w:rPr>
                <w:rFonts w:ascii="Times New Roman" w:hAnsi="Times New Roman" w:eastAsia="宋体" w:cs="Times New Roman"/>
                <w:color w:val="auto"/>
                <w:sz w:val="24"/>
                <w:szCs w:val="32"/>
                <w:vertAlign w:val="subscript"/>
              </w:rPr>
              <w:t>X</w:t>
            </w:r>
            <w:r>
              <w:rPr>
                <w:rFonts w:hint="eastAsia" w:ascii="Times New Roman" w:hAnsi="Times New Roman" w:eastAsia="宋体" w:cs="Times New Roman"/>
                <w:color w:val="auto"/>
                <w:sz w:val="24"/>
                <w:szCs w:val="32"/>
                <w:vertAlign w:val="subscript"/>
                <w:lang w:val="en-US" w:eastAsia="zh-CN"/>
              </w:rPr>
              <w:t xml:space="preserve"> </w:t>
            </w:r>
            <w:r>
              <w:rPr>
                <w:rFonts w:ascii="Times New Roman" w:hAnsi="Times New Roman" w:eastAsia="宋体" w:cs="Times New Roman"/>
                <w:color w:val="auto"/>
                <w:sz w:val="24"/>
                <w:szCs w:val="32"/>
              </w:rPr>
              <w:t>0t/a</w:t>
            </w:r>
            <w:r>
              <w:rPr>
                <w:rFonts w:hint="eastAsia" w:ascii="Times New Roman" w:hAnsi="Times New Roman" w:eastAsia="宋体" w:cs="Times New Roman"/>
                <w:color w:val="auto"/>
                <w:sz w:val="24"/>
                <w:szCs w:val="32"/>
                <w:lang w:eastAsia="zh-CN"/>
              </w:rPr>
              <w:t>；颗粒物</w:t>
            </w:r>
            <w:r>
              <w:rPr>
                <w:rFonts w:hint="eastAsia" w:ascii="Times New Roman" w:hAnsi="Times New Roman" w:eastAsia="宋体" w:cs="Times New Roman"/>
                <w:color w:val="auto"/>
                <w:sz w:val="24"/>
                <w:szCs w:val="32"/>
                <w:lang w:val="en-US" w:eastAsia="zh-CN"/>
              </w:rPr>
              <w:t xml:space="preserve"> 0t/a</w:t>
            </w:r>
            <w:r>
              <w:rPr>
                <w:rFonts w:hint="eastAsia" w:ascii="Times New Roman" w:hAnsi="Times New Roman" w:eastAsia="宋体" w:cs="Times New Roman"/>
                <w:color w:val="auto"/>
                <w:sz w:val="24"/>
                <w:szCs w:val="32"/>
                <w:lang w:eastAsia="zh-CN"/>
              </w:rPr>
              <w:t>。</w:t>
            </w:r>
          </w:p>
        </w:tc>
      </w:tr>
    </w:tbl>
    <w:p>
      <w:pPr>
        <w:pStyle w:val="23"/>
        <w:jc w:val="center"/>
        <w:outlineLvl w:val="0"/>
        <w:rPr>
          <w:rFonts w:hint="eastAsia" w:ascii="黑体" w:hAnsi="黑体" w:eastAsia="黑体"/>
          <w:snapToGrid w:val="0"/>
          <w:color w:val="auto"/>
          <w:sz w:val="30"/>
          <w:szCs w:val="30"/>
          <w:lang w:eastAsia="zh-CN"/>
        </w:rPr>
      </w:pPr>
      <w:r>
        <w:rPr>
          <w:rFonts w:ascii="黑体" w:hAnsi="黑体" w:eastAsia="黑体"/>
          <w:snapToGrid w:val="0"/>
          <w:color w:val="auto"/>
          <w:sz w:val="36"/>
          <w:szCs w:val="36"/>
        </w:rPr>
        <w:br w:type="page"/>
      </w:r>
      <w:bookmarkStart w:id="4" w:name="_Toc10903"/>
      <w:r>
        <w:rPr>
          <w:rFonts w:hint="eastAsia" w:ascii="黑体" w:hAnsi="黑体" w:eastAsia="黑体"/>
          <w:snapToGrid w:val="0"/>
          <w:color w:val="auto"/>
          <w:sz w:val="30"/>
          <w:szCs w:val="30"/>
        </w:rPr>
        <w:t>四、</w:t>
      </w:r>
      <w:r>
        <w:rPr>
          <w:rFonts w:hint="eastAsia" w:ascii="黑体" w:hAnsi="黑体" w:eastAsia="黑体"/>
          <w:snapToGrid w:val="0"/>
          <w:color w:val="auto"/>
          <w:sz w:val="30"/>
          <w:szCs w:val="30"/>
          <w:lang w:eastAsia="zh-CN"/>
        </w:rPr>
        <w:t>生态环境影响分析</w:t>
      </w:r>
      <w:bookmarkEnd w:id="4"/>
    </w:p>
    <w:tbl>
      <w:tblPr>
        <w:tblStyle w:val="27"/>
        <w:tblW w:w="8908"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607"/>
        <w:gridCol w:w="830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854" w:hRule="atLeast"/>
          <w:jc w:val="center"/>
        </w:trPr>
        <w:tc>
          <w:tcPr>
            <w:tcW w:w="607" w:type="dxa"/>
            <w:noWrap w:val="0"/>
            <w:tcMar>
              <w:left w:w="28" w:type="dxa"/>
              <w:right w:w="28" w:type="dxa"/>
            </w:tcMar>
            <w:vAlign w:val="center"/>
          </w:tcPr>
          <w:p>
            <w:pPr>
              <w:pStyle w:val="23"/>
              <w:keepNext w:val="0"/>
              <w:keepLines w:val="0"/>
              <w:suppressLineNumbers w:val="0"/>
              <w:adjustRightInd w:val="0"/>
              <w:snapToGrid w:val="0"/>
              <w:spacing w:before="0" w:beforeAutospacing="0" w:after="0" w:afterAutospacing="0"/>
              <w:ind w:left="0" w:right="0"/>
              <w:jc w:val="center"/>
              <w:rPr>
                <w:rFonts w:ascii="Times New Roman" w:hAnsi="Times New Roman"/>
                <w:bCs/>
                <w:color w:val="auto"/>
                <w:kern w:val="2"/>
                <w:sz w:val="21"/>
                <w:szCs w:val="21"/>
              </w:rPr>
            </w:pPr>
            <w:r>
              <w:rPr>
                <w:rFonts w:hint="eastAsia" w:ascii="Times New Roman" w:hAnsi="Times New Roman"/>
                <w:color w:val="auto"/>
                <w:kern w:val="2"/>
                <w:sz w:val="21"/>
                <w:szCs w:val="21"/>
              </w:rPr>
              <w:t>施工期生态环境影响分析</w:t>
            </w:r>
          </w:p>
        </w:tc>
        <w:tc>
          <w:tcPr>
            <w:tcW w:w="8301" w:type="dxa"/>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rPr>
            </w:pPr>
            <w:r>
              <w:rPr>
                <w:rFonts w:hint="eastAsia" w:ascii="Times New Roman" w:hAnsi="Times New Roman" w:eastAsia="宋体" w:cs="Times New Roman"/>
                <w:color w:val="auto"/>
                <w:kern w:val="24"/>
                <w:sz w:val="24"/>
                <w:szCs w:val="24"/>
                <w:lang w:val="en-US" w:eastAsia="zh-CN"/>
              </w:rPr>
              <w:t>本项目施工期为18个月，施工内容主要为清理地表、场地平整、材料堆存、地基开挖、结构施工、设备安装调试等。在此期间将产生扬尘、施工废水、噪声、固体废物等。此外，施工物料的运输也将对运输路线两侧一定范围内大气、声环境产生不利影响。</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2" w:firstLineChars="200"/>
              <w:textAlignment w:val="auto"/>
              <w:rPr>
                <w:rFonts w:hint="eastAsia" w:ascii="Times New Roman" w:hAnsi="Times New Roman" w:eastAsia="宋体" w:cs="Times New Roman"/>
                <w:color w:val="auto"/>
                <w:kern w:val="24"/>
                <w:sz w:val="24"/>
                <w:szCs w:val="24"/>
              </w:rPr>
            </w:pPr>
            <w:r>
              <w:rPr>
                <w:rFonts w:hint="eastAsia" w:ascii="Times New Roman" w:hAnsi="Times New Roman" w:eastAsia="宋体" w:cs="Times New Roman"/>
                <w:b/>
                <w:bCs/>
                <w:color w:val="auto"/>
                <w:kern w:val="24"/>
                <w:sz w:val="24"/>
                <w:szCs w:val="24"/>
                <w:lang w:val="en-US" w:eastAsia="zh-CN"/>
              </w:rPr>
              <w:t>1、生态环境影响分析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rPr>
            </w:pPr>
            <w:r>
              <w:rPr>
                <w:rFonts w:hint="eastAsia" w:ascii="Times New Roman" w:hAnsi="Times New Roman" w:eastAsia="宋体" w:cs="Times New Roman"/>
                <w:color w:val="auto"/>
                <w:kern w:val="24"/>
                <w:sz w:val="24"/>
                <w:szCs w:val="24"/>
                <w:lang w:val="en-US" w:eastAsia="zh-CN"/>
              </w:rPr>
              <w:t>本项目沿线生态环境评价范围内不涉及自然保护区、风景名胜区、文物古迹保护单位等其它敏感区域。</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rPr>
            </w:pPr>
            <w:r>
              <w:rPr>
                <w:rFonts w:hint="eastAsia" w:ascii="Times New Roman" w:hAnsi="Times New Roman" w:eastAsia="宋体" w:cs="Times New Roman"/>
                <w:color w:val="auto"/>
                <w:kern w:val="24"/>
                <w:sz w:val="24"/>
                <w:szCs w:val="24"/>
                <w:lang w:val="en-US" w:eastAsia="zh-CN"/>
              </w:rPr>
              <w:t>生态影响主要表现在施工过程中临时料场、临时道路、机械停放地造成的土地现状发生改变，项目沿线土地为在建工业企业、盐碱荒地，无植被，无野生动物。</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highlight w:val="none"/>
              </w:rPr>
            </w:pPr>
            <w:r>
              <w:rPr>
                <w:rFonts w:hint="eastAsia" w:ascii="Times New Roman" w:hAnsi="Times New Roman" w:eastAsia="宋体" w:cs="Times New Roman"/>
                <w:color w:val="auto"/>
                <w:kern w:val="24"/>
                <w:sz w:val="24"/>
                <w:szCs w:val="24"/>
                <w:highlight w:val="none"/>
                <w:lang w:val="en-US" w:eastAsia="zh-CN"/>
              </w:rPr>
              <w:t xml:space="preserve">占地主要为施工道路、施工营地占地，为临时占地，施工结束后恢复现状，不会对周边生态环境产生影响。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2" w:firstLineChars="200"/>
              <w:textAlignment w:val="auto"/>
              <w:rPr>
                <w:rFonts w:hint="eastAsia" w:ascii="Times New Roman" w:hAnsi="Times New Roman" w:eastAsia="宋体" w:cs="Times New Roman"/>
                <w:b/>
                <w:bCs/>
                <w:color w:val="auto"/>
                <w:kern w:val="24"/>
                <w:sz w:val="24"/>
                <w:szCs w:val="24"/>
              </w:rPr>
            </w:pPr>
            <w:r>
              <w:rPr>
                <w:rFonts w:hint="eastAsia" w:ascii="Times New Roman" w:hAnsi="Times New Roman" w:eastAsia="宋体" w:cs="Times New Roman"/>
                <w:b/>
                <w:bCs/>
                <w:color w:val="auto"/>
                <w:kern w:val="24"/>
                <w:sz w:val="24"/>
                <w:szCs w:val="24"/>
                <w:lang w:val="en-US" w:eastAsia="zh-CN"/>
              </w:rPr>
              <w:t xml:space="preserve">2、施工期扬尘影响分析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rPr>
            </w:pPr>
            <w:r>
              <w:rPr>
                <w:rFonts w:hint="eastAsia" w:ascii="Times New Roman" w:hAnsi="Times New Roman" w:eastAsia="宋体" w:cs="Times New Roman"/>
                <w:color w:val="auto"/>
                <w:kern w:val="24"/>
                <w:sz w:val="24"/>
                <w:szCs w:val="24"/>
                <w:lang w:val="en-US" w:eastAsia="zh-CN"/>
              </w:rPr>
              <w:t xml:space="preserve">本项目施工期扬尘主要为清理地表、场地平整、地基开挖、结构施工等过程中液压挖掘机、推土机、平地机及装载机等设备作业、材料装运和堆存、施工垃圾装运和堆存等施工作业产生的扬尘；同时运输车辆进出工地，车辆轮胎不可避免的将工地的泥土带出，遗洒在车辆经过的路面，在其它车辆通过时产生二次扬尘。上述施工扬尘若不采取有效控制措施，可能对周边环境空气产生污染影响。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 xml:space="preserve">为有效控制扬尘污染，本评价要求项目建设及施工单位严格执行《河北省扬尘污染防治办法》（河北省人民政府令〔2020〕第 1 号）、《河北省人民政府关于印发河北省打赢蓝天保卫战三年行动方案的通知》（冀政发〔2018〕18号）、《河北省大气污染防治条例》（2016年1月13日）、《中共河北省委河北省人民政府关于强化推进大气污染综合治理的意见》（冀发〔2017〕7号）、《关于印发&lt;河北省 2018 年建筑施工与城市道路扬尘整治工作方案&gt;的通知》（冀建安〔2018〕8 号）、《关于&lt;进一步加强建筑施工与城市道路扬尘整治工作&gt;的通知》（冀建安〔2018〕19 号）、《唐山市重污染天气预警应急预案》及修订的通知（唐政办字〔2019〕90 号），同时结合《防治城市扬尘污染技术规范》（HJ/T393-2007）、《施工场地扬尘排放标准》（DB13/2934-2019）及同类施工场地采取的抑尘措施，对项目施工提出扬尘控制要求。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通过采取抑尘措施后，可较大限度的降低施工扬尘对周围环境的影响。</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3、施工期废水影响分析</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本项目施工期废水主要是混凝土养护废水、设备清洗废水和施工人员的生活污水。由于混凝土养护废水与设备清洗产生的废水量较小，且主要污染物为泥沙，施工过程中在临时施工区设置沉淀池，设备清洗废水经沉淀池处理后，回用于施工场地洒水抑尘，不外排，不会对周围环境产生明显影响。</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施工现场厕所采用防渗旱厕，定期清掏。施工生活污水主要为施工人员的盥洗废水，废水产生量较少，可用于场地泼洒抑尘。</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因此，本项目施工期不会对地表水体产生明显影响。</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 xml:space="preserve">4、施工期噪声影响分析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 xml:space="preserve">（1）施工期噪声源强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本项目施工期主要噪声源有施工机械噪声和车辆运输噪声两大类，其中主要施工机械有推土机、夯土机、吊装车等，同时在施工过程中设备、建材的运输将动用大量的运输车辆，特别是载重汽车的噪声辐射强度较高，频繁经过施工现场、施工便道等对周围声环境产生干扰。主要施工机械和运输车辆在作业过程中的最大声级见下表。</w:t>
            </w:r>
          </w:p>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firstLine="0" w:firstLineChars="0"/>
              <w:jc w:val="center"/>
              <w:textAlignment w:val="auto"/>
              <w:rPr>
                <w:rFonts w:hint="eastAsia" w:ascii="Calibri" w:hAnsi="Calibri" w:eastAsia="宋体" w:cs="Times New Roman"/>
                <w:b/>
                <w:bCs/>
                <w:strike w:val="0"/>
                <w:dstrike w:val="0"/>
                <w:sz w:val="21"/>
                <w:szCs w:val="21"/>
                <w:lang w:val="en-US" w:eastAsia="zh-CN"/>
              </w:rPr>
            </w:pPr>
            <w:r>
              <w:rPr>
                <w:rFonts w:hint="eastAsia" w:ascii="Times New Roman" w:hAnsi="Times New Roman" w:eastAsia="宋体" w:cs="Times New Roman"/>
                <w:b/>
                <w:bCs/>
                <w:strike w:val="0"/>
                <w:dstrike w:val="0"/>
                <w:color w:val="auto"/>
                <w:kern w:val="24"/>
                <w:sz w:val="21"/>
                <w:szCs w:val="21"/>
                <w:lang w:val="en-US" w:eastAsia="zh-CN"/>
              </w:rPr>
              <w:t>表4-1  各类施工机械噪声源强</w:t>
            </w:r>
          </w:p>
          <w:tbl>
            <w:tblPr>
              <w:tblStyle w:val="2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286"/>
              <w:gridCol w:w="2085"/>
              <w:gridCol w:w="2251"/>
              <w:gridCol w:w="243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5" w:hRule="atLeast"/>
              </w:trPr>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序号</w:t>
                  </w:r>
                </w:p>
              </w:tc>
              <w:tc>
                <w:tcPr>
                  <w:tcW w:w="129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机械名称</w:t>
                  </w:r>
                </w:p>
              </w:tc>
              <w:tc>
                <w:tcPr>
                  <w:tcW w:w="13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测点与声源距离</w:t>
                  </w:r>
                </w:p>
              </w:tc>
              <w:tc>
                <w:tcPr>
                  <w:tcW w:w="151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最大声级dB（A）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1</w:t>
                  </w:r>
                </w:p>
              </w:tc>
              <w:tc>
                <w:tcPr>
                  <w:tcW w:w="129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推土机</w:t>
                  </w:r>
                </w:p>
              </w:tc>
              <w:tc>
                <w:tcPr>
                  <w:tcW w:w="13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1</w:t>
                  </w:r>
                </w:p>
              </w:tc>
              <w:tc>
                <w:tcPr>
                  <w:tcW w:w="151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85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2</w:t>
                  </w:r>
                </w:p>
              </w:tc>
              <w:tc>
                <w:tcPr>
                  <w:tcW w:w="129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夯土机</w:t>
                  </w:r>
                </w:p>
              </w:tc>
              <w:tc>
                <w:tcPr>
                  <w:tcW w:w="13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1</w:t>
                  </w:r>
                </w:p>
              </w:tc>
              <w:tc>
                <w:tcPr>
                  <w:tcW w:w="151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3</w:t>
                  </w:r>
                </w:p>
              </w:tc>
              <w:tc>
                <w:tcPr>
                  <w:tcW w:w="129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吊装机</w:t>
                  </w:r>
                </w:p>
              </w:tc>
              <w:tc>
                <w:tcPr>
                  <w:tcW w:w="13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1</w:t>
                  </w:r>
                </w:p>
              </w:tc>
              <w:tc>
                <w:tcPr>
                  <w:tcW w:w="151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90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79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w:t>
                  </w:r>
                </w:p>
              </w:tc>
              <w:tc>
                <w:tcPr>
                  <w:tcW w:w="129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载重汽车</w:t>
                  </w:r>
                </w:p>
              </w:tc>
              <w:tc>
                <w:tcPr>
                  <w:tcW w:w="139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1</w:t>
                  </w:r>
                </w:p>
              </w:tc>
              <w:tc>
                <w:tcPr>
                  <w:tcW w:w="1510"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90</w:t>
                  </w:r>
                </w:p>
              </w:tc>
            </w:tr>
          </w:tbl>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（1）施工噪声预测</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 xml:space="preserve">鉴于施工过程产噪声源的复杂性，以及施工噪声影响的区域性和阶段性，本评价针对不同施工阶段计算出不同施工设备的噪声污染范围，以便施工单位在施工过程中结合实际情况采取适当的噪声污染防治措施。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由于各施工机械中心与预测点的距离超过声源最大几何尺寸的2倍，因此各声源可近似视为点声源处理，根据点声源噪声衰减模式，估算出离声源不同距离处的噪声值，计算中不考虑声屏障、空气吸收等衰减，预测模式如下：</w:t>
            </w:r>
          </w:p>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firstLine="0" w:firstLineChars="0"/>
              <w:jc w:val="center"/>
              <w:textAlignment w:val="auto"/>
              <w:rPr>
                <w:rFonts w:hint="eastAsia" w:ascii="Times New Roman" w:hAnsi="Times New Roman" w:eastAsia="宋体" w:cs="Times New Roman"/>
                <w:b/>
                <w:bCs/>
                <w:strike w:val="0"/>
                <w:dstrike w:val="0"/>
                <w:color w:val="auto"/>
                <w:kern w:val="24"/>
                <w:sz w:val="21"/>
                <w:szCs w:val="21"/>
                <w:lang w:val="en-US" w:eastAsia="zh-CN"/>
              </w:rPr>
            </w:pPr>
            <w:r>
              <w:rPr>
                <w:rFonts w:hint="eastAsia" w:ascii="Times New Roman" w:hAnsi="Times New Roman" w:eastAsia="宋体" w:cs="Times New Roman"/>
                <w:b/>
                <w:bCs/>
                <w:strike w:val="0"/>
                <w:dstrike w:val="0"/>
                <w:color w:val="auto"/>
                <w:kern w:val="24"/>
                <w:sz w:val="21"/>
                <w:szCs w:val="21"/>
                <w:lang w:val="en-US" w:eastAsia="zh-CN"/>
              </w:rPr>
              <w:t>表4-2  主要施工机械在不同距离处的噪声预测值。</w:t>
            </w:r>
          </w:p>
          <w:tbl>
            <w:tblPr>
              <w:tblStyle w:val="2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27"/>
              <w:gridCol w:w="1100"/>
              <w:gridCol w:w="717"/>
              <w:gridCol w:w="722"/>
              <w:gridCol w:w="722"/>
              <w:gridCol w:w="723"/>
              <w:gridCol w:w="723"/>
              <w:gridCol w:w="723"/>
              <w:gridCol w:w="723"/>
              <w:gridCol w:w="752"/>
              <w:gridCol w:w="72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7" w:hRule="atLeast"/>
              </w:trPr>
              <w:tc>
                <w:tcPr>
                  <w:tcW w:w="208"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序号</w:t>
                  </w:r>
                </w:p>
              </w:tc>
              <w:tc>
                <w:tcPr>
                  <w:tcW w:w="689"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机械名称</w:t>
                  </w:r>
                </w:p>
              </w:tc>
              <w:tc>
                <w:tcPr>
                  <w:tcW w:w="3647" w:type="pct"/>
                  <w:gridSpan w:val="8"/>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不同距离处的噪声预测值dB（A）</w:t>
                  </w:r>
                </w:p>
              </w:tc>
              <w:tc>
                <w:tcPr>
                  <w:tcW w:w="454"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施工阶段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67" w:hRule="atLeast"/>
              </w:trPr>
              <w:tc>
                <w:tcPr>
                  <w:tcW w:w="208"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ascii="Calibri" w:hAnsi="Calibri" w:eastAsia="宋体" w:cs="Times New Roman"/>
                      <w:b/>
                      <w:bCs/>
                    </w:rPr>
                  </w:pPr>
                </w:p>
              </w:tc>
              <w:tc>
                <w:tcPr>
                  <w:tcW w:w="689"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ascii="Calibri" w:hAnsi="Calibri" w:eastAsia="宋体" w:cs="Times New Roman"/>
                      <w:b/>
                      <w:bCs/>
                    </w:rPr>
                  </w:pPr>
                </w:p>
              </w:tc>
              <w:tc>
                <w:tcPr>
                  <w:tcW w:w="45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40m</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60m</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100m</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130m</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200m</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240m</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300m</w:t>
                  </w:r>
                </w:p>
              </w:tc>
              <w:tc>
                <w:tcPr>
                  <w:tcW w:w="4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b/>
                      <w:bCs/>
                      <w:color w:val="auto"/>
                      <w:kern w:val="24"/>
                      <w:sz w:val="21"/>
                      <w:szCs w:val="21"/>
                      <w:vertAlign w:val="baseline"/>
                      <w:lang w:val="en-US" w:eastAsia="zh-CN"/>
                    </w:rPr>
                  </w:pPr>
                  <w:r>
                    <w:rPr>
                      <w:rFonts w:hint="eastAsia" w:ascii="Times New Roman" w:hAnsi="Times New Roman" w:eastAsia="宋体" w:cs="Times New Roman"/>
                      <w:b/>
                      <w:bCs/>
                      <w:color w:val="auto"/>
                      <w:kern w:val="24"/>
                      <w:sz w:val="21"/>
                      <w:szCs w:val="21"/>
                      <w:vertAlign w:val="baseline"/>
                      <w:lang w:val="en-US" w:eastAsia="zh-CN"/>
                    </w:rPr>
                    <w:t>400m</w:t>
                  </w:r>
                </w:p>
              </w:tc>
              <w:tc>
                <w:tcPr>
                  <w:tcW w:w="454"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b/>
                      <w:bCs/>
                      <w:color w:val="auto"/>
                      <w:kern w:val="24"/>
                      <w:sz w:val="21"/>
                      <w:szCs w:val="21"/>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1" w:hRule="atLeast"/>
              </w:trPr>
              <w:tc>
                <w:tcPr>
                  <w:tcW w:w="2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1</w:t>
                  </w:r>
                </w:p>
              </w:tc>
              <w:tc>
                <w:tcPr>
                  <w:tcW w:w="68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推土机</w:t>
                  </w:r>
                </w:p>
              </w:tc>
              <w:tc>
                <w:tcPr>
                  <w:tcW w:w="45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66</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62</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58</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55</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52</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48</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46</w:t>
                  </w:r>
                </w:p>
              </w:tc>
              <w:tc>
                <w:tcPr>
                  <w:tcW w:w="4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44</w:t>
                  </w:r>
                </w:p>
              </w:tc>
              <w:tc>
                <w:tcPr>
                  <w:tcW w:w="454"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土建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9" w:hRule="atLeast"/>
              </w:trPr>
              <w:tc>
                <w:tcPr>
                  <w:tcW w:w="2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2</w:t>
                  </w:r>
                </w:p>
              </w:tc>
              <w:tc>
                <w:tcPr>
                  <w:tcW w:w="68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夯土机</w:t>
                  </w:r>
                </w:p>
              </w:tc>
              <w:tc>
                <w:tcPr>
                  <w:tcW w:w="45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68</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64</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60</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57</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54</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50</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48</w:t>
                  </w:r>
                </w:p>
              </w:tc>
              <w:tc>
                <w:tcPr>
                  <w:tcW w:w="4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44</w:t>
                  </w:r>
                </w:p>
              </w:tc>
              <w:tc>
                <w:tcPr>
                  <w:tcW w:w="454"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18" w:hRule="atLeast"/>
              </w:trPr>
              <w:tc>
                <w:tcPr>
                  <w:tcW w:w="2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3</w:t>
                  </w:r>
                </w:p>
              </w:tc>
              <w:tc>
                <w:tcPr>
                  <w:tcW w:w="68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吊装车</w:t>
                  </w:r>
                </w:p>
              </w:tc>
              <w:tc>
                <w:tcPr>
                  <w:tcW w:w="45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68</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64</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60</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56</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54</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47</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45</w:t>
                  </w:r>
                </w:p>
              </w:tc>
              <w:tc>
                <w:tcPr>
                  <w:tcW w:w="4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44</w:t>
                  </w:r>
                </w:p>
              </w:tc>
              <w:tc>
                <w:tcPr>
                  <w:tcW w:w="454" w:type="pct"/>
                  <w:vMerge w:val="restar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建筑结构及设备安装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0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w:t>
                  </w:r>
                </w:p>
              </w:tc>
              <w:tc>
                <w:tcPr>
                  <w:tcW w:w="68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载重汽车</w:t>
                  </w:r>
                </w:p>
              </w:tc>
              <w:tc>
                <w:tcPr>
                  <w:tcW w:w="451"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66</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62</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58</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55</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52</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48</w:t>
                  </w:r>
                </w:p>
              </w:tc>
              <w:tc>
                <w:tcPr>
                  <w:tcW w:w="45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46</w:t>
                  </w:r>
                </w:p>
              </w:tc>
              <w:tc>
                <w:tcPr>
                  <w:tcW w:w="4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color w:val="auto"/>
                      <w:kern w:val="24"/>
                      <w:sz w:val="21"/>
                      <w:szCs w:val="21"/>
                      <w:vertAlign w:val="baseline"/>
                      <w:lang w:val="en-US" w:eastAsia="zh-CN"/>
                    </w:rPr>
                  </w:pPr>
                  <w:r>
                    <w:rPr>
                      <w:rFonts w:hint="eastAsia" w:ascii="Times New Roman" w:hAnsi="Times New Roman" w:eastAsia="宋体" w:cs="Times New Roman"/>
                      <w:color w:val="auto"/>
                      <w:kern w:val="24"/>
                      <w:sz w:val="21"/>
                      <w:szCs w:val="21"/>
                      <w:vertAlign w:val="baseline"/>
                      <w:lang w:val="en-US" w:eastAsia="zh-CN"/>
                    </w:rPr>
                    <w:t>44</w:t>
                  </w:r>
                </w:p>
              </w:tc>
              <w:tc>
                <w:tcPr>
                  <w:tcW w:w="454" w:type="pct"/>
                  <w:vMerge w:val="continue"/>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color w:val="auto"/>
                      <w:kern w:val="24"/>
                      <w:sz w:val="21"/>
                      <w:szCs w:val="21"/>
                      <w:vertAlign w:val="baseline"/>
                      <w:lang w:val="en-US" w:eastAsia="zh-CN"/>
                    </w:rPr>
                  </w:pPr>
                </w:p>
              </w:tc>
            </w:tr>
          </w:tbl>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由上述结果可知，本项目施工噪声会对周边环境产生一定的影响。</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kern w:val="24"/>
                <w:sz w:val="24"/>
                <w:szCs w:val="24"/>
                <w:lang w:val="en-US" w:eastAsia="zh-CN"/>
              </w:rPr>
            </w:pPr>
            <w:r>
              <w:rPr>
                <w:rFonts w:hint="eastAsia" w:ascii="Times New Roman" w:hAnsi="Times New Roman" w:eastAsia="宋体" w:cs="Times New Roman"/>
                <w:color w:val="auto"/>
                <w:kern w:val="24"/>
                <w:sz w:val="24"/>
                <w:szCs w:val="24"/>
                <w:lang w:val="en-US" w:eastAsia="zh-CN"/>
              </w:rPr>
              <w:t xml:space="preserve">5、施工期固体废物影响分析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80" w:firstLineChars="200"/>
              <w:textAlignment w:val="auto"/>
              <w:rPr>
                <w:rFonts w:ascii="Times New Roman" w:hAnsi="Times New Roman" w:eastAsia="宋体" w:cs="Times New Roman"/>
                <w:bCs/>
                <w:color w:val="auto"/>
                <w:spacing w:val="-10"/>
                <w:szCs w:val="21"/>
              </w:rPr>
            </w:pPr>
            <w:r>
              <w:rPr>
                <w:rFonts w:hint="eastAsia" w:ascii="Times New Roman" w:hAnsi="Times New Roman" w:eastAsia="宋体" w:cs="Times New Roman"/>
                <w:color w:val="auto"/>
                <w:kern w:val="24"/>
                <w:sz w:val="24"/>
                <w:szCs w:val="24"/>
                <w:lang w:val="en-US" w:eastAsia="zh-CN"/>
              </w:rPr>
              <w:t>施工期固体废物主要有建筑垃圾及施工人员产生的生活垃圾。根据《国家危险废物名录》、《危险废物鉴别标准 通则》(GB5085.7-2019）及《危险废物鉴别技术规范》(HJ298-2019)，施工过程中产生的固体废物均不属于危险废物。其中，建筑垃圾运至城市管理部门指定的消纳场地处置；施工人员的生活垃圾定点收集，送环卫部门指定地点处置。因此，施工期产生的固体废物可全部妥善处置，不会对周围环境产生明显影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439" w:hRule="atLeast"/>
          <w:jc w:val="center"/>
        </w:trPr>
        <w:tc>
          <w:tcPr>
            <w:tcW w:w="607" w:type="dxa"/>
            <w:noWrap w:val="0"/>
            <w:tcMar>
              <w:left w:w="28" w:type="dxa"/>
              <w:right w:w="28" w:type="dxa"/>
            </w:tcMar>
            <w:vAlign w:val="center"/>
          </w:tcPr>
          <w:p>
            <w:pPr>
              <w:keepNext w:val="0"/>
              <w:keepLines w:val="0"/>
              <w:suppressLineNumbers w:val="0"/>
              <w:adjustRightInd w:val="0"/>
              <w:snapToGrid w:val="0"/>
              <w:spacing w:before="0" w:beforeAutospacing="0" w:after="0" w:afterAutospacing="0"/>
              <w:ind w:left="0" w:right="0"/>
              <w:jc w:val="center"/>
              <w:rPr>
                <w:rFonts w:ascii="Times New Roman" w:hAnsi="Times New Roman" w:eastAsia="宋体" w:cs="Times New Roman"/>
                <w:color w:val="auto"/>
                <w:szCs w:val="21"/>
              </w:rPr>
            </w:pPr>
            <w:r>
              <w:rPr>
                <w:rFonts w:ascii="Times New Roman" w:hAnsi="Times New Roman" w:eastAsia="宋体" w:cs="Times New Roman"/>
                <w:bCs/>
                <w:color w:val="auto"/>
                <w:szCs w:val="21"/>
              </w:rPr>
              <w:t>运营期环境影响和保护措施</w:t>
            </w:r>
          </w:p>
        </w:tc>
        <w:tc>
          <w:tcPr>
            <w:tcW w:w="8301" w:type="dxa"/>
            <w:noWrap w:val="0"/>
            <w:vAlign w:val="center"/>
          </w:tcPr>
          <w:p>
            <w:pPr>
              <w:pStyle w:val="14"/>
              <w:keepNext w:val="0"/>
              <w:keepLines w:val="0"/>
              <w:pageBreakBefore w:val="0"/>
              <w:widowControl/>
              <w:kinsoku/>
              <w:wordWrap/>
              <w:overflowPunct/>
              <w:topLinePunct w:val="0"/>
              <w:bidi w:val="0"/>
              <w:spacing w:line="500" w:lineRule="exact"/>
              <w:textAlignment w:val="auto"/>
              <w:rPr>
                <w:rFonts w:hint="eastAsia" w:ascii="Times New Roman" w:hAnsi="Times New Roman" w:eastAsia="宋体" w:cs="Times New Roman"/>
                <w:b/>
                <w:bCs/>
                <w:color w:val="auto"/>
                <w:sz w:val="24"/>
                <w:szCs w:val="24"/>
                <w:lang w:eastAsia="zh-CN"/>
              </w:rPr>
            </w:pPr>
            <w:r>
              <w:rPr>
                <w:rFonts w:hint="eastAsia" w:ascii="Times New Roman" w:hAnsi="Times New Roman" w:cs="Times New Roman"/>
                <w:b/>
                <w:bCs/>
                <w:color w:val="auto"/>
                <w:sz w:val="24"/>
                <w:szCs w:val="24"/>
                <w:lang w:val="en-US" w:eastAsia="zh-CN"/>
              </w:rPr>
              <w:t>1、</w:t>
            </w:r>
            <w:r>
              <w:rPr>
                <w:rFonts w:hint="default" w:ascii="Times New Roman" w:hAnsi="Times New Roman" w:cs="Times New Roman"/>
                <w:b/>
                <w:bCs/>
                <w:color w:val="auto"/>
                <w:sz w:val="24"/>
                <w:szCs w:val="24"/>
              </w:rPr>
              <w:t xml:space="preserve"> </w:t>
            </w:r>
            <w:r>
              <w:rPr>
                <w:rFonts w:hint="eastAsia" w:ascii="Times New Roman" w:hAnsi="Times New Roman" w:cs="Times New Roman"/>
                <w:b/>
                <w:bCs/>
                <w:color w:val="auto"/>
                <w:sz w:val="24"/>
                <w:szCs w:val="24"/>
                <w:lang w:eastAsia="zh-CN"/>
              </w:rPr>
              <w:t>生态环境影响分析</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r>
              <w:rPr>
                <w:rFonts w:hint="eastAsia" w:ascii="Times New Roman" w:hAnsi="Times New Roman" w:eastAsia="宋体" w:cs="Times New Roman"/>
                <w:bCs/>
                <w:snapToGrid w:val="0"/>
                <w:color w:val="auto"/>
                <w:spacing w:val="0"/>
                <w:sz w:val="24"/>
                <w:szCs w:val="24"/>
                <w:lang w:val="en-US" w:eastAsia="zh-CN"/>
              </w:rPr>
              <w:t>（</w:t>
            </w:r>
            <w:r>
              <w:rPr>
                <w:rFonts w:hint="default" w:ascii="Times New Roman" w:hAnsi="Times New Roman" w:eastAsia="宋体" w:cs="Times New Roman"/>
                <w:bCs/>
                <w:snapToGrid w:val="0"/>
                <w:color w:val="auto"/>
                <w:spacing w:val="0"/>
                <w:sz w:val="24"/>
                <w:szCs w:val="24"/>
                <w:lang w:val="en-US" w:eastAsia="zh-CN"/>
              </w:rPr>
              <w:t>1</w:t>
            </w:r>
            <w:r>
              <w:rPr>
                <w:rFonts w:hint="eastAsia" w:ascii="Times New Roman" w:hAnsi="Times New Roman" w:eastAsia="宋体" w:cs="Times New Roman"/>
                <w:bCs/>
                <w:snapToGrid w:val="0"/>
                <w:color w:val="auto"/>
                <w:spacing w:val="0"/>
                <w:sz w:val="24"/>
                <w:szCs w:val="24"/>
                <w:lang w:val="en-US" w:eastAsia="zh-CN"/>
              </w:rPr>
              <w:t xml:space="preserve">）生态系统类型 </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r>
              <w:rPr>
                <w:rFonts w:hint="eastAsia" w:ascii="Times New Roman" w:hAnsi="Times New Roman" w:eastAsia="宋体" w:cs="Times New Roman"/>
                <w:bCs/>
                <w:snapToGrid w:val="0"/>
                <w:color w:val="auto"/>
                <w:spacing w:val="0"/>
                <w:sz w:val="24"/>
                <w:szCs w:val="24"/>
                <w:lang w:val="en-US" w:eastAsia="zh-CN"/>
              </w:rPr>
              <w:t xml:space="preserve">本项目所在区域位于河北唐山海港经济开发区，占地现状主要为空地及绿化带，周边主要为人工生态系统，以仓储物流和工业生产为主要功能。评价范围内无自然保护区、世界文化遗产、自然遗产等特殊生态敏感区和风景名胜区、森林公园、地质公园、重要湿地、原始天然林、珍稀濒危野生动植物天然集中分布区，生态敏感程度一般。 </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r>
              <w:rPr>
                <w:rFonts w:hint="eastAsia" w:ascii="Times New Roman" w:hAnsi="Times New Roman" w:eastAsia="宋体" w:cs="Times New Roman"/>
                <w:bCs/>
                <w:snapToGrid w:val="0"/>
                <w:color w:val="auto"/>
                <w:spacing w:val="0"/>
                <w:sz w:val="24"/>
                <w:szCs w:val="24"/>
                <w:lang w:val="en-US" w:eastAsia="zh-CN"/>
              </w:rPr>
              <w:t>（</w:t>
            </w:r>
            <w:r>
              <w:rPr>
                <w:rFonts w:hint="default" w:ascii="Times New Roman" w:hAnsi="Times New Roman" w:eastAsia="宋体" w:cs="Times New Roman"/>
                <w:bCs/>
                <w:snapToGrid w:val="0"/>
                <w:color w:val="auto"/>
                <w:spacing w:val="0"/>
                <w:sz w:val="24"/>
                <w:szCs w:val="24"/>
                <w:lang w:val="en-US" w:eastAsia="zh-CN"/>
              </w:rPr>
              <w:t>2</w:t>
            </w:r>
            <w:r>
              <w:rPr>
                <w:rFonts w:hint="eastAsia" w:ascii="Times New Roman" w:hAnsi="Times New Roman" w:eastAsia="宋体" w:cs="Times New Roman"/>
                <w:bCs/>
                <w:snapToGrid w:val="0"/>
                <w:color w:val="auto"/>
                <w:spacing w:val="0"/>
                <w:sz w:val="24"/>
                <w:szCs w:val="24"/>
                <w:lang w:val="en-US" w:eastAsia="zh-CN"/>
              </w:rPr>
              <w:t xml:space="preserve">）动植物资源调查 </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r>
              <w:rPr>
                <w:rFonts w:hint="eastAsia" w:ascii="Times New Roman" w:hAnsi="Times New Roman" w:eastAsia="宋体" w:cs="Times New Roman"/>
                <w:bCs/>
                <w:snapToGrid w:val="0"/>
                <w:color w:val="auto"/>
                <w:spacing w:val="0"/>
                <w:sz w:val="24"/>
                <w:szCs w:val="24"/>
                <w:lang w:val="en-US" w:eastAsia="zh-CN"/>
              </w:rPr>
              <w:t xml:space="preserve">本项目周边区域受人类干扰较大，野生动物种类较少，没有大型野生哺乳动物，现有野生动物多为一些常见的鸟类及啮齿类动物等。区域土壤主要为滨海盐土，不利于植物生长，植物主要为绿化植被，物种丰富度一般。 </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r>
              <w:rPr>
                <w:rFonts w:hint="eastAsia" w:ascii="Times New Roman" w:hAnsi="Times New Roman" w:eastAsia="宋体" w:cs="Times New Roman"/>
                <w:bCs/>
                <w:snapToGrid w:val="0"/>
                <w:color w:val="auto"/>
                <w:spacing w:val="0"/>
                <w:sz w:val="24"/>
                <w:szCs w:val="24"/>
                <w:lang w:val="en-US" w:eastAsia="zh-CN"/>
              </w:rPr>
              <w:t>（</w:t>
            </w:r>
            <w:r>
              <w:rPr>
                <w:rFonts w:hint="default" w:ascii="Times New Roman" w:hAnsi="Times New Roman" w:eastAsia="宋体" w:cs="Times New Roman"/>
                <w:bCs/>
                <w:snapToGrid w:val="0"/>
                <w:color w:val="auto"/>
                <w:spacing w:val="0"/>
                <w:sz w:val="24"/>
                <w:szCs w:val="24"/>
                <w:lang w:val="en-US" w:eastAsia="zh-CN"/>
              </w:rPr>
              <w:t>3</w:t>
            </w:r>
            <w:r>
              <w:rPr>
                <w:rFonts w:hint="eastAsia" w:ascii="Times New Roman" w:hAnsi="Times New Roman" w:eastAsia="宋体" w:cs="Times New Roman"/>
                <w:bCs/>
                <w:snapToGrid w:val="0"/>
                <w:color w:val="auto"/>
                <w:spacing w:val="0"/>
                <w:sz w:val="24"/>
                <w:szCs w:val="24"/>
                <w:lang w:val="en-US" w:eastAsia="zh-CN"/>
              </w:rPr>
              <w:t xml:space="preserve">）生态环境影响评价 </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本项目廊道架空设置，不会造成阻隔，对沿线的动物基本无影响，对植被影响主要为廊道管护人员日常维护过程中对沿途植被的踩踏、破坏，为减轻对廊道沿线植被造成破坏，避免对廊道沿线生态环境造成不良影响。</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2" w:firstLineChars="200"/>
              <w:textAlignment w:val="auto"/>
              <w:rPr>
                <w:rFonts w:hint="eastAsia" w:ascii="Times New Roman" w:hAnsi="Times New Roman" w:eastAsia="宋体" w:cs="Times New Roman"/>
                <w:b/>
                <w:bCs w:val="0"/>
                <w:snapToGrid w:val="0"/>
                <w:color w:val="auto"/>
                <w:spacing w:val="0"/>
                <w:sz w:val="24"/>
                <w:szCs w:val="24"/>
                <w:lang w:val="en-US" w:eastAsia="zh-CN"/>
              </w:rPr>
            </w:pPr>
            <w:r>
              <w:rPr>
                <w:rFonts w:hint="eastAsia" w:ascii="Times New Roman" w:hAnsi="Times New Roman" w:eastAsia="宋体" w:cs="Times New Roman"/>
                <w:b/>
                <w:bCs w:val="0"/>
                <w:snapToGrid w:val="0"/>
                <w:color w:val="auto"/>
                <w:spacing w:val="0"/>
                <w:sz w:val="24"/>
                <w:szCs w:val="24"/>
                <w:lang w:val="en-US" w:eastAsia="zh-CN"/>
              </w:rPr>
              <w:t xml:space="preserve">2、废气影响分析 </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 xml:space="preserve">2.1 大气污染物及治理措施 </w:t>
            </w:r>
          </w:p>
          <w:p>
            <w:pPr>
              <w:keepNext w:val="0"/>
              <w:keepLines w:val="0"/>
              <w:pageBreakBefore w:val="0"/>
              <w:suppressLineNumbers w:val="0"/>
              <w:kinsoku/>
              <w:wordWrap/>
              <w:overflowPunct/>
              <w:topLinePunct w:val="0"/>
              <w:bidi w:val="0"/>
              <w:spacing w:before="0" w:beforeAutospacing="0" w:after="0" w:afterAutospacing="0" w:line="500" w:lineRule="exact"/>
              <w:ind w:left="0" w:right="0" w:firstLine="480" w:firstLineChars="200"/>
              <w:textAlignment w:val="auto"/>
              <w:rPr>
                <w:rFonts w:hint="default"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物料在转接机房转运过程中</w:t>
            </w:r>
            <w:r>
              <w:rPr>
                <w:rFonts w:hint="default" w:ascii="Times New Roman" w:hAnsi="Times New Roman" w:eastAsia="宋体" w:cs="Times New Roman"/>
                <w:bCs/>
                <w:snapToGrid w:val="0"/>
                <w:color w:val="auto"/>
                <w:spacing w:val="0"/>
                <w:sz w:val="24"/>
                <w:szCs w:val="24"/>
                <w:lang w:val="en-US" w:eastAsia="zh-CN"/>
              </w:rPr>
              <w:t>会产生一定量的</w:t>
            </w:r>
            <w:r>
              <w:rPr>
                <w:rFonts w:hint="eastAsia" w:cs="Times New Roman"/>
                <w:bCs/>
                <w:snapToGrid w:val="0"/>
                <w:color w:val="auto"/>
                <w:spacing w:val="0"/>
                <w:sz w:val="24"/>
                <w:szCs w:val="24"/>
                <w:lang w:val="en-US" w:eastAsia="zh-CN"/>
              </w:rPr>
              <w:t>上料、</w:t>
            </w:r>
            <w:r>
              <w:rPr>
                <w:rFonts w:hint="default" w:ascii="Times New Roman" w:hAnsi="Times New Roman" w:eastAsia="宋体" w:cs="Times New Roman"/>
                <w:bCs/>
                <w:snapToGrid w:val="0"/>
                <w:color w:val="auto"/>
                <w:spacing w:val="0"/>
                <w:sz w:val="24"/>
                <w:szCs w:val="24"/>
                <w:lang w:val="en-US" w:eastAsia="zh-CN"/>
              </w:rPr>
              <w:t>转运废气，工程采取将转接机房封闭、导料槽及溜筒均密闭，同时在机房设置微干雾抑尘系统处理，处理后无组织排放。</w:t>
            </w:r>
          </w:p>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firstLine="0" w:firstLineChars="0"/>
              <w:jc w:val="center"/>
              <w:textAlignment w:val="auto"/>
              <w:rPr>
                <w:rFonts w:hint="eastAsia" w:ascii="Times New Roman" w:hAnsi="Times New Roman" w:eastAsia="宋体" w:cs="Times New Roman"/>
                <w:b/>
                <w:bCs/>
                <w:strike w:val="0"/>
                <w:dstrike w:val="0"/>
                <w:color w:val="auto"/>
                <w:kern w:val="24"/>
                <w:sz w:val="21"/>
                <w:szCs w:val="21"/>
                <w:lang w:val="en-US" w:eastAsia="zh-CN"/>
              </w:rPr>
            </w:pPr>
            <w:r>
              <w:rPr>
                <w:rFonts w:hint="eastAsia" w:ascii="Times New Roman" w:hAnsi="Times New Roman" w:eastAsia="宋体" w:cs="Times New Roman"/>
                <w:b/>
                <w:bCs/>
                <w:strike w:val="0"/>
                <w:dstrike w:val="0"/>
                <w:color w:val="auto"/>
                <w:kern w:val="24"/>
                <w:sz w:val="21"/>
                <w:szCs w:val="21"/>
                <w:lang w:val="en-US" w:eastAsia="zh-CN"/>
              </w:rPr>
              <w:t>表4-3  项目各转运机房的物料转运量一览表</w:t>
            </w:r>
          </w:p>
          <w:tbl>
            <w:tblPr>
              <w:tblStyle w:val="28"/>
              <w:tblW w:w="4998"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431"/>
              <w:gridCol w:w="2768"/>
              <w:gridCol w:w="285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9"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eastAsia="宋体"/>
                      <w:b/>
                      <w:bCs w:val="0"/>
                      <w:snapToGrid w:val="0"/>
                      <w:color w:val="auto"/>
                      <w:spacing w:val="0"/>
                      <w:sz w:val="21"/>
                      <w:szCs w:val="21"/>
                      <w:vertAlign w:val="baseline"/>
                      <w:lang w:eastAsia="zh-CN"/>
                    </w:rPr>
                  </w:pPr>
                  <w:r>
                    <w:rPr>
                      <w:rFonts w:hint="eastAsia" w:ascii="Times New Roman" w:hAnsi="Times New Roman"/>
                      <w:b/>
                      <w:bCs w:val="0"/>
                      <w:snapToGrid w:val="0"/>
                      <w:color w:val="auto"/>
                      <w:spacing w:val="0"/>
                      <w:sz w:val="21"/>
                      <w:szCs w:val="21"/>
                      <w:vertAlign w:val="baseline"/>
                      <w:lang w:eastAsia="zh-CN"/>
                    </w:rPr>
                    <w:t>所用转运机房</w:t>
                  </w:r>
                </w:p>
              </w:tc>
              <w:tc>
                <w:tcPr>
                  <w:tcW w:w="1718"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eastAsia="宋体"/>
                      <w:b/>
                      <w:bCs w:val="0"/>
                      <w:snapToGrid w:val="0"/>
                      <w:color w:val="auto"/>
                      <w:spacing w:val="0"/>
                      <w:sz w:val="21"/>
                      <w:szCs w:val="21"/>
                      <w:vertAlign w:val="baseline"/>
                      <w:lang w:eastAsia="zh-CN"/>
                    </w:rPr>
                  </w:pPr>
                  <w:r>
                    <w:rPr>
                      <w:rFonts w:hint="eastAsia" w:ascii="Times New Roman" w:hAnsi="Times New Roman"/>
                      <w:b/>
                      <w:bCs w:val="0"/>
                      <w:snapToGrid w:val="0"/>
                      <w:color w:val="auto"/>
                      <w:spacing w:val="0"/>
                      <w:sz w:val="21"/>
                      <w:szCs w:val="21"/>
                      <w:vertAlign w:val="baseline"/>
                      <w:lang w:eastAsia="zh-CN"/>
                    </w:rPr>
                    <w:t>机房的物料转运量</w:t>
                  </w:r>
                </w:p>
              </w:tc>
              <w:tc>
                <w:tcPr>
                  <w:tcW w:w="17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eastAsia="宋体"/>
                      <w:b/>
                      <w:bCs w:val="0"/>
                      <w:snapToGrid w:val="0"/>
                      <w:color w:val="auto"/>
                      <w:spacing w:val="0"/>
                      <w:sz w:val="21"/>
                      <w:szCs w:val="21"/>
                      <w:vertAlign w:val="baseline"/>
                      <w:lang w:eastAsia="zh-CN"/>
                    </w:rPr>
                  </w:pPr>
                  <w:r>
                    <w:rPr>
                      <w:rFonts w:hint="eastAsia" w:ascii="Times New Roman" w:hAnsi="Times New Roman"/>
                      <w:b/>
                      <w:bCs w:val="0"/>
                      <w:snapToGrid w:val="0"/>
                      <w:color w:val="auto"/>
                      <w:spacing w:val="0"/>
                      <w:sz w:val="21"/>
                      <w:szCs w:val="21"/>
                      <w:vertAlign w:val="baseline"/>
                      <w:lang w:eastAsia="zh-CN"/>
                    </w:rPr>
                    <w:t>输送物料品种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9"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TH1</w:t>
                  </w:r>
                </w:p>
              </w:tc>
              <w:tc>
                <w:tcPr>
                  <w:tcW w:w="1718"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2050万吨</w:t>
                  </w:r>
                </w:p>
              </w:tc>
              <w:tc>
                <w:tcPr>
                  <w:tcW w:w="17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eastAsia="宋体"/>
                      <w:bCs/>
                      <w:snapToGrid w:val="0"/>
                      <w:color w:val="auto"/>
                      <w:spacing w:val="0"/>
                      <w:sz w:val="21"/>
                      <w:szCs w:val="21"/>
                      <w:vertAlign w:val="baseline"/>
                      <w:lang w:eastAsia="zh-CN"/>
                    </w:rPr>
                  </w:pPr>
                  <w:r>
                    <w:rPr>
                      <w:rFonts w:hint="eastAsia" w:ascii="Times New Roman" w:hAnsi="Times New Roman"/>
                      <w:bCs/>
                      <w:snapToGrid w:val="0"/>
                      <w:color w:val="auto"/>
                      <w:spacing w:val="0"/>
                      <w:sz w:val="21"/>
                      <w:szCs w:val="21"/>
                      <w:vertAlign w:val="baseline"/>
                      <w:lang w:eastAsia="zh-CN"/>
                    </w:rPr>
                    <w:t>铁矿石、焦煤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01" w:hRule="atLeast"/>
              </w:trPr>
              <w:tc>
                <w:tcPr>
                  <w:tcW w:w="1509"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TH2</w:t>
                  </w:r>
                </w:p>
              </w:tc>
              <w:tc>
                <w:tcPr>
                  <w:tcW w:w="1718"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2050万吨</w:t>
                  </w:r>
                </w:p>
              </w:tc>
              <w:tc>
                <w:tcPr>
                  <w:tcW w:w="17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bCs/>
                      <w:snapToGrid w:val="0"/>
                      <w:color w:val="auto"/>
                      <w:spacing w:val="0"/>
                      <w:sz w:val="21"/>
                      <w:szCs w:val="21"/>
                      <w:vertAlign w:val="baseline"/>
                      <w:lang w:eastAsia="zh-CN"/>
                    </w:rPr>
                  </w:pPr>
                  <w:r>
                    <w:rPr>
                      <w:rFonts w:hint="eastAsia" w:ascii="Times New Roman" w:hAnsi="Times New Roman"/>
                      <w:bCs/>
                      <w:snapToGrid w:val="0"/>
                      <w:color w:val="auto"/>
                      <w:spacing w:val="0"/>
                      <w:sz w:val="21"/>
                      <w:szCs w:val="21"/>
                      <w:vertAlign w:val="baseline"/>
                      <w:lang w:eastAsia="zh-CN"/>
                    </w:rPr>
                    <w:t>铁矿石、焦煤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9"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TH3</w:t>
                  </w:r>
                </w:p>
              </w:tc>
              <w:tc>
                <w:tcPr>
                  <w:tcW w:w="1718"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eastAsia" w:ascii="Times New Roman" w:hAnsi="Times New Roman" w:eastAsia="宋体"/>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2050万吨</w:t>
                  </w:r>
                </w:p>
              </w:tc>
              <w:tc>
                <w:tcPr>
                  <w:tcW w:w="17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ascii="Times New Roman" w:hAnsi="Times New Roman"/>
                      <w:bCs/>
                      <w:snapToGrid w:val="0"/>
                      <w:color w:val="auto"/>
                      <w:spacing w:val="0"/>
                      <w:sz w:val="21"/>
                      <w:szCs w:val="21"/>
                      <w:vertAlign w:val="baseline"/>
                    </w:rPr>
                  </w:pPr>
                  <w:r>
                    <w:rPr>
                      <w:rFonts w:hint="eastAsia" w:ascii="Times New Roman" w:hAnsi="Times New Roman"/>
                      <w:bCs/>
                      <w:snapToGrid w:val="0"/>
                      <w:color w:val="auto"/>
                      <w:spacing w:val="0"/>
                      <w:sz w:val="21"/>
                      <w:szCs w:val="21"/>
                      <w:vertAlign w:val="baseline"/>
                      <w:lang w:eastAsia="zh-CN"/>
                    </w:rPr>
                    <w:t>铁矿石、焦煤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9"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TH4</w:t>
                  </w:r>
                </w:p>
              </w:tc>
              <w:tc>
                <w:tcPr>
                  <w:tcW w:w="1718"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ascii="Times New Roman" w:hAnsi="Times New Roman"/>
                      <w:bCs/>
                      <w:snapToGrid w:val="0"/>
                      <w:color w:val="auto"/>
                      <w:spacing w:val="0"/>
                      <w:sz w:val="21"/>
                      <w:szCs w:val="21"/>
                      <w:vertAlign w:val="baseline"/>
                    </w:rPr>
                  </w:pPr>
                  <w:r>
                    <w:rPr>
                      <w:rFonts w:hint="eastAsia" w:ascii="Times New Roman" w:hAnsi="Times New Roman"/>
                      <w:bCs/>
                      <w:snapToGrid w:val="0"/>
                      <w:color w:val="auto"/>
                      <w:spacing w:val="0"/>
                      <w:sz w:val="21"/>
                      <w:szCs w:val="21"/>
                      <w:vertAlign w:val="baseline"/>
                      <w:lang w:val="en-US" w:eastAsia="zh-CN"/>
                    </w:rPr>
                    <w:t>820万吨</w:t>
                  </w:r>
                </w:p>
              </w:tc>
              <w:tc>
                <w:tcPr>
                  <w:tcW w:w="17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ascii="Times New Roman" w:hAnsi="Times New Roman"/>
                      <w:bCs/>
                      <w:snapToGrid w:val="0"/>
                      <w:color w:val="auto"/>
                      <w:spacing w:val="0"/>
                      <w:sz w:val="21"/>
                      <w:szCs w:val="21"/>
                      <w:vertAlign w:val="baseline"/>
                    </w:rPr>
                  </w:pPr>
                  <w:r>
                    <w:rPr>
                      <w:rFonts w:hint="eastAsia" w:ascii="Times New Roman" w:hAnsi="Times New Roman"/>
                      <w:bCs/>
                      <w:snapToGrid w:val="0"/>
                      <w:color w:val="auto"/>
                      <w:spacing w:val="0"/>
                      <w:sz w:val="21"/>
                      <w:szCs w:val="21"/>
                      <w:vertAlign w:val="baseline"/>
                      <w:lang w:eastAsia="zh-CN"/>
                    </w:rPr>
                    <w:t>铁矿石、焦煤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9"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TG1</w:t>
                  </w:r>
                </w:p>
              </w:tc>
              <w:tc>
                <w:tcPr>
                  <w:tcW w:w="1718"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ascii="Times New Roman" w:hAnsi="Times New Roman"/>
                      <w:bCs/>
                      <w:snapToGrid w:val="0"/>
                      <w:color w:val="auto"/>
                      <w:spacing w:val="0"/>
                      <w:sz w:val="21"/>
                      <w:szCs w:val="21"/>
                      <w:vertAlign w:val="baseline"/>
                    </w:rPr>
                  </w:pPr>
                  <w:r>
                    <w:rPr>
                      <w:rFonts w:hint="eastAsia" w:ascii="Times New Roman" w:hAnsi="Times New Roman"/>
                      <w:bCs/>
                      <w:snapToGrid w:val="0"/>
                      <w:color w:val="auto"/>
                      <w:spacing w:val="0"/>
                      <w:sz w:val="21"/>
                      <w:szCs w:val="21"/>
                      <w:vertAlign w:val="baseline"/>
                      <w:lang w:val="en-US" w:eastAsia="zh-CN"/>
                    </w:rPr>
                    <w:t>1230万吨</w:t>
                  </w:r>
                </w:p>
              </w:tc>
              <w:tc>
                <w:tcPr>
                  <w:tcW w:w="17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ascii="Times New Roman" w:hAnsi="Times New Roman"/>
                      <w:bCs/>
                      <w:snapToGrid w:val="0"/>
                      <w:color w:val="auto"/>
                      <w:spacing w:val="0"/>
                      <w:sz w:val="21"/>
                      <w:szCs w:val="21"/>
                      <w:vertAlign w:val="baseline"/>
                    </w:rPr>
                  </w:pPr>
                  <w:r>
                    <w:rPr>
                      <w:rFonts w:hint="eastAsia" w:ascii="Times New Roman" w:hAnsi="Times New Roman"/>
                      <w:bCs/>
                      <w:snapToGrid w:val="0"/>
                      <w:color w:val="auto"/>
                      <w:spacing w:val="0"/>
                      <w:sz w:val="21"/>
                      <w:szCs w:val="21"/>
                      <w:vertAlign w:val="baseline"/>
                      <w:lang w:eastAsia="zh-CN"/>
                    </w:rPr>
                    <w:t>铁矿石、焦煤</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509"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hint="default" w:ascii="Times New Roman" w:hAnsi="Times New Roman" w:eastAsia="宋体"/>
                      <w:bCs/>
                      <w:snapToGrid w:val="0"/>
                      <w:color w:val="auto"/>
                      <w:spacing w:val="0"/>
                      <w:sz w:val="21"/>
                      <w:szCs w:val="21"/>
                      <w:vertAlign w:val="baseline"/>
                      <w:lang w:val="en-US" w:eastAsia="zh-CN"/>
                    </w:rPr>
                  </w:pPr>
                  <w:r>
                    <w:rPr>
                      <w:rFonts w:hint="eastAsia" w:ascii="Times New Roman" w:hAnsi="Times New Roman"/>
                      <w:bCs/>
                      <w:snapToGrid w:val="0"/>
                      <w:color w:val="auto"/>
                      <w:spacing w:val="0"/>
                      <w:sz w:val="21"/>
                      <w:szCs w:val="21"/>
                      <w:vertAlign w:val="baseline"/>
                      <w:lang w:val="en-US" w:eastAsia="zh-CN"/>
                    </w:rPr>
                    <w:t>TG2</w:t>
                  </w:r>
                </w:p>
              </w:tc>
              <w:tc>
                <w:tcPr>
                  <w:tcW w:w="1718"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ascii="Times New Roman" w:hAnsi="Times New Roman"/>
                      <w:bCs/>
                      <w:snapToGrid w:val="0"/>
                      <w:color w:val="auto"/>
                      <w:spacing w:val="0"/>
                      <w:sz w:val="21"/>
                      <w:szCs w:val="21"/>
                      <w:vertAlign w:val="baseline"/>
                    </w:rPr>
                  </w:pPr>
                  <w:r>
                    <w:rPr>
                      <w:rFonts w:hint="eastAsia" w:ascii="Times New Roman" w:hAnsi="Times New Roman"/>
                      <w:bCs/>
                      <w:snapToGrid w:val="0"/>
                      <w:color w:val="auto"/>
                      <w:spacing w:val="0"/>
                      <w:sz w:val="21"/>
                      <w:szCs w:val="21"/>
                      <w:vertAlign w:val="baseline"/>
                      <w:lang w:val="en-US" w:eastAsia="zh-CN"/>
                    </w:rPr>
                    <w:t>1230万吨</w:t>
                  </w:r>
                </w:p>
              </w:tc>
              <w:tc>
                <w:tcPr>
                  <w:tcW w:w="1771" w:type="pct"/>
                  <w:tcBorders>
                    <w:tl2br w:val="nil"/>
                    <w:tr2bl w:val="nil"/>
                  </w:tcBorders>
                  <w:noWrap w:val="0"/>
                  <w:vAlign w:val="center"/>
                </w:tcPr>
                <w:p>
                  <w:pPr>
                    <w:keepNext w:val="0"/>
                    <w:keepLines w:val="0"/>
                    <w:pageBreakBefore w:val="0"/>
                    <w:suppressLineNumbers w:val="0"/>
                    <w:kinsoku/>
                    <w:wordWrap/>
                    <w:overflowPunct/>
                    <w:topLinePunct w:val="0"/>
                    <w:bidi w:val="0"/>
                    <w:spacing w:before="0" w:beforeAutospacing="0" w:after="0" w:afterAutospacing="0" w:line="240" w:lineRule="auto"/>
                    <w:ind w:left="0" w:right="0"/>
                    <w:jc w:val="center"/>
                    <w:textAlignment w:val="auto"/>
                    <w:rPr>
                      <w:rFonts w:ascii="Times New Roman" w:hAnsi="Times New Roman"/>
                      <w:bCs/>
                      <w:snapToGrid w:val="0"/>
                      <w:color w:val="auto"/>
                      <w:spacing w:val="0"/>
                      <w:sz w:val="21"/>
                      <w:szCs w:val="21"/>
                      <w:vertAlign w:val="baseline"/>
                    </w:rPr>
                  </w:pPr>
                  <w:r>
                    <w:rPr>
                      <w:rFonts w:hint="eastAsia" w:ascii="Times New Roman" w:hAnsi="Times New Roman"/>
                      <w:bCs/>
                      <w:snapToGrid w:val="0"/>
                      <w:color w:val="auto"/>
                      <w:spacing w:val="0"/>
                      <w:sz w:val="21"/>
                      <w:szCs w:val="21"/>
                      <w:vertAlign w:val="baseline"/>
                      <w:lang w:eastAsia="zh-CN"/>
                    </w:rPr>
                    <w:t>铁矿石、焦煤</w:t>
                  </w:r>
                </w:p>
              </w:tc>
            </w:tr>
          </w:tbl>
          <w:p>
            <w:pPr>
              <w:keepNext w:val="0"/>
              <w:keepLines w:val="0"/>
              <w:pageBreakBefore w:val="0"/>
              <w:widowControl w:val="0"/>
              <w:suppressLineNumbers w:val="0"/>
              <w:tabs>
                <w:tab w:val="left" w:pos="4253"/>
              </w:tabs>
              <w:kinsoku/>
              <w:wordWrap/>
              <w:overflowPunct/>
              <w:topLinePunct w:val="0"/>
              <w:autoSpaceDE/>
              <w:autoSpaceDN/>
              <w:bidi w:val="0"/>
              <w:adjustRightInd/>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default" w:ascii="Times New Roman" w:hAnsi="Times New Roman" w:eastAsia="宋体" w:cs="Times New Roman"/>
                <w:bCs/>
                <w:snapToGrid w:val="0"/>
                <w:color w:val="auto"/>
                <w:spacing w:val="0"/>
                <w:sz w:val="24"/>
                <w:szCs w:val="24"/>
                <w:lang w:val="en-US" w:eastAsia="zh-CN"/>
              </w:rPr>
              <w:t>参考《环境保护实用数据手册》及同类型企业产污情况，转运站</w:t>
            </w:r>
            <w:r>
              <w:rPr>
                <w:rFonts w:hint="eastAsia" w:cs="Times New Roman"/>
                <w:bCs/>
                <w:snapToGrid w:val="0"/>
                <w:color w:val="auto"/>
                <w:spacing w:val="0"/>
                <w:sz w:val="24"/>
                <w:szCs w:val="24"/>
                <w:lang w:val="en-US" w:eastAsia="zh-CN"/>
              </w:rPr>
              <w:t>上料、转运</w:t>
            </w:r>
            <w:r>
              <w:rPr>
                <w:rFonts w:hint="default" w:ascii="Times New Roman" w:hAnsi="Times New Roman" w:eastAsia="宋体" w:cs="Times New Roman"/>
                <w:bCs/>
                <w:snapToGrid w:val="0"/>
                <w:color w:val="auto"/>
                <w:spacing w:val="0"/>
                <w:sz w:val="24"/>
                <w:szCs w:val="24"/>
                <w:lang w:val="en-US" w:eastAsia="zh-CN"/>
              </w:rPr>
              <w:t>过程颗粒物的产生量约为0.001kg/t原料计。</w:t>
            </w:r>
            <w:r>
              <w:rPr>
                <w:rFonts w:hint="default" w:ascii="Times New Roman" w:hAnsi="Times New Roman" w:eastAsia="宋体" w:cs="Times New Roman"/>
                <w:color w:val="000000"/>
                <w:kern w:val="2"/>
                <w:sz w:val="24"/>
                <w:szCs w:val="24"/>
                <w:highlight w:val="none"/>
                <w:lang w:val="en-US" w:eastAsia="zh-CN" w:bidi="ar-SA"/>
              </w:rPr>
              <w:t>年转运量</w:t>
            </w:r>
            <w:r>
              <w:rPr>
                <w:rFonts w:hint="eastAsia" w:cs="Times New Roman"/>
                <w:color w:val="000000"/>
                <w:kern w:val="2"/>
                <w:sz w:val="24"/>
                <w:szCs w:val="24"/>
                <w:highlight w:val="none"/>
                <w:lang w:val="en-US" w:eastAsia="zh-CN" w:bidi="ar-SA"/>
              </w:rPr>
              <w:t>最大</w:t>
            </w:r>
            <w:r>
              <w:rPr>
                <w:rFonts w:hint="default" w:ascii="Times New Roman" w:hAnsi="Times New Roman" w:eastAsia="宋体" w:cs="Times New Roman"/>
                <w:color w:val="000000"/>
                <w:kern w:val="2"/>
                <w:sz w:val="24"/>
                <w:szCs w:val="24"/>
                <w:highlight w:val="none"/>
                <w:lang w:val="en-US" w:eastAsia="zh-CN" w:bidi="ar-SA"/>
              </w:rPr>
              <w:t>为2050万t，因此，</w:t>
            </w:r>
            <w:r>
              <w:rPr>
                <w:rFonts w:hint="default" w:ascii="Times New Roman" w:hAnsi="Times New Roman" w:eastAsia="宋体" w:cs="Times New Roman"/>
                <w:bCs/>
                <w:snapToGrid w:val="0"/>
                <w:color w:val="auto"/>
                <w:spacing w:val="0"/>
                <w:sz w:val="24"/>
                <w:szCs w:val="24"/>
                <w:lang w:val="en-US" w:eastAsia="zh-CN"/>
              </w:rPr>
              <w:t>TH1、TH2、TH3、TH4、TG1、TG2各转接机房废气颗粒物</w:t>
            </w:r>
            <w:r>
              <w:rPr>
                <w:rFonts w:hint="default" w:ascii="Times New Roman" w:hAnsi="Times New Roman" w:eastAsia="宋体" w:cs="Times New Roman"/>
                <w:color w:val="000000"/>
                <w:kern w:val="2"/>
                <w:sz w:val="24"/>
                <w:szCs w:val="24"/>
                <w:highlight w:val="none"/>
                <w:lang w:val="en-US" w:eastAsia="zh-CN" w:bidi="ar-SA"/>
              </w:rPr>
              <w:t>产生量为20.5t/a、20.5t/a、20.5t/a、8.2t/a、12.3t/a、12.3t/a，转运机房转运点设置高效微干雾喷淋头且转运点位于封闭料棚内，降尘系数以99%计，因此，T</w:t>
            </w:r>
            <w:r>
              <w:rPr>
                <w:rFonts w:hint="default" w:ascii="Times New Roman" w:hAnsi="Times New Roman" w:eastAsia="宋体" w:cs="Times New Roman"/>
                <w:bCs/>
                <w:snapToGrid w:val="0"/>
                <w:color w:val="auto"/>
                <w:spacing w:val="0"/>
                <w:sz w:val="24"/>
                <w:szCs w:val="24"/>
                <w:lang w:val="en-US" w:eastAsia="zh-CN"/>
              </w:rPr>
              <w:t>H1、TH2、TH3、TH4、TG1、TG2各转接机房废气颗粒物无组织排放量分别为0.205t/a、0.205t/a、0.205t/a、0.082t/a、0.123t/a、0.123t/a，本项目无组织排放量合计为0.943t/a</w:t>
            </w:r>
            <w:r>
              <w:rPr>
                <w:rFonts w:hint="eastAsia" w:cs="Times New Roman"/>
                <w:bCs/>
                <w:snapToGrid w:val="0"/>
                <w:color w:val="auto"/>
                <w:spacing w:val="0"/>
                <w:sz w:val="24"/>
                <w:szCs w:val="24"/>
                <w:lang w:val="en-US" w:eastAsia="zh-CN"/>
              </w:rPr>
              <w:t>，</w:t>
            </w:r>
            <w:r>
              <w:rPr>
                <w:rFonts w:hint="default" w:ascii="Times New Roman" w:hAnsi="Times New Roman" w:eastAsia="宋体" w:cs="Times New Roman"/>
                <w:bCs/>
                <w:color w:val="000000"/>
                <w:sz w:val="24"/>
                <w:highlight w:val="none"/>
              </w:rPr>
              <w:t>经过估算可知，</w:t>
            </w:r>
            <w:r>
              <w:rPr>
                <w:rFonts w:hint="default" w:ascii="Times New Roman" w:hAnsi="Times New Roman" w:eastAsia="宋体" w:cs="Times New Roman"/>
                <w:color w:val="000000"/>
                <w:sz w:val="24"/>
                <w:highlight w:val="none"/>
              </w:rPr>
              <w:t>颗粒物无组织排放浓度小于</w:t>
            </w:r>
            <w:r>
              <w:rPr>
                <w:rFonts w:hint="default" w:ascii="Times New Roman" w:hAnsi="Times New Roman" w:eastAsia="宋体" w:cs="Times New Roman"/>
                <w:color w:val="000000"/>
                <w:sz w:val="24"/>
                <w:highlight w:val="none"/>
                <w:lang w:val="en-US" w:eastAsia="zh-CN"/>
              </w:rPr>
              <w:t>1.0</w:t>
            </w:r>
            <w:r>
              <w:rPr>
                <w:rFonts w:hint="default" w:ascii="Times New Roman" w:hAnsi="Times New Roman" w:eastAsia="宋体" w:cs="Times New Roman"/>
                <w:color w:val="000000"/>
                <w:sz w:val="24"/>
                <w:highlight w:val="none"/>
              </w:rPr>
              <w:t>mg/m</w:t>
            </w:r>
            <w:r>
              <w:rPr>
                <w:rFonts w:hint="default" w:ascii="Times New Roman" w:hAnsi="Times New Roman" w:eastAsia="宋体" w:cs="Times New Roman"/>
                <w:color w:val="000000"/>
                <w:sz w:val="24"/>
                <w:highlight w:val="none"/>
                <w:vertAlign w:val="superscript"/>
              </w:rPr>
              <w:t>3</w:t>
            </w:r>
            <w:r>
              <w:rPr>
                <w:rFonts w:hint="default" w:ascii="Times New Roman" w:hAnsi="Times New Roman" w:eastAsia="宋体" w:cs="Times New Roman"/>
                <w:color w:val="000000"/>
                <w:sz w:val="24"/>
                <w:highlight w:val="none"/>
              </w:rPr>
              <w:t>，满足</w:t>
            </w:r>
            <w:r>
              <w:rPr>
                <w:rFonts w:hint="default" w:ascii="Times New Roman" w:hAnsi="Times New Roman" w:eastAsia="宋体" w:cs="Times New Roman"/>
                <w:color w:val="000000"/>
                <w:sz w:val="24"/>
                <w:highlight w:val="none"/>
                <w:lang w:val="en-US" w:eastAsia="zh-CN"/>
              </w:rPr>
              <w:t>《钢铁工业大气污染超低排放标准》(DB13/2169-2018）</w:t>
            </w:r>
            <w:r>
              <w:rPr>
                <w:rFonts w:hint="default" w:ascii="Times New Roman" w:hAnsi="Times New Roman" w:eastAsia="宋体" w:cs="Times New Roman"/>
                <w:color w:val="000000"/>
                <w:sz w:val="24"/>
                <w:highlight w:val="none"/>
              </w:rPr>
              <w:t>表</w:t>
            </w:r>
            <w:r>
              <w:rPr>
                <w:rFonts w:hint="default" w:ascii="Times New Roman" w:hAnsi="Times New Roman" w:eastAsia="宋体" w:cs="Times New Roman"/>
                <w:color w:val="000000"/>
                <w:sz w:val="24"/>
                <w:highlight w:val="none"/>
                <w:lang w:val="en-US" w:eastAsia="zh-CN"/>
              </w:rPr>
              <w:t>5</w:t>
            </w:r>
            <w:r>
              <w:rPr>
                <w:rFonts w:hint="default" w:ascii="Times New Roman" w:hAnsi="Times New Roman" w:eastAsia="宋体" w:cs="Times New Roman"/>
                <w:color w:val="000000"/>
                <w:sz w:val="24"/>
                <w:highlight w:val="none"/>
              </w:rPr>
              <w:t>中</w:t>
            </w:r>
            <w:r>
              <w:rPr>
                <w:rFonts w:hint="default" w:ascii="Times New Roman" w:hAnsi="Times New Roman" w:eastAsia="宋体" w:cs="Times New Roman"/>
                <w:color w:val="000000"/>
                <w:sz w:val="24"/>
                <w:highlight w:val="none"/>
                <w:lang w:val="en-US" w:eastAsia="zh-CN"/>
              </w:rPr>
              <w:t>颗粒物</w:t>
            </w:r>
            <w:r>
              <w:rPr>
                <w:rFonts w:hint="default" w:ascii="Times New Roman" w:hAnsi="Times New Roman" w:eastAsia="宋体" w:cs="Times New Roman"/>
                <w:color w:val="000000"/>
                <w:sz w:val="24"/>
                <w:highlight w:val="none"/>
              </w:rPr>
              <w:t>无组织排放限值：</w:t>
            </w:r>
            <w:r>
              <w:rPr>
                <w:rFonts w:hint="default" w:ascii="Times New Roman" w:hAnsi="Times New Roman" w:eastAsia="宋体" w:cs="Times New Roman"/>
                <w:color w:val="000000"/>
                <w:sz w:val="24"/>
                <w:highlight w:val="none"/>
                <w:lang w:val="en-US" w:eastAsia="zh-CN"/>
              </w:rPr>
              <w:t>1.0</w:t>
            </w:r>
            <w:r>
              <w:rPr>
                <w:rFonts w:hint="default" w:ascii="Times New Roman" w:hAnsi="Times New Roman" w:eastAsia="宋体" w:cs="Times New Roman"/>
                <w:color w:val="000000"/>
                <w:sz w:val="24"/>
                <w:highlight w:val="none"/>
              </w:rPr>
              <w:t>mg/m</w:t>
            </w:r>
            <w:r>
              <w:rPr>
                <w:rFonts w:hint="default" w:ascii="Times New Roman" w:hAnsi="Times New Roman" w:eastAsia="宋体" w:cs="Times New Roman"/>
                <w:color w:val="000000"/>
                <w:sz w:val="24"/>
                <w:highlight w:val="none"/>
                <w:vertAlign w:val="superscript"/>
              </w:rPr>
              <w:t>3</w:t>
            </w:r>
            <w:r>
              <w:rPr>
                <w:rFonts w:hint="default" w:ascii="Times New Roman" w:hAnsi="Times New Roman" w:eastAsia="宋体" w:cs="Times New Roman"/>
                <w:color w:val="000000"/>
                <w:sz w:val="24"/>
                <w:highlight w:val="none"/>
              </w:rPr>
              <w:t>的要求</w:t>
            </w:r>
            <w:r>
              <w:rPr>
                <w:rFonts w:hint="default" w:ascii="Times New Roman" w:hAnsi="Times New Roman" w:eastAsia="宋体" w:cs="Times New Roman"/>
                <w:bCs/>
                <w:snapToGrid w:val="0"/>
                <w:color w:val="auto"/>
                <w:spacing w:val="0"/>
                <w:sz w:val="24"/>
                <w:szCs w:val="24"/>
                <w:lang w:val="en-US" w:eastAsia="zh-CN"/>
              </w:rPr>
              <w:t xml:space="preserve">。 </w:t>
            </w:r>
          </w:p>
          <w:p>
            <w:pPr>
              <w:keepNext w:val="0"/>
              <w:keepLines w:val="0"/>
              <w:suppressLineNumbers w:val="0"/>
              <w:spacing w:before="0" w:beforeAutospacing="0" w:after="0" w:afterAutospacing="0"/>
              <w:ind w:left="0" w:right="0" w:firstLine="422" w:firstLineChars="20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表4-</w:t>
            </w:r>
            <w:r>
              <w:rPr>
                <w:rFonts w:hint="default" w:ascii="Times New Roman" w:hAnsi="Times New Roman" w:cs="Times New Roman"/>
                <w:b/>
                <w:bCs/>
                <w:color w:val="000000"/>
                <w:szCs w:val="21"/>
                <w:highlight w:val="none"/>
                <w:lang w:val="en-US" w:eastAsia="zh-CN"/>
              </w:rPr>
              <w:t>4</w:t>
            </w:r>
            <w:r>
              <w:rPr>
                <w:rFonts w:hint="default" w:ascii="Times New Roman" w:hAnsi="Times New Roman" w:eastAsia="宋体" w:cs="Times New Roman"/>
                <w:b/>
                <w:bCs/>
                <w:color w:val="000000"/>
                <w:szCs w:val="21"/>
                <w:highlight w:val="none"/>
              </w:rPr>
              <w:t xml:space="preserve">  大气污染物无组织排放量核算表</w:t>
            </w:r>
          </w:p>
          <w:tbl>
            <w:tblPr>
              <w:tblStyle w:val="27"/>
              <w:tblW w:w="5000"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641"/>
              <w:gridCol w:w="646"/>
              <w:gridCol w:w="643"/>
              <w:gridCol w:w="1245"/>
              <w:gridCol w:w="2465"/>
              <w:gridCol w:w="1263"/>
              <w:gridCol w:w="11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52" w:hRule="atLeast"/>
              </w:trPr>
              <w:tc>
                <w:tcPr>
                  <w:tcW w:w="398"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序号</w:t>
                  </w:r>
                </w:p>
              </w:tc>
              <w:tc>
                <w:tcPr>
                  <w:tcW w:w="400"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产污环节</w:t>
                  </w:r>
                </w:p>
              </w:tc>
              <w:tc>
                <w:tcPr>
                  <w:tcW w:w="399"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污染物种类</w:t>
                  </w:r>
                </w:p>
              </w:tc>
              <w:tc>
                <w:tcPr>
                  <w:tcW w:w="773"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主要污染防治措施</w:t>
                  </w:r>
                </w:p>
              </w:tc>
              <w:tc>
                <w:tcPr>
                  <w:tcW w:w="2313" w:type="pct"/>
                  <w:gridSpan w:val="2"/>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国家或地方污染物排放标准</w:t>
                  </w:r>
                </w:p>
              </w:tc>
              <w:tc>
                <w:tcPr>
                  <w:tcW w:w="713"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b/>
                      <w:bCs/>
                      <w:color w:val="000000"/>
                      <w:szCs w:val="21"/>
                      <w:highlight w:val="none"/>
                    </w:rPr>
                    <w:t>年排放量（t/a）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398"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p>
              </w:tc>
              <w:tc>
                <w:tcPr>
                  <w:tcW w:w="40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p>
              </w:tc>
              <w:tc>
                <w:tcPr>
                  <w:tcW w:w="399"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p>
              </w:tc>
              <w:tc>
                <w:tcPr>
                  <w:tcW w:w="773"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p>
              </w:tc>
              <w:tc>
                <w:tcPr>
                  <w:tcW w:w="1528"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标准名称</w:t>
                  </w:r>
                </w:p>
              </w:tc>
              <w:tc>
                <w:tcPr>
                  <w:tcW w:w="784" w:type="pct"/>
                  <w:vMerge w:val="restar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b/>
                      <w:bCs/>
                      <w:color w:val="000000"/>
                      <w:szCs w:val="21"/>
                      <w:highlight w:val="none"/>
                    </w:rPr>
                  </w:pPr>
                  <w:r>
                    <w:rPr>
                      <w:rFonts w:hint="default" w:ascii="Times New Roman" w:hAnsi="Times New Roman" w:eastAsia="宋体" w:cs="Times New Roman"/>
                      <w:b/>
                      <w:bCs/>
                      <w:color w:val="000000"/>
                      <w:szCs w:val="21"/>
                      <w:highlight w:val="none"/>
                    </w:rPr>
                    <w:t>浓度限值（mg/m</w:t>
                  </w:r>
                  <w:r>
                    <w:rPr>
                      <w:rFonts w:hint="default" w:ascii="Times New Roman" w:hAnsi="Times New Roman" w:eastAsia="宋体" w:cs="Times New Roman"/>
                      <w:b/>
                      <w:bCs/>
                      <w:color w:val="000000"/>
                      <w:szCs w:val="21"/>
                      <w:highlight w:val="none"/>
                      <w:vertAlign w:val="superscript"/>
                    </w:rPr>
                    <w:t>3</w:t>
                  </w:r>
                  <w:r>
                    <w:rPr>
                      <w:rFonts w:hint="default" w:ascii="Times New Roman" w:hAnsi="Times New Roman" w:eastAsia="宋体" w:cs="Times New Roman"/>
                      <w:b/>
                      <w:bCs/>
                      <w:color w:val="000000"/>
                      <w:szCs w:val="21"/>
                      <w:highlight w:val="none"/>
                    </w:rPr>
                    <w:t>）</w:t>
                  </w:r>
                </w:p>
              </w:tc>
              <w:tc>
                <w:tcPr>
                  <w:tcW w:w="713"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398"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yellow"/>
                    </w:rPr>
                  </w:pPr>
                </w:p>
              </w:tc>
              <w:tc>
                <w:tcPr>
                  <w:tcW w:w="400"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yellow"/>
                    </w:rPr>
                  </w:pPr>
                </w:p>
              </w:tc>
              <w:tc>
                <w:tcPr>
                  <w:tcW w:w="399"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yellow"/>
                    </w:rPr>
                  </w:pPr>
                </w:p>
              </w:tc>
              <w:tc>
                <w:tcPr>
                  <w:tcW w:w="773"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p>
              </w:tc>
              <w:tc>
                <w:tcPr>
                  <w:tcW w:w="1528"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yellow"/>
                    </w:rPr>
                  </w:pPr>
                </w:p>
              </w:tc>
              <w:tc>
                <w:tcPr>
                  <w:tcW w:w="784"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yellow"/>
                    </w:rPr>
                  </w:pPr>
                </w:p>
              </w:tc>
              <w:tc>
                <w:tcPr>
                  <w:tcW w:w="713" w:type="pct"/>
                  <w:vMerge w:val="continue"/>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yellow"/>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45" w:hRule="atLeast"/>
              </w:trPr>
              <w:tc>
                <w:tcPr>
                  <w:tcW w:w="398"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color w:val="000000"/>
                      <w:szCs w:val="21"/>
                      <w:highlight w:val="none"/>
                    </w:rPr>
                    <w:t>1</w:t>
                  </w:r>
                </w:p>
              </w:tc>
              <w:tc>
                <w:tcPr>
                  <w:tcW w:w="400"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000000"/>
                      <w:szCs w:val="21"/>
                      <w:highlight w:val="none"/>
                      <w:lang w:eastAsia="zh-CN"/>
                    </w:rPr>
                  </w:pPr>
                  <w:r>
                    <w:rPr>
                      <w:rFonts w:hint="eastAsia" w:cs="Times New Roman"/>
                      <w:color w:val="000000"/>
                      <w:szCs w:val="21"/>
                      <w:highlight w:val="none"/>
                      <w:lang w:val="en-US" w:eastAsia="zh-CN"/>
                    </w:rPr>
                    <w:t>上料、转运</w:t>
                  </w:r>
                  <w:r>
                    <w:rPr>
                      <w:rFonts w:hint="default" w:ascii="Times New Roman" w:hAnsi="Times New Roman" w:eastAsia="宋体" w:cs="Times New Roman"/>
                      <w:color w:val="000000"/>
                      <w:szCs w:val="21"/>
                      <w:highlight w:val="none"/>
                      <w:lang w:val="en-US" w:eastAsia="zh-CN"/>
                    </w:rPr>
                    <w:t>点</w:t>
                  </w:r>
                </w:p>
              </w:tc>
              <w:tc>
                <w:tcPr>
                  <w:tcW w:w="399" w:type="pct"/>
                  <w:tcBorders>
                    <w:tl2br w:val="nil"/>
                    <w:tr2bl w:val="nil"/>
                  </w:tcBorders>
                  <w:noWrap w:val="0"/>
                  <w:vAlign w:val="center"/>
                </w:tcPr>
                <w:p>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color w:val="000000"/>
                      <w:szCs w:val="21"/>
                      <w:highlight w:val="none"/>
                    </w:rPr>
                    <w:t>颗粒物</w:t>
                  </w:r>
                </w:p>
              </w:tc>
              <w:tc>
                <w:tcPr>
                  <w:tcW w:w="773"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color w:val="000000"/>
                      <w:szCs w:val="21"/>
                      <w:highlight w:val="none"/>
                      <w:lang w:val="en-US" w:eastAsia="zh-CN"/>
                    </w:rPr>
                    <w:t>转运机房全封闭，机房内部采取顶部微干雾抑尘</w:t>
                  </w:r>
                </w:p>
              </w:tc>
              <w:tc>
                <w:tcPr>
                  <w:tcW w:w="1528"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color w:val="000000"/>
                      <w:szCs w:val="21"/>
                      <w:highlight w:val="none"/>
                      <w:lang w:val="en-US" w:eastAsia="zh-CN"/>
                    </w:rPr>
                    <w:t>《钢铁工业大气污染超低排放标准》(DB13/2169-2018)</w:t>
                  </w:r>
                </w:p>
              </w:tc>
              <w:tc>
                <w:tcPr>
                  <w:tcW w:w="784" w:type="pct"/>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lang w:val="en-US" w:eastAsia="zh-CN"/>
                    </w:rPr>
                  </w:pPr>
                  <w:r>
                    <w:rPr>
                      <w:rFonts w:hint="default" w:ascii="Times New Roman" w:hAnsi="Times New Roman" w:eastAsia="宋体" w:cs="Times New Roman"/>
                      <w:color w:val="000000"/>
                      <w:szCs w:val="21"/>
                      <w:highlight w:val="none"/>
                      <w:lang w:val="en-US" w:eastAsia="zh-CN"/>
                    </w:rPr>
                    <w:t>1.0</w:t>
                  </w:r>
                </w:p>
              </w:tc>
              <w:tc>
                <w:tcPr>
                  <w:tcW w:w="713" w:type="pct"/>
                  <w:tcBorders>
                    <w:tl2br w:val="nil"/>
                    <w:tr2bl w:val="nil"/>
                  </w:tcBorders>
                  <w:noWrap w:val="0"/>
                  <w:vAlign w:val="center"/>
                </w:tcPr>
                <w:p>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color w:val="000000"/>
                      <w:szCs w:val="21"/>
                      <w:highlight w:val="yellow"/>
                      <w:lang w:val="en-US" w:eastAsia="zh-CN"/>
                    </w:rPr>
                  </w:pPr>
                  <w:r>
                    <w:rPr>
                      <w:rFonts w:hint="default" w:ascii="Times New Roman" w:hAnsi="Times New Roman" w:eastAsia="宋体" w:cs="Times New Roman"/>
                      <w:color w:val="000000"/>
                      <w:szCs w:val="21"/>
                      <w:highlight w:val="none"/>
                      <w:lang w:val="en-US" w:eastAsia="zh-CN"/>
                    </w:rPr>
                    <w:t>0.943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88" w:hRule="atLeast"/>
              </w:trPr>
              <w:tc>
                <w:tcPr>
                  <w:tcW w:w="5000" w:type="pct"/>
                  <w:gridSpan w:val="7"/>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color w:val="000000"/>
                      <w:szCs w:val="21"/>
                      <w:highlight w:val="none"/>
                    </w:rPr>
                    <w:t>无组织排放总计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33" w:hRule="atLeast"/>
              </w:trPr>
              <w:tc>
                <w:tcPr>
                  <w:tcW w:w="799" w:type="pct"/>
                  <w:gridSpan w:val="2"/>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color w:val="000000"/>
                      <w:szCs w:val="21"/>
                      <w:highlight w:val="none"/>
                    </w:rPr>
                    <w:t>无组织排放总计</w:t>
                  </w:r>
                </w:p>
              </w:tc>
              <w:tc>
                <w:tcPr>
                  <w:tcW w:w="2702" w:type="pct"/>
                  <w:gridSpan w:val="3"/>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rPr>
                  </w:pPr>
                  <w:r>
                    <w:rPr>
                      <w:rFonts w:hint="default" w:ascii="Times New Roman" w:hAnsi="Times New Roman" w:eastAsia="宋体" w:cs="Times New Roman"/>
                      <w:color w:val="000000"/>
                      <w:szCs w:val="21"/>
                      <w:highlight w:val="none"/>
                    </w:rPr>
                    <w:t>颗粒物</w:t>
                  </w:r>
                </w:p>
              </w:tc>
              <w:tc>
                <w:tcPr>
                  <w:tcW w:w="1498" w:type="pct"/>
                  <w:gridSpan w:val="2"/>
                  <w:tcBorders>
                    <w:tl2br w:val="nil"/>
                    <w:tr2bl w:val="nil"/>
                  </w:tcBorders>
                  <w:noWrap w:val="0"/>
                  <w:vAlign w:val="center"/>
                </w:tcPr>
                <w:p>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000000"/>
                      <w:szCs w:val="21"/>
                      <w:highlight w:val="none"/>
                      <w:lang w:val="en-US" w:eastAsia="zh-CN"/>
                    </w:rPr>
                  </w:pPr>
                  <w:r>
                    <w:rPr>
                      <w:rFonts w:hint="default" w:ascii="Times New Roman" w:hAnsi="Times New Roman" w:eastAsia="宋体" w:cs="Times New Roman"/>
                      <w:color w:val="000000"/>
                      <w:szCs w:val="21"/>
                      <w:highlight w:val="none"/>
                      <w:lang w:val="en-US" w:eastAsia="zh-CN"/>
                    </w:rPr>
                    <w:t>0.943</w:t>
                  </w:r>
                </w:p>
              </w:tc>
            </w:tr>
          </w:tbl>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r>
              <w:rPr>
                <w:rFonts w:hint="default" w:ascii="Times New Roman" w:hAnsi="Times New Roman" w:eastAsia="宋体" w:cs="Times New Roman"/>
                <w:bCs/>
                <w:snapToGrid w:val="0"/>
                <w:color w:val="auto"/>
                <w:spacing w:val="0"/>
                <w:sz w:val="24"/>
                <w:szCs w:val="24"/>
                <w:lang w:val="en-US" w:eastAsia="zh-CN"/>
              </w:rPr>
              <w:t xml:space="preserve">2.2 </w:t>
            </w:r>
            <w:r>
              <w:rPr>
                <w:rFonts w:hint="eastAsia" w:ascii="Times New Roman" w:hAnsi="Times New Roman" w:eastAsia="宋体" w:cs="Times New Roman"/>
                <w:bCs/>
                <w:snapToGrid w:val="0"/>
                <w:color w:val="auto"/>
                <w:spacing w:val="0"/>
                <w:sz w:val="24"/>
                <w:szCs w:val="24"/>
                <w:lang w:val="en-US" w:eastAsia="zh-CN"/>
              </w:rPr>
              <w:t>废气处理措施可行性分析</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干雾抑尘技术是通过“云雾”化的水雾来捕捉起尘点的粉尘，让水雾与空气中的粉尘颗粒产生碰撞、吸附结合，形成粉尘和水雾的团聚物，在重力作用下而沉降下来，从而实现源头抑尘，可以有效的解决局部封闭/半封闭状态下无组织排放粉尘的处理难题。</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干雾抑尘系统是压缩空气和水按照一定的水气配比混合到水气雾化喷头，由压缩空气冲开水汽雾化喷头的弹簧后进行加速，将水吸入水汽雾化喷头的加速震荡室进行破碎，并利用加速气体将破碎后的水雾颗粒从喷嘴喷出作用于扬尘点，以达到抑尘的目的。</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高压微雾抑尘装置是由精细雾化喷嘴在高压作用下将水高度雾化，从而形成成千上万个1-50µm大小的水雾颗粒。高压喷嘴的水流通过喷头将水雾颗粒以雾状方式喷射到粉尘发生点，粉尘聚结而坠落，达到抑尘目的。</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因此，本项目废气处理措施可行。</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2" w:firstLineChars="200"/>
              <w:textAlignment w:val="auto"/>
              <w:rPr>
                <w:rFonts w:ascii="Times New Roman" w:hAnsi="Times New Roman" w:eastAsia="宋体" w:cs="Times New Roman"/>
                <w:b/>
                <w:bCs w:val="0"/>
                <w:snapToGrid w:val="0"/>
                <w:color w:val="auto"/>
                <w:spacing w:val="0"/>
                <w:sz w:val="24"/>
                <w:szCs w:val="24"/>
              </w:rPr>
            </w:pPr>
            <w:r>
              <w:rPr>
                <w:rFonts w:hint="default" w:ascii="Times New Roman" w:hAnsi="Times New Roman" w:eastAsia="宋体" w:cs="Times New Roman"/>
                <w:b/>
                <w:bCs w:val="0"/>
                <w:snapToGrid w:val="0"/>
                <w:color w:val="auto"/>
                <w:spacing w:val="0"/>
                <w:sz w:val="24"/>
                <w:szCs w:val="24"/>
                <w:lang w:val="en-US" w:eastAsia="zh-CN"/>
              </w:rPr>
              <w:t>3</w:t>
            </w:r>
            <w:r>
              <w:rPr>
                <w:rFonts w:ascii="Times New Roman" w:hAnsi="Times New Roman" w:eastAsia="宋体" w:cs="Times New Roman"/>
                <w:b/>
                <w:bCs w:val="0"/>
                <w:snapToGrid w:val="0"/>
                <w:color w:val="auto"/>
                <w:spacing w:val="0"/>
                <w:sz w:val="24"/>
                <w:szCs w:val="24"/>
                <w:lang w:val="en-US" w:eastAsia="zh-CN"/>
              </w:rPr>
              <w:t xml:space="preserve">、地表水环境影响分析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both"/>
              <w:textAlignment w:val="auto"/>
              <w:rPr>
                <w:rFonts w:hint="default" w:ascii="Times New Roman" w:hAnsi="Times New Roman" w:eastAsia="宋体" w:cs="Times New Roman"/>
                <w:color w:val="auto"/>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本项目生产过程</w:t>
            </w:r>
            <w:r>
              <w:rPr>
                <w:rFonts w:hint="eastAsia" w:ascii="Calibri" w:hAnsi="Calibri" w:eastAsia="宋体" w:cs="Times New Roman"/>
                <w:color w:val="auto"/>
                <w:sz w:val="24"/>
                <w:szCs w:val="24"/>
                <w:highlight w:val="none"/>
                <w:lang w:val="en-US" w:eastAsia="zh-CN"/>
              </w:rPr>
              <w:t>用水</w:t>
            </w:r>
            <w:r>
              <w:rPr>
                <w:rFonts w:hint="default" w:ascii="Times New Roman" w:hAnsi="Times New Roman" w:eastAsia="宋体" w:cs="Times New Roman"/>
                <w:color w:val="auto"/>
                <w:sz w:val="24"/>
                <w:szCs w:val="24"/>
                <w:highlight w:val="none"/>
                <w:lang w:val="en-US" w:eastAsia="zh-CN"/>
              </w:rPr>
              <w:t>主要为</w:t>
            </w:r>
            <w:r>
              <w:rPr>
                <w:rFonts w:hint="eastAsia" w:ascii="Calibri" w:hAnsi="Calibri" w:eastAsia="宋体" w:cs="Times New Roman"/>
                <w:bCs/>
                <w:color w:val="auto"/>
                <w:sz w:val="24"/>
                <w:highlight w:val="none"/>
                <w:lang w:val="en-US" w:eastAsia="zh-CN"/>
              </w:rPr>
              <w:t>微干雾抑尘系统用水、</w:t>
            </w:r>
            <w:r>
              <w:rPr>
                <w:rFonts w:hint="eastAsia" w:ascii="Times New Roman" w:hAnsi="宋体" w:eastAsia="宋体" w:cs="Times New Roman"/>
                <w:color w:val="auto"/>
                <w:sz w:val="24"/>
                <w:highlight w:val="none"/>
                <w:lang w:val="en-US" w:eastAsia="zh-CN"/>
              </w:rPr>
              <w:t>机房冲洗用水</w:t>
            </w:r>
            <w:r>
              <w:rPr>
                <w:rFonts w:hint="eastAsia" w:ascii="Calibri" w:hAnsi="宋体" w:eastAsia="宋体" w:cs="Times New Roman"/>
                <w:color w:val="auto"/>
                <w:sz w:val="24"/>
                <w:highlight w:val="none"/>
                <w:lang w:val="en-US" w:eastAsia="zh-CN"/>
              </w:rPr>
              <w:t>、</w:t>
            </w:r>
            <w:r>
              <w:rPr>
                <w:rFonts w:hint="eastAsia" w:ascii="Times New Roman" w:hAnsi="Times New Roman" w:eastAsia="宋体" w:cs="Times New Roman"/>
                <w:b w:val="0"/>
                <w:bCs w:val="0"/>
                <w:color w:val="000000"/>
                <w:sz w:val="24"/>
                <w:highlight w:val="none"/>
                <w:lang w:eastAsia="zh-CN"/>
              </w:rPr>
              <w:t>管带机清洗用水</w:t>
            </w:r>
            <w:r>
              <w:rPr>
                <w:rFonts w:hint="eastAsia" w:ascii="Times New Roman" w:hAnsi="Times New Roman" w:eastAsia="宋体" w:cs="Times New Roman"/>
                <w:color w:val="auto"/>
                <w:sz w:val="24"/>
                <w:szCs w:val="24"/>
                <w:highlight w:val="none"/>
                <w:lang w:val="en-US" w:eastAsia="zh-CN"/>
              </w:rPr>
              <w:t>。</w:t>
            </w:r>
            <w:r>
              <w:rPr>
                <w:rFonts w:hint="eastAsia" w:ascii="Calibri" w:hAnsi="Calibri" w:eastAsia="宋体" w:cs="Times New Roman"/>
                <w:bCs/>
                <w:color w:val="auto"/>
                <w:sz w:val="24"/>
                <w:highlight w:val="none"/>
                <w:lang w:val="en-US" w:eastAsia="zh-CN"/>
              </w:rPr>
              <w:t>生产</w:t>
            </w:r>
            <w:r>
              <w:rPr>
                <w:rFonts w:hint="default" w:ascii="Times New Roman" w:hAnsi="Times New Roman" w:eastAsia="宋体" w:cs="Times New Roman"/>
                <w:b w:val="0"/>
                <w:bCs w:val="0"/>
                <w:color w:val="000000"/>
                <w:sz w:val="24"/>
                <w:highlight w:val="none"/>
              </w:rPr>
              <w:t>废水</w:t>
            </w:r>
            <w:r>
              <w:rPr>
                <w:rFonts w:hint="eastAsia" w:ascii="Times New Roman" w:hAnsi="Times New Roman" w:eastAsia="宋体" w:cs="Times New Roman"/>
                <w:b w:val="0"/>
                <w:bCs w:val="0"/>
                <w:color w:val="000000"/>
                <w:sz w:val="24"/>
                <w:highlight w:val="none"/>
                <w:lang w:val="en-US" w:eastAsia="zh-CN"/>
              </w:rPr>
              <w:t>经沉淀池沉淀后上清液循环使用，</w:t>
            </w:r>
            <w:r>
              <w:rPr>
                <w:rFonts w:hint="eastAsia" w:ascii="Calibri" w:hAnsi="Calibri" w:eastAsia="宋体" w:cs="Times New Roman"/>
                <w:b w:val="0"/>
                <w:bCs w:val="0"/>
                <w:color w:val="000000"/>
                <w:sz w:val="24"/>
                <w:highlight w:val="none"/>
                <w:lang w:val="en-US" w:eastAsia="zh-CN"/>
              </w:rPr>
              <w:t>不</w:t>
            </w:r>
            <w:r>
              <w:rPr>
                <w:rFonts w:hint="default" w:ascii="Times New Roman" w:hAnsi="Times New Roman" w:eastAsia="宋体" w:cs="Times New Roman"/>
                <w:b w:val="0"/>
                <w:bCs w:val="0"/>
                <w:color w:val="000000"/>
                <w:sz w:val="24"/>
                <w:highlight w:val="none"/>
              </w:rPr>
              <w:t>外排。</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
                <w:bCs w:val="0"/>
                <w:snapToGrid w:val="0"/>
                <w:color w:val="auto"/>
                <w:spacing w:val="0"/>
                <w:sz w:val="24"/>
                <w:szCs w:val="24"/>
                <w:lang w:val="en-US" w:eastAsia="zh-CN"/>
              </w:rPr>
            </w:pPr>
            <w:r>
              <w:rPr>
                <w:rFonts w:hint="default" w:ascii="Times New Roman" w:hAnsi="Times New Roman" w:eastAsia="宋体" w:cs="Times New Roman"/>
                <w:color w:val="auto"/>
                <w:sz w:val="24"/>
                <w:szCs w:val="24"/>
                <w:highlight w:val="none"/>
                <w:lang w:val="en-US" w:eastAsia="zh-CN"/>
              </w:rPr>
              <w:t>综上所述，本项目废水均得到有效处理，不会对周围水环境产生明显影响。</w:t>
            </w:r>
            <w:r>
              <w:rPr>
                <w:rFonts w:hint="eastAsia" w:ascii="Times New Roman" w:hAnsi="Times New Roman" w:eastAsia="宋体" w:cs="Times New Roman"/>
                <w:b/>
                <w:bCs w:val="0"/>
                <w:snapToGrid w:val="0"/>
                <w:color w:val="auto"/>
                <w:spacing w:val="0"/>
                <w:sz w:val="24"/>
                <w:szCs w:val="24"/>
                <w:lang w:val="en-US" w:eastAsia="zh-CN"/>
              </w:rPr>
              <w:t>4、噪声环境影响分析</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本项目噪声污染源主要为各转接区管带机驱动装置、水泵、空压机等设备噪声，产噪声级值为70～90dB(A)。</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（1）噪声源参数确定</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eastAsia" w:ascii="Times New Roman" w:hAnsi="Times New Roman" w:eastAsia="宋体" w:cs="Times New Roman"/>
                <w:bCs/>
                <w:snapToGrid w:val="0"/>
                <w:color w:val="auto"/>
                <w:spacing w:val="0"/>
                <w:sz w:val="24"/>
                <w:szCs w:val="24"/>
                <w:lang w:val="en-US" w:eastAsia="zh-CN"/>
              </w:rPr>
            </w:pPr>
            <w:r>
              <w:rPr>
                <w:rFonts w:hint="eastAsia" w:ascii="Times New Roman" w:hAnsi="Times New Roman" w:eastAsia="宋体" w:cs="Times New Roman"/>
                <w:bCs/>
                <w:snapToGrid w:val="0"/>
                <w:color w:val="auto"/>
                <w:spacing w:val="0"/>
                <w:sz w:val="24"/>
                <w:szCs w:val="24"/>
                <w:lang w:val="en-US" w:eastAsia="zh-CN"/>
              </w:rPr>
              <w:t>驱动装置、水泵、空压机均置于站房内，基础减振。采取措施后，可综合降噪20dB(A)。</w:t>
            </w:r>
          </w:p>
          <w:p>
            <w:pPr>
              <w:keepNext w:val="0"/>
              <w:keepLines w:val="0"/>
              <w:widowControl/>
              <w:suppressLineNumbers w:val="0"/>
              <w:spacing w:before="0" w:beforeAutospacing="0" w:after="0" w:afterAutospacing="0" w:line="480" w:lineRule="exact"/>
              <w:ind w:left="0" w:right="0" w:firstLine="422" w:firstLineChars="200"/>
              <w:jc w:val="center"/>
              <w:rPr>
                <w:rFonts w:hint="default" w:ascii="Times New Roman" w:hAnsi="Times New Roman" w:eastAsia="宋体" w:cs="Times New Roman"/>
                <w:b/>
                <w:color w:val="auto"/>
                <w:szCs w:val="21"/>
              </w:rPr>
            </w:pPr>
            <w:r>
              <w:rPr>
                <w:rFonts w:hint="default" w:ascii="Times New Roman" w:hAnsi="Times New Roman" w:eastAsia="宋体" w:cs="Times New Roman"/>
                <w:b/>
                <w:color w:val="auto"/>
                <w:szCs w:val="21"/>
              </w:rPr>
              <w:t>表4-</w:t>
            </w:r>
            <w:r>
              <w:rPr>
                <w:rFonts w:hint="eastAsia" w:cs="Times New Roman"/>
                <w:b/>
                <w:color w:val="auto"/>
                <w:szCs w:val="21"/>
                <w:lang w:val="en-US" w:eastAsia="zh-CN"/>
              </w:rPr>
              <w:t>5</w:t>
            </w:r>
            <w:r>
              <w:rPr>
                <w:rFonts w:hint="default" w:ascii="Times New Roman" w:hAnsi="Times New Roman" w:eastAsia="宋体" w:cs="Times New Roman"/>
                <w:b/>
                <w:color w:val="auto"/>
                <w:szCs w:val="21"/>
              </w:rPr>
              <w:t xml:space="preserve">  主要噪声源强、降噪效果一览表       单位：dB(A)</w:t>
            </w:r>
          </w:p>
          <w:tbl>
            <w:tblPr>
              <w:tblStyle w:val="27"/>
              <w:tblW w:w="499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715"/>
              <w:gridCol w:w="1559"/>
              <w:gridCol w:w="1066"/>
              <w:gridCol w:w="499"/>
              <w:gridCol w:w="933"/>
              <w:gridCol w:w="1044"/>
              <w:gridCol w:w="676"/>
              <w:gridCol w:w="155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blHeader/>
                <w:jc w:val="center"/>
              </w:trPr>
              <w:tc>
                <w:tcPr>
                  <w:tcW w:w="444"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设备位置</w:t>
                  </w: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设备名称</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单台设备声级值</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台数</w:t>
                  </w:r>
                </w:p>
              </w:tc>
              <w:tc>
                <w:tcPr>
                  <w:tcW w:w="579"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运行情况</w:t>
                  </w:r>
                </w:p>
              </w:tc>
              <w:tc>
                <w:tcPr>
                  <w:tcW w:w="64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Cs w:val="21"/>
                    </w:rPr>
                  </w:pPr>
                  <w:r>
                    <w:rPr>
                      <w:rFonts w:hint="default" w:ascii="Times New Roman" w:hAnsi="Times New Roman" w:eastAsia="宋体" w:cs="Times New Roman"/>
                      <w:b/>
                      <w:bCs/>
                      <w:color w:val="auto"/>
                      <w:szCs w:val="21"/>
                    </w:rPr>
                    <w:t>治理措施</w:t>
                  </w:r>
                </w:p>
              </w:tc>
              <w:tc>
                <w:tcPr>
                  <w:tcW w:w="419" w:type="pc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降噪效果</w:t>
                  </w:r>
                </w:p>
              </w:tc>
              <w:tc>
                <w:tcPr>
                  <w:tcW w:w="966" w:type="pc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sz w:val="21"/>
                      <w:szCs w:val="21"/>
                    </w:rPr>
                  </w:pPr>
                  <w:r>
                    <w:rPr>
                      <w:rFonts w:hint="default" w:ascii="Times New Roman" w:hAnsi="Times New Roman" w:eastAsia="宋体" w:cs="Times New Roman"/>
                      <w:b/>
                      <w:bCs/>
                      <w:color w:val="auto"/>
                      <w:sz w:val="21"/>
                      <w:szCs w:val="21"/>
                    </w:rPr>
                    <w:t>采取措施后单台设备声级值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TH1机房</w:t>
                  </w: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val="zh-CN" w:eastAsia="zh-CN"/>
                    </w:rPr>
                    <w:t>管道驱动装置</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w:t>
                  </w:r>
                </w:p>
              </w:tc>
              <w:tc>
                <w:tcPr>
                  <w:tcW w:w="579" w:type="pct"/>
                  <w:vMerge w:val="restar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全运行</w:t>
                  </w:r>
                </w:p>
              </w:tc>
              <w:tc>
                <w:tcPr>
                  <w:tcW w:w="648"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设备基础</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安装减振</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垫，置于双层彩钢结构站房内，综合降噪2</w:t>
                  </w:r>
                  <w:r>
                    <w:rPr>
                      <w:rFonts w:hint="eastAsia" w:ascii="Times New Roman" w:hAnsi="Times New Roman" w:eastAsia="宋体" w:cs="Times New Roman"/>
                      <w:color w:val="auto"/>
                      <w:szCs w:val="21"/>
                      <w:lang w:val="en-US" w:eastAsia="zh-CN"/>
                    </w:rPr>
                    <w:t>0</w:t>
                  </w:r>
                  <w:r>
                    <w:rPr>
                      <w:rFonts w:hint="eastAsia" w:ascii="Times New Roman" w:hAnsi="Times New Roman" w:eastAsia="宋体" w:cs="Times New Roman"/>
                      <w:color w:val="auto"/>
                      <w:szCs w:val="21"/>
                      <w:lang w:eastAsia="zh-CN"/>
                    </w:rPr>
                    <w:t>dB(A)</w:t>
                  </w: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空压机</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90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水泵</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80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TH2机房</w:t>
                  </w: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val="zh-CN" w:eastAsia="zh-CN"/>
                    </w:rPr>
                    <w:t>管道驱动装置</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w:t>
                  </w:r>
                </w:p>
              </w:tc>
              <w:tc>
                <w:tcPr>
                  <w:tcW w:w="579" w:type="pct"/>
                  <w:vMerge w:val="restar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全运行</w:t>
                  </w: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空压机</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90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水泵</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80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TH3机房</w:t>
                  </w: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val="zh-CN" w:eastAsia="zh-CN"/>
                    </w:rPr>
                    <w:t>管道驱动装置</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w:t>
                  </w:r>
                </w:p>
              </w:tc>
              <w:tc>
                <w:tcPr>
                  <w:tcW w:w="579" w:type="pct"/>
                  <w:vMerge w:val="restar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全运行</w:t>
                  </w: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空压机</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90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水泵</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80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TH4机房</w:t>
                  </w: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zh-CN" w:eastAsia="zh-CN"/>
                    </w:rPr>
                    <w:t>管道驱动装置</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70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restar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44"/>
                      <w:sz w:val="21"/>
                      <w:szCs w:val="21"/>
                      <w:lang w:val="en-US" w:eastAsia="zh-CN" w:bidi="ar-SA"/>
                    </w:rPr>
                  </w:pPr>
                  <w:r>
                    <w:rPr>
                      <w:rFonts w:hint="default" w:ascii="Times New Roman" w:hAnsi="Times New Roman" w:eastAsia="宋体" w:cs="Times New Roman"/>
                      <w:color w:val="auto"/>
                      <w:sz w:val="21"/>
                      <w:szCs w:val="21"/>
                      <w:lang w:eastAsia="zh-CN"/>
                    </w:rPr>
                    <w:t>全运行</w:t>
                  </w: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空压机</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90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水泵</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80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TG1机房</w:t>
                  </w: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val="zh-CN" w:eastAsia="zh-CN"/>
                    </w:rPr>
                    <w:t>管道驱动装置</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1</w:t>
                  </w:r>
                </w:p>
              </w:tc>
              <w:tc>
                <w:tcPr>
                  <w:tcW w:w="579" w:type="pct"/>
                  <w:vMerge w:val="restar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全运行</w:t>
                  </w: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空压机</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90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水泵</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80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TG2机房</w:t>
                  </w: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val="zh-CN" w:eastAsia="zh-CN"/>
                    </w:rPr>
                    <w:t>管道驱动装置</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1</w:t>
                  </w:r>
                </w:p>
              </w:tc>
              <w:tc>
                <w:tcPr>
                  <w:tcW w:w="579" w:type="pct"/>
                  <w:vMerge w:val="restart"/>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全运行</w:t>
                  </w: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空压机</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90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70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44"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lang w:val="en-US" w:eastAsia="zh-CN"/>
                    </w:rPr>
                  </w:pPr>
                </w:p>
              </w:tc>
              <w:tc>
                <w:tcPr>
                  <w:tcW w:w="968"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eastAsia="zh-CN"/>
                    </w:rPr>
                    <w:t>水泵</w:t>
                  </w:r>
                </w:p>
              </w:tc>
              <w:tc>
                <w:tcPr>
                  <w:tcW w:w="662"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80</w:t>
                  </w:r>
                </w:p>
              </w:tc>
              <w:tc>
                <w:tcPr>
                  <w:tcW w:w="310" w:type="pc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Cs w:val="21"/>
                      <w:lang w:val="en-US" w:eastAsia="zh-CN"/>
                    </w:rPr>
                    <w:t>1</w:t>
                  </w:r>
                </w:p>
              </w:tc>
              <w:tc>
                <w:tcPr>
                  <w:tcW w:w="579" w:type="pct"/>
                  <w:vMerge w:val="continue"/>
                  <w:noWrap w:val="0"/>
                  <w:vAlign w:val="center"/>
                </w:tcPr>
                <w:p>
                  <w:pPr>
                    <w:pStyle w:val="71"/>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lang w:eastAsia="zh-CN"/>
                    </w:rPr>
                  </w:pPr>
                </w:p>
              </w:tc>
              <w:tc>
                <w:tcPr>
                  <w:tcW w:w="648" w:type="pct"/>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Cs w:val="21"/>
                    </w:rPr>
                  </w:pPr>
                </w:p>
              </w:tc>
              <w:tc>
                <w:tcPr>
                  <w:tcW w:w="419" w:type="pct"/>
                  <w:noWrap w:val="0"/>
                  <w:vAlign w:val="center"/>
                </w:tcPr>
                <w:p>
                  <w:pPr>
                    <w:keepNext w:val="0"/>
                    <w:keepLines w:val="0"/>
                    <w:widowControl/>
                    <w:suppressLineNumbers w:val="0"/>
                    <w:spacing w:before="0" w:beforeAutospacing="0" w:after="0" w:afterAutospacing="0"/>
                    <w:ind w:left="0" w:right="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20</w:t>
                  </w:r>
                </w:p>
              </w:tc>
              <w:tc>
                <w:tcPr>
                  <w:tcW w:w="966" w:type="pct"/>
                  <w:noWrap w:val="0"/>
                  <w:vAlign w:val="center"/>
                </w:tcPr>
                <w:p>
                  <w:pPr>
                    <w:keepNext w:val="0"/>
                    <w:keepLines w:val="0"/>
                    <w:widowControl/>
                    <w:suppressLineNumbers w:val="0"/>
                    <w:spacing w:before="0" w:beforeAutospacing="0" w:after="0" w:afterAutospacing="0"/>
                    <w:ind w:left="0" w:right="0"/>
                    <w:jc w:val="center"/>
                    <w:textAlignment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60</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4.2.3.2、预测模式</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本次评价通过预测计算各噪声源对项目场地四周边界的噪声贡献值，评价说明噪声源对四周边界的影响。</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 w:val="24"/>
                <w:szCs w:val="24"/>
              </w:rPr>
            </w:pPr>
            <w:r>
              <w:rPr>
                <w:rFonts w:hint="eastAsia" w:ascii="Times New Roman" w:hAnsi="Times New Roman" w:eastAsia="宋体" w:cs="Times New Roman"/>
                <w:bCs/>
                <w:color w:val="auto"/>
                <w:sz w:val="24"/>
                <w:szCs w:val="24"/>
                <w:lang w:eastAsia="zh-CN"/>
              </w:rPr>
              <w:t>（</w:t>
            </w:r>
            <w:r>
              <w:rPr>
                <w:rFonts w:hint="eastAsia" w:ascii="Times New Roman" w:hAnsi="Times New Roman" w:eastAsia="宋体" w:cs="Times New Roman"/>
                <w:bCs/>
                <w:color w:val="auto"/>
                <w:sz w:val="24"/>
                <w:szCs w:val="24"/>
                <w:lang w:val="en-US" w:eastAsia="zh-CN"/>
              </w:rPr>
              <w:t>1</w:t>
            </w:r>
            <w:r>
              <w:rPr>
                <w:rFonts w:hint="eastAsia" w:ascii="Times New Roman" w:hAnsi="Times New Roman" w:eastAsia="宋体" w:cs="Times New Roman"/>
                <w:bCs/>
                <w:color w:val="auto"/>
                <w:sz w:val="24"/>
                <w:szCs w:val="24"/>
                <w:lang w:eastAsia="zh-CN"/>
              </w:rPr>
              <w:t>）</w:t>
            </w:r>
            <w:r>
              <w:rPr>
                <w:rFonts w:hint="default" w:ascii="Times New Roman" w:hAnsi="Times New Roman" w:eastAsia="宋体" w:cs="Times New Roman"/>
                <w:bCs/>
                <w:color w:val="auto"/>
                <w:sz w:val="24"/>
                <w:szCs w:val="24"/>
              </w:rPr>
              <w:t>以</w:t>
            </w:r>
            <w:r>
              <w:rPr>
                <w:rFonts w:hint="eastAsia" w:ascii="Times New Roman" w:hAnsi="Times New Roman" w:eastAsia="宋体" w:cs="Times New Roman"/>
                <w:bCs/>
                <w:color w:val="auto"/>
                <w:sz w:val="24"/>
                <w:szCs w:val="24"/>
                <w:lang w:eastAsia="zh-CN"/>
              </w:rPr>
              <w:t>每个机房</w:t>
            </w:r>
            <w:r>
              <w:rPr>
                <w:rFonts w:hint="default" w:ascii="Times New Roman" w:hAnsi="Times New Roman" w:eastAsia="宋体" w:cs="Times New Roman"/>
                <w:bCs/>
                <w:color w:val="auto"/>
                <w:sz w:val="24"/>
                <w:szCs w:val="24"/>
              </w:rPr>
              <w:t>西南角为坐标原点，建立坐标系，确定各噪声源及场界预测点坐标；根据已获得的声源参数和声波从声源到预测点的传播条件，计算出各声源单独作用在预测点时产生的A声级Li；本项目采用《环境影响评价技术导则声环境》（HJ2.4-2021）中无指向性点声源几何发散衰减公式进行预测。预测模式如下：</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采用预测模式如下：</w:t>
            </w:r>
          </w:p>
          <w:p>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auto"/>
              <w:ind w:left="0" w:right="0" w:firstLine="480" w:firstLineChars="200"/>
              <w:jc w:val="center"/>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LA(r)=LA(r0)-20Lg(r/r0)</w:t>
            </w:r>
          </w:p>
          <w:p>
            <w:pPr>
              <w:keepNext w:val="0"/>
              <w:keepLines w:val="0"/>
              <w:pageBreakBefore w:val="0"/>
              <w:widowControl/>
              <w:suppressLineNumbers w:val="0"/>
              <w:kinsoku/>
              <w:wordWrap/>
              <w:overflowPunct/>
              <w:topLinePunct w:val="0"/>
              <w:autoSpaceDE/>
              <w:autoSpaceDN/>
              <w:bidi w:val="0"/>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式中：LA(r)――距声源r米处的A声级；</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960" w:firstLineChars="4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LA(r0)――参考位置r0米处的A声级；</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960" w:firstLineChars="4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r――预测点距噪声源中心距离，m；</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960" w:firstLineChars="4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r0――参考位置距声源中心距离，m。</w:t>
            </w:r>
          </w:p>
          <w:p>
            <w:pPr>
              <w:keepNext w:val="0"/>
              <w:keepLines w:val="0"/>
              <w:pageBreakBefore w:val="0"/>
              <w:widowControl/>
              <w:suppressLineNumbers w:val="0"/>
              <w:kinsoku/>
              <w:wordWrap/>
              <w:overflowPunct/>
              <w:topLinePunct w:val="0"/>
              <w:autoSpaceDE/>
              <w:autoSpaceDN/>
              <w:bidi w:val="0"/>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 w:val="24"/>
                <w:szCs w:val="24"/>
              </w:rPr>
            </w:pPr>
            <w:r>
              <w:rPr>
                <w:rFonts w:hint="default" w:ascii="Times New Roman" w:hAnsi="Times New Roman" w:eastAsia="宋体" w:cs="Times New Roman"/>
                <w:bCs/>
                <w:color w:val="auto"/>
                <w:sz w:val="24"/>
                <w:szCs w:val="24"/>
              </w:rPr>
              <w:t>产噪设备经过厂房隔声降噪，预测产噪设备经过隔声后按照设备距离厂界最近距离衰减，在厂界的噪声贡献值见下表。</w:t>
            </w:r>
          </w:p>
          <w:p>
            <w:pPr>
              <w:keepNext w:val="0"/>
              <w:keepLines w:val="0"/>
              <w:pageBreakBefore w:val="0"/>
              <w:suppressLineNumbers w:val="0"/>
              <w:kinsoku/>
              <w:wordWrap/>
              <w:overflowPunct/>
              <w:topLinePunct w:val="0"/>
              <w:autoSpaceDE/>
              <w:autoSpaceDN/>
              <w:bidi w:val="0"/>
              <w:snapToGrid/>
              <w:spacing w:before="0" w:beforeAutospacing="0" w:after="0" w:afterAutospacing="0" w:line="500" w:lineRule="exact"/>
              <w:ind w:left="0" w:right="0" w:firstLine="480" w:firstLineChars="20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（2）预测结果</w:t>
            </w: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噪声贡献值计算结果见下表。</w:t>
            </w: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default" w:ascii="Times New Roman" w:hAnsi="Times New Roman" w:eastAsia="宋体" w:cs="Times New Roman"/>
                <w:b/>
                <w:snapToGrid w:val="0"/>
                <w:color w:val="auto"/>
                <w:kern w:val="0"/>
                <w:sz w:val="21"/>
                <w:szCs w:val="21"/>
                <w:lang w:val="en-US" w:eastAsia="zh-CN"/>
              </w:rPr>
            </w:pPr>
            <w:r>
              <w:rPr>
                <w:rFonts w:hint="eastAsia" w:ascii="Times New Roman" w:hAnsi="Times New Roman" w:eastAsia="宋体" w:cs="Times New Roman"/>
                <w:b/>
                <w:snapToGrid w:val="0"/>
                <w:color w:val="auto"/>
                <w:kern w:val="0"/>
                <w:sz w:val="21"/>
                <w:szCs w:val="21"/>
                <w:lang w:val="en-US" w:eastAsia="zh-CN"/>
              </w:rPr>
              <w:t>表4-</w:t>
            </w:r>
            <w:r>
              <w:rPr>
                <w:rFonts w:hint="eastAsia" w:cs="Times New Roman"/>
                <w:b/>
                <w:snapToGrid w:val="0"/>
                <w:color w:val="auto"/>
                <w:kern w:val="0"/>
                <w:sz w:val="21"/>
                <w:szCs w:val="21"/>
                <w:lang w:val="en-US" w:eastAsia="zh-CN"/>
              </w:rPr>
              <w:t>6</w:t>
            </w:r>
            <w:r>
              <w:rPr>
                <w:rFonts w:hint="default" w:ascii="Times New Roman" w:hAnsi="Times New Roman" w:eastAsia="宋体" w:cs="Times New Roman"/>
                <w:b/>
                <w:snapToGrid w:val="0"/>
                <w:color w:val="auto"/>
                <w:kern w:val="0"/>
                <w:sz w:val="21"/>
                <w:szCs w:val="21"/>
                <w:lang w:val="en-US" w:eastAsia="zh-CN"/>
              </w:rPr>
              <w:t xml:space="preserve">   项目</w:t>
            </w:r>
            <w:r>
              <w:rPr>
                <w:rFonts w:hint="eastAsia" w:ascii="Times New Roman" w:hAnsi="Times New Roman" w:eastAsia="宋体" w:cs="Times New Roman"/>
                <w:b/>
                <w:snapToGrid w:val="0"/>
                <w:color w:val="auto"/>
                <w:kern w:val="0"/>
                <w:sz w:val="21"/>
                <w:szCs w:val="21"/>
                <w:lang w:val="en-US" w:eastAsia="zh-CN"/>
              </w:rPr>
              <w:t>TH1机房</w:t>
            </w:r>
            <w:r>
              <w:rPr>
                <w:rFonts w:hint="default" w:ascii="Times New Roman" w:hAnsi="Times New Roman" w:eastAsia="宋体" w:cs="Times New Roman"/>
                <w:b/>
                <w:snapToGrid w:val="0"/>
                <w:color w:val="auto"/>
                <w:kern w:val="0"/>
                <w:sz w:val="21"/>
                <w:szCs w:val="21"/>
                <w:lang w:val="en-US" w:eastAsia="zh-CN"/>
              </w:rPr>
              <w:t>噪声贡献值预测结果表   单位：dB(A)</w:t>
            </w:r>
          </w:p>
          <w:tbl>
            <w:tblPr>
              <w:tblStyle w:val="27"/>
              <w:tblW w:w="490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16"/>
              <w:gridCol w:w="1373"/>
              <w:gridCol w:w="1373"/>
              <w:gridCol w:w="1382"/>
              <w:gridCol w:w="1373"/>
              <w:gridCol w:w="1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序号</w:t>
                  </w:r>
                </w:p>
              </w:tc>
              <w:tc>
                <w:tcPr>
                  <w:tcW w:w="868"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预测点</w:t>
                  </w:r>
                </w:p>
              </w:tc>
              <w:tc>
                <w:tcPr>
                  <w:tcW w:w="1742"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昼间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c>
                <w:tcPr>
                  <w:tcW w:w="1745"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夜</w:t>
                  </w:r>
                  <w:r>
                    <w:rPr>
                      <w:rFonts w:hint="default" w:ascii="Times New Roman" w:hAnsi="Times New Roman" w:eastAsia="宋体" w:cs="Times New Roman"/>
                      <w:b/>
                      <w:bCs/>
                      <w:color w:val="auto"/>
                      <w:szCs w:val="21"/>
                      <w:highlight w:val="none"/>
                      <w:lang w:val="en-US" w:eastAsia="zh-CN"/>
                    </w:rPr>
                    <w:t>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1</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东厂界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38.99</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38.99</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43.71</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43.71</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3</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西厂界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39</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39</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4</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44.04</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44.04</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bl>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default" w:ascii="Times New Roman" w:hAnsi="Times New Roman" w:eastAsia="宋体" w:cs="Times New Roman"/>
                <w:b/>
                <w:snapToGrid w:val="0"/>
                <w:color w:val="auto"/>
                <w:kern w:val="0"/>
                <w:sz w:val="21"/>
                <w:szCs w:val="21"/>
                <w:lang w:val="en-US" w:eastAsia="zh-CN"/>
              </w:rPr>
            </w:pPr>
            <w:r>
              <w:rPr>
                <w:rFonts w:hint="eastAsia" w:ascii="Times New Roman" w:hAnsi="Times New Roman" w:eastAsia="宋体" w:cs="Times New Roman"/>
                <w:b/>
                <w:snapToGrid w:val="0"/>
                <w:color w:val="auto"/>
                <w:kern w:val="0"/>
                <w:sz w:val="21"/>
                <w:szCs w:val="21"/>
                <w:lang w:val="en-US" w:eastAsia="zh-CN"/>
              </w:rPr>
              <w:t>表4-</w:t>
            </w:r>
            <w:r>
              <w:rPr>
                <w:rFonts w:hint="eastAsia" w:cs="Times New Roman"/>
                <w:b/>
                <w:snapToGrid w:val="0"/>
                <w:color w:val="auto"/>
                <w:kern w:val="0"/>
                <w:sz w:val="21"/>
                <w:szCs w:val="21"/>
                <w:lang w:val="en-US" w:eastAsia="zh-CN"/>
              </w:rPr>
              <w:t>7</w:t>
            </w:r>
            <w:r>
              <w:rPr>
                <w:rFonts w:hint="default" w:ascii="Times New Roman" w:hAnsi="Times New Roman" w:eastAsia="宋体" w:cs="Times New Roman"/>
                <w:b/>
                <w:snapToGrid w:val="0"/>
                <w:color w:val="auto"/>
                <w:kern w:val="0"/>
                <w:sz w:val="21"/>
                <w:szCs w:val="21"/>
                <w:lang w:val="en-US" w:eastAsia="zh-CN"/>
              </w:rPr>
              <w:t xml:space="preserve">   项目</w:t>
            </w:r>
            <w:r>
              <w:rPr>
                <w:rFonts w:hint="eastAsia" w:ascii="Times New Roman" w:hAnsi="Times New Roman" w:eastAsia="宋体" w:cs="Times New Roman"/>
                <w:b/>
                <w:snapToGrid w:val="0"/>
                <w:color w:val="auto"/>
                <w:kern w:val="0"/>
                <w:sz w:val="21"/>
                <w:szCs w:val="21"/>
                <w:lang w:val="en-US" w:eastAsia="zh-CN"/>
              </w:rPr>
              <w:t>TH2机房</w:t>
            </w:r>
            <w:r>
              <w:rPr>
                <w:rFonts w:hint="default" w:ascii="Times New Roman" w:hAnsi="Times New Roman" w:eastAsia="宋体" w:cs="Times New Roman"/>
                <w:b/>
                <w:snapToGrid w:val="0"/>
                <w:color w:val="auto"/>
                <w:kern w:val="0"/>
                <w:sz w:val="21"/>
                <w:szCs w:val="21"/>
                <w:lang w:val="en-US" w:eastAsia="zh-CN"/>
              </w:rPr>
              <w:t>噪声贡献值预测结果表   单位：dB(A)</w:t>
            </w:r>
          </w:p>
          <w:tbl>
            <w:tblPr>
              <w:tblStyle w:val="27"/>
              <w:tblW w:w="490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16"/>
              <w:gridCol w:w="1373"/>
              <w:gridCol w:w="1373"/>
              <w:gridCol w:w="1382"/>
              <w:gridCol w:w="1373"/>
              <w:gridCol w:w="1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序号</w:t>
                  </w:r>
                </w:p>
              </w:tc>
              <w:tc>
                <w:tcPr>
                  <w:tcW w:w="868"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预测点</w:t>
                  </w:r>
                </w:p>
              </w:tc>
              <w:tc>
                <w:tcPr>
                  <w:tcW w:w="1742"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昼间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c>
                <w:tcPr>
                  <w:tcW w:w="1745"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夜</w:t>
                  </w:r>
                  <w:r>
                    <w:rPr>
                      <w:rFonts w:hint="default" w:ascii="Times New Roman" w:hAnsi="Times New Roman" w:eastAsia="宋体" w:cs="Times New Roman"/>
                      <w:b/>
                      <w:bCs/>
                      <w:color w:val="auto"/>
                      <w:szCs w:val="21"/>
                      <w:highlight w:val="none"/>
                      <w:lang w:val="en-US" w:eastAsia="zh-CN"/>
                    </w:rPr>
                    <w:t>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1</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东厂界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38.99</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38.99</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43.71</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43.71</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3</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西厂界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39</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39</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4</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44.04</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44.04</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bl>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eastAsia" w:ascii="Times New Roman" w:hAnsi="Times New Roman" w:eastAsia="宋体" w:cs="Times New Roman"/>
                <w:b/>
                <w:snapToGrid w:val="0"/>
                <w:color w:val="auto"/>
                <w:kern w:val="0"/>
                <w:sz w:val="21"/>
                <w:szCs w:val="21"/>
                <w:lang w:val="en-US" w:eastAsia="zh-CN"/>
              </w:rPr>
            </w:pP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eastAsia" w:ascii="Times New Roman" w:hAnsi="Times New Roman" w:eastAsia="宋体" w:cs="Times New Roman"/>
                <w:b/>
                <w:snapToGrid w:val="0"/>
                <w:color w:val="auto"/>
                <w:kern w:val="0"/>
                <w:sz w:val="21"/>
                <w:szCs w:val="21"/>
                <w:lang w:val="en-US" w:eastAsia="zh-CN"/>
              </w:rPr>
            </w:pP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eastAsia" w:ascii="Times New Roman" w:hAnsi="Times New Roman" w:eastAsia="宋体" w:cs="Times New Roman"/>
                <w:b/>
                <w:snapToGrid w:val="0"/>
                <w:color w:val="auto"/>
                <w:kern w:val="0"/>
                <w:sz w:val="21"/>
                <w:szCs w:val="21"/>
                <w:lang w:val="en-US" w:eastAsia="zh-CN"/>
              </w:rPr>
            </w:pP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eastAsia" w:ascii="Times New Roman" w:hAnsi="Times New Roman" w:eastAsia="宋体" w:cs="Times New Roman"/>
                <w:b/>
                <w:snapToGrid w:val="0"/>
                <w:color w:val="auto"/>
                <w:kern w:val="0"/>
                <w:sz w:val="21"/>
                <w:szCs w:val="21"/>
                <w:lang w:val="en-US" w:eastAsia="zh-CN"/>
              </w:rPr>
            </w:pP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eastAsia" w:ascii="Times New Roman" w:hAnsi="Times New Roman" w:eastAsia="宋体" w:cs="Times New Roman"/>
                <w:b/>
                <w:snapToGrid w:val="0"/>
                <w:color w:val="auto"/>
                <w:kern w:val="0"/>
                <w:sz w:val="21"/>
                <w:szCs w:val="21"/>
                <w:lang w:val="en-US" w:eastAsia="zh-CN"/>
              </w:rPr>
            </w:pP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eastAsia" w:ascii="Times New Roman" w:hAnsi="Times New Roman" w:eastAsia="宋体" w:cs="Times New Roman"/>
                <w:b/>
                <w:snapToGrid w:val="0"/>
                <w:color w:val="auto"/>
                <w:kern w:val="0"/>
                <w:sz w:val="21"/>
                <w:szCs w:val="21"/>
                <w:lang w:val="en-US" w:eastAsia="zh-CN"/>
              </w:rPr>
            </w:pPr>
          </w:p>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default" w:ascii="Times New Roman" w:hAnsi="Times New Roman" w:eastAsia="宋体" w:cs="Times New Roman"/>
                <w:b/>
                <w:snapToGrid w:val="0"/>
                <w:color w:val="auto"/>
                <w:kern w:val="0"/>
                <w:sz w:val="21"/>
                <w:szCs w:val="21"/>
                <w:lang w:val="en-US" w:eastAsia="zh-CN"/>
              </w:rPr>
            </w:pPr>
            <w:r>
              <w:rPr>
                <w:rFonts w:hint="eastAsia" w:ascii="Times New Roman" w:hAnsi="Times New Roman" w:eastAsia="宋体" w:cs="Times New Roman"/>
                <w:b/>
                <w:snapToGrid w:val="0"/>
                <w:color w:val="auto"/>
                <w:kern w:val="0"/>
                <w:sz w:val="21"/>
                <w:szCs w:val="21"/>
                <w:lang w:val="en-US" w:eastAsia="zh-CN"/>
              </w:rPr>
              <w:t>表4-</w:t>
            </w:r>
            <w:r>
              <w:rPr>
                <w:rFonts w:hint="eastAsia" w:cs="Times New Roman"/>
                <w:b/>
                <w:snapToGrid w:val="0"/>
                <w:color w:val="auto"/>
                <w:kern w:val="0"/>
                <w:sz w:val="21"/>
                <w:szCs w:val="21"/>
                <w:lang w:val="en-US" w:eastAsia="zh-CN"/>
              </w:rPr>
              <w:t>8</w:t>
            </w:r>
            <w:r>
              <w:rPr>
                <w:rFonts w:hint="default" w:ascii="Times New Roman" w:hAnsi="Times New Roman" w:eastAsia="宋体" w:cs="Times New Roman"/>
                <w:b/>
                <w:snapToGrid w:val="0"/>
                <w:color w:val="auto"/>
                <w:kern w:val="0"/>
                <w:sz w:val="21"/>
                <w:szCs w:val="21"/>
                <w:lang w:val="en-US" w:eastAsia="zh-CN"/>
              </w:rPr>
              <w:t xml:space="preserve">   项目</w:t>
            </w:r>
            <w:r>
              <w:rPr>
                <w:rFonts w:hint="eastAsia" w:ascii="Times New Roman" w:hAnsi="Times New Roman" w:eastAsia="宋体" w:cs="Times New Roman"/>
                <w:b/>
                <w:snapToGrid w:val="0"/>
                <w:color w:val="auto"/>
                <w:kern w:val="0"/>
                <w:sz w:val="21"/>
                <w:szCs w:val="21"/>
                <w:lang w:val="en-US" w:eastAsia="zh-CN"/>
              </w:rPr>
              <w:t>TH3机房</w:t>
            </w:r>
            <w:r>
              <w:rPr>
                <w:rFonts w:hint="default" w:ascii="Times New Roman" w:hAnsi="Times New Roman" w:eastAsia="宋体" w:cs="Times New Roman"/>
                <w:b/>
                <w:snapToGrid w:val="0"/>
                <w:color w:val="auto"/>
                <w:kern w:val="0"/>
                <w:sz w:val="21"/>
                <w:szCs w:val="21"/>
                <w:lang w:val="en-US" w:eastAsia="zh-CN"/>
              </w:rPr>
              <w:t>噪声贡献值预测结果表   单位：dB(A)</w:t>
            </w:r>
          </w:p>
          <w:tbl>
            <w:tblPr>
              <w:tblStyle w:val="27"/>
              <w:tblW w:w="490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17"/>
              <w:gridCol w:w="1371"/>
              <w:gridCol w:w="1371"/>
              <w:gridCol w:w="1384"/>
              <w:gridCol w:w="1384"/>
              <w:gridCol w:w="137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序号</w:t>
                  </w:r>
                </w:p>
              </w:tc>
              <w:tc>
                <w:tcPr>
                  <w:tcW w:w="867"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预测点</w:t>
                  </w:r>
                </w:p>
              </w:tc>
              <w:tc>
                <w:tcPr>
                  <w:tcW w:w="1742"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昼间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c>
                <w:tcPr>
                  <w:tcW w:w="1745"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夜</w:t>
                  </w:r>
                  <w:r>
                    <w:rPr>
                      <w:rFonts w:hint="default" w:ascii="Times New Roman" w:hAnsi="Times New Roman" w:eastAsia="宋体" w:cs="Times New Roman"/>
                      <w:b/>
                      <w:bCs/>
                      <w:color w:val="auto"/>
                      <w:szCs w:val="21"/>
                      <w:highlight w:val="none"/>
                      <w:lang w:val="en-US" w:eastAsia="zh-CN"/>
                    </w:rPr>
                    <w:t>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7"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c>
                <w:tcPr>
                  <w:tcW w:w="875"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69"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1</w:t>
                  </w:r>
                </w:p>
              </w:tc>
              <w:tc>
                <w:tcPr>
                  <w:tcW w:w="86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东厂界</w:t>
                  </w:r>
                </w:p>
              </w:tc>
              <w:tc>
                <w:tcPr>
                  <w:tcW w:w="86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38.99</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87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38.99</w:t>
                  </w:r>
                </w:p>
              </w:tc>
              <w:tc>
                <w:tcPr>
                  <w:tcW w:w="8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w:t>
                  </w:r>
                </w:p>
              </w:tc>
              <w:tc>
                <w:tcPr>
                  <w:tcW w:w="86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南厂界</w:t>
                  </w:r>
                </w:p>
              </w:tc>
              <w:tc>
                <w:tcPr>
                  <w:tcW w:w="86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43.71</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87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43.71</w:t>
                  </w:r>
                </w:p>
              </w:tc>
              <w:tc>
                <w:tcPr>
                  <w:tcW w:w="8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3</w:t>
                  </w:r>
                </w:p>
              </w:tc>
              <w:tc>
                <w:tcPr>
                  <w:tcW w:w="86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西厂界</w:t>
                  </w:r>
                </w:p>
              </w:tc>
              <w:tc>
                <w:tcPr>
                  <w:tcW w:w="86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39</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87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39</w:t>
                  </w:r>
                </w:p>
              </w:tc>
              <w:tc>
                <w:tcPr>
                  <w:tcW w:w="8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4</w:t>
                  </w:r>
                </w:p>
              </w:tc>
              <w:tc>
                <w:tcPr>
                  <w:tcW w:w="86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北厂界</w:t>
                  </w:r>
                </w:p>
              </w:tc>
              <w:tc>
                <w:tcPr>
                  <w:tcW w:w="86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44.04</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875"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44.04</w:t>
                  </w:r>
                </w:p>
              </w:tc>
              <w:tc>
                <w:tcPr>
                  <w:tcW w:w="869"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bl>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default" w:ascii="Times New Roman" w:hAnsi="Times New Roman" w:eastAsia="宋体" w:cs="Times New Roman"/>
                <w:b/>
                <w:bCs/>
                <w:color w:val="auto"/>
                <w:highlight w:val="none"/>
              </w:rPr>
            </w:pPr>
            <w:r>
              <w:rPr>
                <w:rFonts w:hint="eastAsia" w:ascii="Times New Roman" w:hAnsi="Times New Roman" w:eastAsia="宋体" w:cs="Times New Roman"/>
                <w:b/>
                <w:snapToGrid w:val="0"/>
                <w:color w:val="auto"/>
                <w:kern w:val="0"/>
                <w:sz w:val="21"/>
                <w:szCs w:val="21"/>
                <w:lang w:val="en-US" w:eastAsia="zh-CN"/>
              </w:rPr>
              <w:t>表4-</w:t>
            </w:r>
            <w:r>
              <w:rPr>
                <w:rFonts w:hint="eastAsia" w:cs="Times New Roman"/>
                <w:b/>
                <w:snapToGrid w:val="0"/>
                <w:color w:val="auto"/>
                <w:kern w:val="0"/>
                <w:sz w:val="21"/>
                <w:szCs w:val="21"/>
                <w:lang w:val="en-US" w:eastAsia="zh-CN"/>
              </w:rPr>
              <w:t>9</w:t>
            </w:r>
            <w:r>
              <w:rPr>
                <w:rFonts w:hint="default" w:ascii="Times New Roman" w:hAnsi="Times New Roman" w:eastAsia="宋体" w:cs="Times New Roman"/>
                <w:b/>
                <w:snapToGrid w:val="0"/>
                <w:color w:val="auto"/>
                <w:kern w:val="0"/>
                <w:sz w:val="21"/>
                <w:szCs w:val="21"/>
                <w:lang w:val="en-US" w:eastAsia="zh-CN"/>
              </w:rPr>
              <w:t xml:space="preserve">   项目</w:t>
            </w:r>
            <w:r>
              <w:rPr>
                <w:rFonts w:hint="eastAsia" w:ascii="Times New Roman" w:hAnsi="Times New Roman" w:eastAsia="宋体" w:cs="Times New Roman"/>
                <w:b/>
                <w:snapToGrid w:val="0"/>
                <w:color w:val="auto"/>
                <w:kern w:val="0"/>
                <w:sz w:val="21"/>
                <w:szCs w:val="21"/>
                <w:lang w:val="en-US" w:eastAsia="zh-CN"/>
              </w:rPr>
              <w:t>TH4机房</w:t>
            </w:r>
            <w:r>
              <w:rPr>
                <w:rFonts w:hint="default" w:ascii="Times New Roman" w:hAnsi="Times New Roman" w:eastAsia="宋体" w:cs="Times New Roman"/>
                <w:b/>
                <w:snapToGrid w:val="0"/>
                <w:color w:val="auto"/>
                <w:kern w:val="0"/>
                <w:sz w:val="21"/>
                <w:szCs w:val="21"/>
                <w:lang w:val="en-US" w:eastAsia="zh-CN"/>
              </w:rPr>
              <w:t>噪声贡献值预测结果表   单位：dB(A</w:t>
            </w:r>
            <w:r>
              <w:rPr>
                <w:rFonts w:hint="default" w:ascii="Times New Roman" w:hAnsi="Times New Roman" w:eastAsia="宋体" w:cs="Times New Roman"/>
                <w:b/>
                <w:bCs/>
                <w:color w:val="auto"/>
                <w:highlight w:val="none"/>
              </w:rPr>
              <w:t>)</w:t>
            </w:r>
          </w:p>
          <w:tbl>
            <w:tblPr>
              <w:tblStyle w:val="27"/>
              <w:tblW w:w="490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18"/>
              <w:gridCol w:w="1372"/>
              <w:gridCol w:w="1372"/>
              <w:gridCol w:w="1383"/>
              <w:gridCol w:w="1384"/>
              <w:gridCol w:w="137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4"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序号</w:t>
                  </w:r>
                </w:p>
              </w:tc>
              <w:tc>
                <w:tcPr>
                  <w:tcW w:w="868"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预测点</w:t>
                  </w:r>
                </w:p>
              </w:tc>
              <w:tc>
                <w:tcPr>
                  <w:tcW w:w="1743"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昼间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c>
                <w:tcPr>
                  <w:tcW w:w="2901" w:type="dxa"/>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夜</w:t>
                  </w:r>
                  <w:r>
                    <w:rPr>
                      <w:rFonts w:hint="default" w:ascii="Times New Roman" w:hAnsi="Times New Roman" w:eastAsia="宋体" w:cs="Times New Roman"/>
                      <w:b/>
                      <w:bCs/>
                      <w:color w:val="auto"/>
                      <w:szCs w:val="21"/>
                      <w:highlight w:val="none"/>
                      <w:lang w:val="en-US" w:eastAsia="zh-CN"/>
                    </w:rPr>
                    <w:t>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4"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c>
                <w:tcPr>
                  <w:tcW w:w="1444" w:type="dxa"/>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1457" w:type="dxa"/>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1</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东厂界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38.95</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1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38.95</w:t>
                  </w:r>
                </w:p>
              </w:tc>
              <w:tc>
                <w:tcPr>
                  <w:tcW w:w="145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43.67</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1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43.67</w:t>
                  </w:r>
                </w:p>
              </w:tc>
              <w:tc>
                <w:tcPr>
                  <w:tcW w:w="145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3</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西厂界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38.96</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1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38.96</w:t>
                  </w:r>
                </w:p>
              </w:tc>
              <w:tc>
                <w:tcPr>
                  <w:tcW w:w="145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4</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44</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65</w:t>
                  </w:r>
                </w:p>
              </w:tc>
              <w:tc>
                <w:tcPr>
                  <w:tcW w:w="1444"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44</w:t>
                  </w:r>
                </w:p>
              </w:tc>
              <w:tc>
                <w:tcPr>
                  <w:tcW w:w="1457" w:type="dxa"/>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sz w:val="21"/>
                      <w:szCs w:val="21"/>
                      <w:highlight w:val="yellow"/>
                      <w:lang w:val="en-US" w:eastAsia="zh-CN"/>
                    </w:rPr>
                  </w:pPr>
                  <w:r>
                    <w:rPr>
                      <w:rFonts w:hint="eastAsia" w:cs="Times New Roman"/>
                      <w:color w:val="auto"/>
                      <w:sz w:val="21"/>
                      <w:szCs w:val="21"/>
                      <w:highlight w:val="none"/>
                      <w:lang w:val="en-US" w:eastAsia="zh-CN"/>
                    </w:rPr>
                    <w:t>55</w:t>
                  </w:r>
                </w:p>
              </w:tc>
            </w:tr>
          </w:tbl>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default" w:ascii="Times New Roman" w:hAnsi="Times New Roman" w:eastAsia="宋体" w:cs="Times New Roman"/>
                <w:b/>
                <w:snapToGrid w:val="0"/>
                <w:color w:val="auto"/>
                <w:kern w:val="0"/>
                <w:sz w:val="21"/>
                <w:szCs w:val="21"/>
                <w:lang w:val="en-US" w:eastAsia="zh-CN"/>
              </w:rPr>
            </w:pPr>
            <w:r>
              <w:rPr>
                <w:rFonts w:hint="eastAsia" w:ascii="Times New Roman" w:hAnsi="Times New Roman" w:eastAsia="宋体" w:cs="Times New Roman"/>
                <w:b/>
                <w:snapToGrid w:val="0"/>
                <w:color w:val="auto"/>
                <w:kern w:val="0"/>
                <w:sz w:val="21"/>
                <w:szCs w:val="21"/>
                <w:lang w:val="en-US" w:eastAsia="zh-CN"/>
              </w:rPr>
              <w:t>表4-</w:t>
            </w:r>
            <w:r>
              <w:rPr>
                <w:rFonts w:hint="eastAsia" w:cs="Times New Roman"/>
                <w:b/>
                <w:snapToGrid w:val="0"/>
                <w:color w:val="auto"/>
                <w:kern w:val="0"/>
                <w:sz w:val="21"/>
                <w:szCs w:val="21"/>
                <w:lang w:val="en-US" w:eastAsia="zh-CN"/>
              </w:rPr>
              <w:t>10</w:t>
            </w:r>
            <w:r>
              <w:rPr>
                <w:rFonts w:hint="default" w:ascii="Times New Roman" w:hAnsi="Times New Roman" w:eastAsia="宋体" w:cs="Times New Roman"/>
                <w:b/>
                <w:snapToGrid w:val="0"/>
                <w:color w:val="auto"/>
                <w:kern w:val="0"/>
                <w:sz w:val="21"/>
                <w:szCs w:val="21"/>
                <w:lang w:val="en-US" w:eastAsia="zh-CN"/>
              </w:rPr>
              <w:t xml:space="preserve">   项目</w:t>
            </w:r>
            <w:r>
              <w:rPr>
                <w:rFonts w:hint="eastAsia" w:ascii="Times New Roman" w:hAnsi="Times New Roman" w:eastAsia="宋体" w:cs="Times New Roman"/>
                <w:b/>
                <w:snapToGrid w:val="0"/>
                <w:color w:val="auto"/>
                <w:kern w:val="0"/>
                <w:sz w:val="21"/>
                <w:szCs w:val="21"/>
                <w:lang w:val="en-US" w:eastAsia="zh-CN"/>
              </w:rPr>
              <w:t>TG1机房</w:t>
            </w:r>
            <w:r>
              <w:rPr>
                <w:rFonts w:hint="default" w:ascii="Times New Roman" w:hAnsi="Times New Roman" w:eastAsia="宋体" w:cs="Times New Roman"/>
                <w:b/>
                <w:snapToGrid w:val="0"/>
                <w:color w:val="auto"/>
                <w:kern w:val="0"/>
                <w:sz w:val="21"/>
                <w:szCs w:val="21"/>
                <w:lang w:val="en-US" w:eastAsia="zh-CN"/>
              </w:rPr>
              <w:t>噪声贡献值预测结果表   单位：dB(A)</w:t>
            </w:r>
          </w:p>
          <w:tbl>
            <w:tblPr>
              <w:tblStyle w:val="27"/>
              <w:tblW w:w="490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16"/>
              <w:gridCol w:w="1373"/>
              <w:gridCol w:w="1373"/>
              <w:gridCol w:w="1382"/>
              <w:gridCol w:w="1373"/>
              <w:gridCol w:w="1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序号</w:t>
                  </w:r>
                </w:p>
              </w:tc>
              <w:tc>
                <w:tcPr>
                  <w:tcW w:w="868"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预测点</w:t>
                  </w:r>
                </w:p>
              </w:tc>
              <w:tc>
                <w:tcPr>
                  <w:tcW w:w="1742"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昼间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c>
                <w:tcPr>
                  <w:tcW w:w="1745"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夜</w:t>
                  </w:r>
                  <w:r>
                    <w:rPr>
                      <w:rFonts w:hint="default" w:ascii="Times New Roman" w:hAnsi="Times New Roman" w:eastAsia="宋体" w:cs="Times New Roman"/>
                      <w:b/>
                      <w:bCs/>
                      <w:color w:val="auto"/>
                      <w:szCs w:val="21"/>
                      <w:highlight w:val="none"/>
                      <w:lang w:val="en-US" w:eastAsia="zh-CN"/>
                    </w:rPr>
                    <w:t>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6"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1</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东厂界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38.95</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38.95</w:t>
                  </w:r>
                </w:p>
              </w:tc>
              <w:tc>
                <w:tcPr>
                  <w:tcW w:w="8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43.67</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43.67</w:t>
                  </w:r>
                </w:p>
              </w:tc>
              <w:tc>
                <w:tcPr>
                  <w:tcW w:w="8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3</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西厂界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38.96</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38.96</w:t>
                  </w:r>
                </w:p>
              </w:tc>
              <w:tc>
                <w:tcPr>
                  <w:tcW w:w="8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3"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4</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w:t>
                  </w:r>
                </w:p>
              </w:tc>
              <w:tc>
                <w:tcPr>
                  <w:tcW w:w="876"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bl>
          <w:p>
            <w:pPr>
              <w:keepNext w:val="0"/>
              <w:keepLines w:val="0"/>
              <w:pageBreakBefore w:val="0"/>
              <w:widowControl w:val="0"/>
              <w:suppressLineNumbers w:val="0"/>
              <w:kinsoku/>
              <w:wordWrap/>
              <w:overflowPunct/>
              <w:topLinePunct w:val="0"/>
              <w:autoSpaceDE/>
              <w:autoSpaceDN/>
              <w:bidi w:val="0"/>
              <w:snapToGrid/>
              <w:spacing w:before="0" w:beforeAutospacing="0" w:after="0" w:afterAutospacing="0" w:line="240" w:lineRule="auto"/>
              <w:ind w:left="0" w:right="0"/>
              <w:jc w:val="center"/>
              <w:textAlignment w:val="auto"/>
              <w:rPr>
                <w:rFonts w:hint="default" w:ascii="Times New Roman" w:hAnsi="Times New Roman" w:eastAsia="宋体" w:cs="Times New Roman"/>
                <w:b/>
                <w:snapToGrid w:val="0"/>
                <w:color w:val="auto"/>
                <w:kern w:val="0"/>
                <w:sz w:val="21"/>
                <w:szCs w:val="21"/>
                <w:lang w:val="en-US" w:eastAsia="zh-CN"/>
              </w:rPr>
            </w:pPr>
            <w:r>
              <w:rPr>
                <w:rFonts w:hint="eastAsia" w:ascii="Times New Roman" w:hAnsi="Times New Roman" w:eastAsia="宋体" w:cs="Times New Roman"/>
                <w:b/>
                <w:snapToGrid w:val="0"/>
                <w:color w:val="auto"/>
                <w:kern w:val="0"/>
                <w:sz w:val="21"/>
                <w:szCs w:val="21"/>
                <w:lang w:val="en-US" w:eastAsia="zh-CN"/>
              </w:rPr>
              <w:t>表4-1</w:t>
            </w:r>
            <w:r>
              <w:rPr>
                <w:rFonts w:hint="eastAsia" w:cs="Times New Roman"/>
                <w:b/>
                <w:snapToGrid w:val="0"/>
                <w:color w:val="auto"/>
                <w:kern w:val="0"/>
                <w:sz w:val="21"/>
                <w:szCs w:val="21"/>
                <w:lang w:val="en-US" w:eastAsia="zh-CN"/>
              </w:rPr>
              <w:t>1</w:t>
            </w:r>
            <w:r>
              <w:rPr>
                <w:rFonts w:hint="default" w:ascii="Times New Roman" w:hAnsi="Times New Roman" w:eastAsia="宋体" w:cs="Times New Roman"/>
                <w:b/>
                <w:snapToGrid w:val="0"/>
                <w:color w:val="auto"/>
                <w:kern w:val="0"/>
                <w:sz w:val="21"/>
                <w:szCs w:val="21"/>
                <w:lang w:val="en-US" w:eastAsia="zh-CN"/>
              </w:rPr>
              <w:t xml:space="preserve">   项目</w:t>
            </w:r>
            <w:r>
              <w:rPr>
                <w:rFonts w:hint="eastAsia" w:ascii="Times New Roman" w:hAnsi="Times New Roman" w:eastAsia="宋体" w:cs="Times New Roman"/>
                <w:b/>
                <w:snapToGrid w:val="0"/>
                <w:color w:val="auto"/>
                <w:kern w:val="0"/>
                <w:sz w:val="21"/>
                <w:szCs w:val="21"/>
                <w:lang w:val="en-US" w:eastAsia="zh-CN"/>
              </w:rPr>
              <w:t>TG2机房</w:t>
            </w:r>
            <w:r>
              <w:rPr>
                <w:rFonts w:hint="default" w:ascii="Times New Roman" w:hAnsi="Times New Roman" w:eastAsia="宋体" w:cs="Times New Roman"/>
                <w:b/>
                <w:snapToGrid w:val="0"/>
                <w:color w:val="auto"/>
                <w:kern w:val="0"/>
                <w:sz w:val="21"/>
                <w:szCs w:val="21"/>
                <w:lang w:val="en-US" w:eastAsia="zh-CN"/>
              </w:rPr>
              <w:t>噪声贡献值预测结果表   单位：dB(A)</w:t>
            </w:r>
          </w:p>
          <w:tbl>
            <w:tblPr>
              <w:tblStyle w:val="27"/>
              <w:tblW w:w="4906"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16"/>
              <w:gridCol w:w="1373"/>
              <w:gridCol w:w="1373"/>
              <w:gridCol w:w="1382"/>
              <w:gridCol w:w="1373"/>
              <w:gridCol w:w="1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序号</w:t>
                  </w:r>
                </w:p>
              </w:tc>
              <w:tc>
                <w:tcPr>
                  <w:tcW w:w="868" w:type="pct"/>
                  <w:vMerge w:val="restar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预测点</w:t>
                  </w:r>
                </w:p>
              </w:tc>
              <w:tc>
                <w:tcPr>
                  <w:tcW w:w="1742"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昼间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c>
                <w:tcPr>
                  <w:tcW w:w="1745" w:type="pct"/>
                  <w:gridSpan w:val="2"/>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eastAsia" w:ascii="Times New Roman" w:hAnsi="Times New Roman" w:eastAsia="宋体" w:cs="Times New Roman"/>
                      <w:b/>
                      <w:bCs/>
                      <w:color w:val="auto"/>
                      <w:szCs w:val="21"/>
                      <w:highlight w:val="none"/>
                      <w:lang w:val="en-US" w:eastAsia="zh-CN"/>
                    </w:rPr>
                    <w:t>夜</w:t>
                  </w:r>
                  <w:r>
                    <w:rPr>
                      <w:rFonts w:hint="default" w:ascii="Times New Roman" w:hAnsi="Times New Roman" w:eastAsia="宋体" w:cs="Times New Roman"/>
                      <w:b/>
                      <w:bCs/>
                      <w:color w:val="auto"/>
                      <w:szCs w:val="21"/>
                      <w:highlight w:val="none"/>
                      <w:lang w:val="en-US" w:eastAsia="zh-CN"/>
                    </w:rPr>
                    <w:t>间</w:t>
                  </w:r>
                  <w:r>
                    <w:rPr>
                      <w:rFonts w:hint="eastAsia" w:ascii="Times New Roman" w:hAnsi="Times New Roman" w:eastAsia="宋体" w:cs="Times New Roman"/>
                      <w:b/>
                      <w:bCs/>
                      <w:color w:val="auto"/>
                      <w:szCs w:val="21"/>
                      <w:highlight w:val="none"/>
                      <w:lang w:val="en-US" w:eastAsia="zh-CN"/>
                    </w:rPr>
                    <w:t>（</w:t>
                  </w:r>
                  <w:r>
                    <w:rPr>
                      <w:rFonts w:hint="default" w:ascii="Times New Roman" w:hAnsi="Times New Roman" w:eastAsia="宋体" w:cs="Times New Roman"/>
                      <w:b/>
                      <w:bCs/>
                      <w:color w:val="auto"/>
                      <w:szCs w:val="21"/>
                      <w:highlight w:val="none"/>
                      <w:lang w:val="en-US" w:eastAsia="zh-CN"/>
                    </w:rPr>
                    <w:t>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vMerge w:val="continue"/>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4"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贡献值</w:t>
                  </w:r>
                </w:p>
              </w:tc>
              <w:tc>
                <w:tcPr>
                  <w:tcW w:w="877"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b/>
                      <w:bCs/>
                      <w:color w:val="auto"/>
                      <w:szCs w:val="21"/>
                      <w:highlight w:val="none"/>
                      <w:lang w:val="en-US" w:eastAsia="zh-CN"/>
                    </w:rPr>
                  </w:pPr>
                  <w:r>
                    <w:rPr>
                      <w:rFonts w:hint="default" w:ascii="Times New Roman" w:hAnsi="Times New Roman" w:eastAsia="宋体" w:cs="Times New Roman"/>
                      <w:b/>
                      <w:bCs/>
                      <w:color w:val="auto"/>
                      <w:szCs w:val="21"/>
                      <w:highlight w:val="none"/>
                      <w:lang w:val="en-US" w:eastAsia="zh-CN"/>
                    </w:rPr>
                    <w:t>标准值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1</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东厂界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38.95</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38.95</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2</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43.67</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43.67</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3</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西厂界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38.96</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38.96</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642"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4</w:t>
                  </w:r>
                </w:p>
              </w:tc>
              <w:tc>
                <w:tcPr>
                  <w:tcW w:w="868" w:type="pct"/>
                  <w:tcBorders>
                    <w:tl2br w:val="nil"/>
                    <w:tr2bl w:val="nil"/>
                  </w:tcBorders>
                  <w:noWrap w:val="0"/>
                  <w:vAlign w:val="center"/>
                </w:tcPr>
                <w:p>
                  <w:pPr>
                    <w:pStyle w:val="59"/>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0" w:lineRule="atLeast"/>
                    <w:ind w:left="0" w:right="0"/>
                    <w:textAlignment w:val="auto"/>
                    <w:rPr>
                      <w:rFonts w:hint="default" w:ascii="Times New Roman" w:hAnsi="Times New Roman" w:eastAsia="宋体" w:cs="Times New Roman"/>
                      <w:color w:val="auto"/>
                      <w:szCs w:val="21"/>
                      <w:highlight w:val="none"/>
                      <w:lang w:val="en-US" w:eastAsia="zh-CN"/>
                    </w:rPr>
                  </w:pPr>
                  <w:r>
                    <w:rPr>
                      <w:rFonts w:hint="default" w:ascii="Times New Roman" w:hAnsi="Times New Roman" w:eastAsia="宋体" w:cs="Times New Roman"/>
                      <w:color w:val="auto"/>
                      <w:szCs w:val="21"/>
                      <w:highlight w:val="none"/>
                      <w:lang w:val="en-US" w:eastAsia="zh-CN"/>
                    </w:rPr>
                    <w:t>北厂界</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w:t>
                  </w:r>
                </w:p>
              </w:tc>
              <w:tc>
                <w:tcPr>
                  <w:tcW w:w="874"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65</w:t>
                  </w:r>
                </w:p>
              </w:tc>
              <w:tc>
                <w:tcPr>
                  <w:tcW w:w="868"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rPr>
                    <w:t>44</w:t>
                  </w:r>
                </w:p>
              </w:tc>
              <w:tc>
                <w:tcPr>
                  <w:tcW w:w="877" w:type="pct"/>
                  <w:tcBorders>
                    <w:tl2br w:val="nil"/>
                    <w:tr2bl w:val="nil"/>
                  </w:tcBorders>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eastAsia" w:ascii="Times New Roman" w:hAnsi="Times New Roman" w:eastAsia="宋体" w:cs="Times New Roman"/>
                      <w:color w:val="auto"/>
                      <w:kern w:val="2"/>
                      <w:sz w:val="21"/>
                      <w:szCs w:val="21"/>
                      <w:highlight w:val="yellow"/>
                      <w:lang w:val="en-US" w:eastAsia="zh-CN" w:bidi="ar-SA"/>
                    </w:rPr>
                  </w:pPr>
                  <w:r>
                    <w:rPr>
                      <w:rFonts w:hint="eastAsia" w:cs="Times New Roman"/>
                      <w:color w:val="auto"/>
                      <w:sz w:val="21"/>
                      <w:szCs w:val="21"/>
                      <w:highlight w:val="none"/>
                      <w:lang w:val="en-US" w:eastAsia="zh-CN"/>
                    </w:rPr>
                    <w:t>55</w:t>
                  </w:r>
                </w:p>
              </w:tc>
            </w:tr>
          </w:tbl>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color w:val="auto"/>
                <w:sz w:val="24"/>
                <w:szCs w:val="32"/>
                <w:highlight w:val="none"/>
                <w:lang w:val="en-US" w:eastAsia="zh-CN"/>
              </w:rPr>
            </w:pPr>
            <w:r>
              <w:rPr>
                <w:rFonts w:hint="default" w:ascii="Times New Roman" w:hAnsi="Times New Roman" w:eastAsia="宋体" w:cs="Times New Roman"/>
                <w:color w:val="auto"/>
                <w:sz w:val="24"/>
                <w:szCs w:val="32"/>
                <w:highlight w:val="none"/>
                <w:lang w:val="en-US" w:eastAsia="zh-CN"/>
              </w:rPr>
              <w:t>采取措施后，再经过距离衰减，各转接机房的噪声满足《工业企业厂界环境噪声排放标准》(GB12348-2008</w:t>
            </w:r>
            <w:r>
              <w:rPr>
                <w:rFonts w:hint="eastAsia" w:ascii="Times New Roman" w:hAnsi="Times New Roman" w:eastAsia="宋体" w:cs="Times New Roman"/>
                <w:color w:val="auto"/>
                <w:sz w:val="24"/>
                <w:szCs w:val="32"/>
                <w:highlight w:val="none"/>
                <w:lang w:val="en-US" w:eastAsia="zh-CN"/>
              </w:rPr>
              <w:t>）</w:t>
            </w:r>
            <w:r>
              <w:rPr>
                <w:rFonts w:hint="default" w:ascii="Times New Roman" w:hAnsi="Times New Roman" w:eastAsia="宋体" w:cs="Times New Roman"/>
                <w:color w:val="auto"/>
                <w:sz w:val="24"/>
                <w:szCs w:val="32"/>
                <w:highlight w:val="none"/>
                <w:lang w:val="en-US" w:eastAsia="zh-CN"/>
              </w:rPr>
              <w:t xml:space="preserve">中3类标准要求。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bCs/>
                <w:color w:val="auto"/>
                <w:sz w:val="24"/>
                <w:szCs w:val="24"/>
                <w:lang w:val="en-US"/>
              </w:rPr>
            </w:pPr>
            <w:r>
              <w:rPr>
                <w:rFonts w:hint="default" w:ascii="Times New Roman" w:hAnsi="Times New Roman" w:eastAsia="宋体" w:cs="Times New Roman"/>
                <w:color w:val="auto"/>
                <w:sz w:val="24"/>
                <w:szCs w:val="32"/>
                <w:highlight w:val="none"/>
                <w:lang w:val="en-US" w:eastAsia="zh-CN"/>
              </w:rPr>
              <w:t>本项目位于唐山海港经济开发区，所在区域以工业生产和仓储物流为主，所在区域属《声环境质量标准》(GB3096-2008</w:t>
            </w:r>
            <w:r>
              <w:rPr>
                <w:rFonts w:hint="eastAsia" w:ascii="Times New Roman" w:hAnsi="Times New Roman" w:eastAsia="宋体" w:cs="Times New Roman"/>
                <w:color w:val="auto"/>
                <w:sz w:val="24"/>
                <w:szCs w:val="32"/>
                <w:highlight w:val="none"/>
                <w:lang w:val="en-US" w:eastAsia="zh-CN"/>
              </w:rPr>
              <w:t>）</w:t>
            </w:r>
            <w:r>
              <w:rPr>
                <w:rFonts w:hint="default" w:ascii="Times New Roman" w:hAnsi="Times New Roman" w:eastAsia="宋体" w:cs="Times New Roman"/>
                <w:color w:val="auto"/>
                <w:sz w:val="24"/>
                <w:szCs w:val="32"/>
                <w:highlight w:val="none"/>
                <w:lang w:val="en-US" w:eastAsia="zh-CN"/>
              </w:rPr>
              <w:t>中3类功能区。本项目周围200m范围内没有声环境敏感点。因此，本项目实施不会对区域的声环境产生明显影响</w:t>
            </w:r>
            <w:r>
              <w:rPr>
                <w:rFonts w:hint="eastAsia" w:cs="Times New Roman"/>
                <w:color w:val="auto"/>
                <w:sz w:val="24"/>
                <w:szCs w:val="32"/>
                <w:highlight w:val="none"/>
                <w:lang w:val="en-US" w:eastAsia="zh-CN"/>
              </w:rPr>
              <w:t>。</w:t>
            </w:r>
          </w:p>
          <w:p>
            <w:pPr>
              <w:pStyle w:val="26"/>
              <w:keepNext w:val="0"/>
              <w:keepLines w:val="0"/>
              <w:pageBreakBefore w:val="0"/>
              <w:suppressLineNumbers w:val="0"/>
              <w:kinsoku/>
              <w:wordWrap/>
              <w:overflowPunct/>
              <w:topLinePunct w:val="0"/>
              <w:autoSpaceDE/>
              <w:autoSpaceDN/>
              <w:bidi w:val="0"/>
              <w:adjustRightInd/>
              <w:snapToGrid/>
              <w:spacing w:before="0" w:beforeAutospacing="0" w:after="0" w:afterAutospacing="0" w:line="500" w:lineRule="exact"/>
              <w:ind w:left="0" w:leftChars="0" w:right="0" w:firstLineChars="200"/>
              <w:textAlignment w:val="auto"/>
              <w:rPr>
                <w:rFonts w:hint="default" w:ascii="Times New Roman" w:hAnsi="Times New Roman" w:cs="Times New Roman"/>
                <w:b/>
                <w:bCs/>
                <w:color w:val="auto"/>
              </w:rPr>
            </w:pPr>
            <w:r>
              <w:rPr>
                <w:rFonts w:hint="default" w:ascii="Times New Roman" w:hAnsi="Times New Roman" w:cs="Times New Roman"/>
                <w:color w:val="auto"/>
                <w:sz w:val="24"/>
                <w:szCs w:val="22"/>
              </w:rPr>
              <w:t>本项目噪声例行监测信息汇总见下表。</w:t>
            </w:r>
          </w:p>
          <w:p>
            <w:pPr>
              <w:pStyle w:val="26"/>
              <w:keepNext w:val="0"/>
              <w:keepLines w:val="0"/>
              <w:suppressLineNumbers w:val="0"/>
              <w:spacing w:before="0" w:beforeAutospacing="0" w:after="0" w:afterAutospacing="0" w:line="240" w:lineRule="auto"/>
              <w:ind w:left="0" w:leftChars="0" w:right="0" w:firstLine="422" w:firstLineChars="200"/>
              <w:jc w:val="center"/>
              <w:rPr>
                <w:rFonts w:hint="default" w:ascii="Times New Roman" w:hAnsi="Times New Roman" w:cs="Times New Roman"/>
                <w:b/>
                <w:bCs/>
                <w:color w:val="auto"/>
              </w:rPr>
            </w:pPr>
            <w:r>
              <w:rPr>
                <w:rFonts w:hint="default" w:ascii="Times New Roman" w:hAnsi="Times New Roman" w:cs="Times New Roman"/>
                <w:b/>
                <w:bCs/>
                <w:color w:val="auto"/>
              </w:rPr>
              <w:t>表4-1</w:t>
            </w:r>
            <w:r>
              <w:rPr>
                <w:rFonts w:hint="eastAsia" w:cs="Times New Roman"/>
                <w:b/>
                <w:bCs/>
                <w:color w:val="auto"/>
                <w:lang w:val="en-US" w:eastAsia="zh-CN"/>
              </w:rPr>
              <w:t>2</w:t>
            </w:r>
            <w:r>
              <w:rPr>
                <w:rFonts w:hint="default" w:ascii="Times New Roman" w:hAnsi="Times New Roman" w:cs="Times New Roman"/>
                <w:b/>
                <w:bCs/>
                <w:color w:val="auto"/>
              </w:rPr>
              <w:t xml:space="preserve">   本项目噪声例行监测信息汇总表</w:t>
            </w:r>
          </w:p>
          <w:tbl>
            <w:tblPr>
              <w:tblStyle w:val="27"/>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67"/>
              <w:gridCol w:w="2904"/>
              <w:gridCol w:w="1943"/>
              <w:gridCol w:w="183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9" w:type="pc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b/>
                      <w:bCs/>
                      <w:color w:val="auto"/>
                    </w:rPr>
                  </w:pPr>
                  <w:r>
                    <w:rPr>
                      <w:rFonts w:hint="default" w:ascii="Times New Roman" w:hAnsi="Times New Roman" w:cs="Times New Roman"/>
                      <w:b/>
                      <w:bCs/>
                      <w:color w:val="auto"/>
                    </w:rPr>
                    <w:t>项目</w:t>
                  </w:r>
                </w:p>
              </w:tc>
              <w:tc>
                <w:tcPr>
                  <w:tcW w:w="1803" w:type="pc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b/>
                      <w:bCs/>
                      <w:color w:val="auto"/>
                    </w:rPr>
                  </w:pPr>
                  <w:r>
                    <w:rPr>
                      <w:rFonts w:hint="default" w:ascii="Times New Roman" w:hAnsi="Times New Roman" w:cs="Times New Roman"/>
                      <w:b/>
                      <w:bCs/>
                      <w:color w:val="auto"/>
                    </w:rPr>
                    <w:t>监测点位</w:t>
                  </w:r>
                </w:p>
              </w:tc>
              <w:tc>
                <w:tcPr>
                  <w:tcW w:w="1206" w:type="pc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b/>
                      <w:bCs/>
                      <w:color w:val="auto"/>
                    </w:rPr>
                  </w:pPr>
                  <w:r>
                    <w:rPr>
                      <w:rFonts w:hint="default" w:ascii="Times New Roman" w:hAnsi="Times New Roman" w:cs="Times New Roman"/>
                      <w:b/>
                      <w:bCs/>
                      <w:color w:val="auto"/>
                    </w:rPr>
                    <w:t>监测项目</w:t>
                  </w:r>
                </w:p>
              </w:tc>
              <w:tc>
                <w:tcPr>
                  <w:tcW w:w="1141" w:type="pc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b/>
                      <w:bCs/>
                      <w:color w:val="auto"/>
                    </w:rPr>
                  </w:pPr>
                  <w:r>
                    <w:rPr>
                      <w:rFonts w:hint="default" w:ascii="Times New Roman" w:hAnsi="Times New Roman" w:cs="Times New Roman"/>
                      <w:b/>
                      <w:bCs/>
                      <w:color w:val="auto"/>
                    </w:rPr>
                    <w:t>监测频次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9" w:type="pct"/>
                  <w:vMerge w:val="restar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r>
                    <w:rPr>
                      <w:rFonts w:hint="default" w:ascii="Times New Roman" w:hAnsi="Times New Roman" w:cs="Times New Roman"/>
                      <w:color w:val="auto"/>
                    </w:rPr>
                    <w:t>噪声</w:t>
                  </w:r>
                </w:p>
              </w:tc>
              <w:tc>
                <w:tcPr>
                  <w:tcW w:w="1803" w:type="pc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eastAsia="宋体" w:cs="Times New Roman"/>
                      <w:color w:val="auto"/>
                      <w:lang w:val="en-US" w:eastAsia="zh-CN"/>
                    </w:rPr>
                  </w:pPr>
                  <w:r>
                    <w:rPr>
                      <w:rFonts w:hint="eastAsia" w:ascii="Times New Roman" w:hAnsi="Times New Roman" w:cs="Times New Roman"/>
                      <w:color w:val="auto"/>
                      <w:lang w:val="en-US" w:eastAsia="zh-CN"/>
                    </w:rPr>
                    <w:t>TH1转接机房四周</w:t>
                  </w:r>
                </w:p>
              </w:tc>
              <w:tc>
                <w:tcPr>
                  <w:tcW w:w="1206" w:type="pct"/>
                  <w:vMerge w:val="restar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r>
                    <w:rPr>
                      <w:rFonts w:hint="default" w:ascii="Times New Roman" w:hAnsi="Times New Roman" w:cs="Times New Roman"/>
                      <w:color w:val="auto"/>
                    </w:rPr>
                    <w:t>Leq</w:t>
                  </w:r>
                </w:p>
              </w:tc>
              <w:tc>
                <w:tcPr>
                  <w:tcW w:w="1141" w:type="pct"/>
                  <w:vMerge w:val="restart"/>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r>
                    <w:rPr>
                      <w:rFonts w:hint="default" w:ascii="Times New Roman" w:hAnsi="Times New Roman" w:cs="Times New Roman"/>
                      <w:color w:val="auto"/>
                    </w:rPr>
                    <w:t>每季度一次</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9"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803" w:type="pct"/>
                  <w:tcBorders>
                    <w:tl2br w:val="nil"/>
                    <w:tr2bl w:val="nil"/>
                  </w:tcBorders>
                  <w:noWrap w:val="0"/>
                  <w:vAlign w:val="center"/>
                </w:tcPr>
                <w:p>
                  <w:pPr>
                    <w:keepNext w:val="0"/>
                    <w:keepLines w:val="0"/>
                    <w:suppressLineNumbers w:val="0"/>
                    <w:spacing w:before="0" w:beforeAutospacing="0" w:after="0" w:afterAutospacing="0"/>
                    <w:ind w:left="0" w:leftChars="0" w:right="0" w:firstLine="0"/>
                    <w:jc w:val="center"/>
                    <w:rPr>
                      <w:rFonts w:hint="default" w:ascii="Times New Roman" w:hAnsi="Times New Roman" w:eastAsia="宋体" w:cs="Times New Roman"/>
                      <w:color w:val="auto"/>
                    </w:rPr>
                  </w:pPr>
                  <w:r>
                    <w:rPr>
                      <w:rFonts w:hint="eastAsia" w:ascii="Times New Roman" w:hAnsi="Times New Roman" w:eastAsia="宋体" w:cs="Times New Roman"/>
                      <w:color w:val="auto"/>
                      <w:lang w:val="en-US" w:eastAsia="zh-CN"/>
                    </w:rPr>
                    <w:t>TH2转接机房四周</w:t>
                  </w:r>
                </w:p>
              </w:tc>
              <w:tc>
                <w:tcPr>
                  <w:tcW w:w="1206"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141"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9"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803" w:type="pct"/>
                  <w:tcBorders>
                    <w:tl2br w:val="nil"/>
                    <w:tr2bl w:val="nil"/>
                  </w:tcBorders>
                  <w:noWrap w:val="0"/>
                  <w:vAlign w:val="center"/>
                </w:tcPr>
                <w:p>
                  <w:pPr>
                    <w:keepNext w:val="0"/>
                    <w:keepLines w:val="0"/>
                    <w:suppressLineNumbers w:val="0"/>
                    <w:spacing w:before="0" w:beforeAutospacing="0" w:after="0" w:afterAutospacing="0"/>
                    <w:ind w:left="0" w:leftChars="0" w:right="0" w:firstLine="0"/>
                    <w:jc w:val="center"/>
                    <w:rPr>
                      <w:rFonts w:hint="default" w:ascii="Times New Roman" w:hAnsi="Times New Roman" w:eastAsia="宋体" w:cs="Times New Roman"/>
                      <w:color w:val="auto"/>
                    </w:rPr>
                  </w:pPr>
                  <w:r>
                    <w:rPr>
                      <w:rFonts w:hint="eastAsia" w:ascii="Times New Roman" w:hAnsi="Times New Roman" w:eastAsia="宋体" w:cs="Times New Roman"/>
                      <w:color w:val="auto"/>
                      <w:lang w:val="en-US" w:eastAsia="zh-CN"/>
                    </w:rPr>
                    <w:t>TH3转接机房四周</w:t>
                  </w:r>
                </w:p>
              </w:tc>
              <w:tc>
                <w:tcPr>
                  <w:tcW w:w="1206"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141"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9"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803" w:type="pct"/>
                  <w:tcBorders>
                    <w:tl2br w:val="nil"/>
                    <w:tr2bl w:val="nil"/>
                  </w:tcBorders>
                  <w:noWrap w:val="0"/>
                  <w:vAlign w:val="center"/>
                </w:tcPr>
                <w:p>
                  <w:pPr>
                    <w:keepNext w:val="0"/>
                    <w:keepLines w:val="0"/>
                    <w:suppressLineNumbers w:val="0"/>
                    <w:spacing w:before="0" w:beforeAutospacing="0" w:after="0" w:afterAutospacing="0"/>
                    <w:ind w:left="0" w:leftChars="0" w:right="0" w:firstLine="0"/>
                    <w:jc w:val="center"/>
                    <w:rPr>
                      <w:rFonts w:hint="eastAsia"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TH4转接机房四周</w:t>
                  </w:r>
                </w:p>
              </w:tc>
              <w:tc>
                <w:tcPr>
                  <w:tcW w:w="1206"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141"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9"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803" w:type="pct"/>
                  <w:tcBorders>
                    <w:tl2br w:val="nil"/>
                    <w:tr2bl w:val="nil"/>
                  </w:tcBorders>
                  <w:noWrap w:val="0"/>
                  <w:vAlign w:val="center"/>
                </w:tcPr>
                <w:p>
                  <w:pPr>
                    <w:keepNext w:val="0"/>
                    <w:keepLines w:val="0"/>
                    <w:suppressLineNumbers w:val="0"/>
                    <w:spacing w:before="0" w:beforeAutospacing="0" w:after="0" w:afterAutospacing="0"/>
                    <w:ind w:left="0" w:leftChars="0" w:right="0" w:firstLine="0"/>
                    <w:jc w:val="center"/>
                    <w:rPr>
                      <w:rFonts w:hint="default" w:ascii="Times New Roman" w:hAnsi="Times New Roman" w:eastAsia="宋体" w:cs="Times New Roman"/>
                      <w:color w:val="auto"/>
                    </w:rPr>
                  </w:pPr>
                  <w:r>
                    <w:rPr>
                      <w:rFonts w:hint="eastAsia" w:ascii="Times New Roman" w:hAnsi="Times New Roman" w:eastAsia="宋体" w:cs="Times New Roman"/>
                      <w:color w:val="auto"/>
                      <w:lang w:val="en-US" w:eastAsia="zh-CN"/>
                    </w:rPr>
                    <w:t>TG1转接机房四周</w:t>
                  </w:r>
                </w:p>
              </w:tc>
              <w:tc>
                <w:tcPr>
                  <w:tcW w:w="1206"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141"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849"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803" w:type="pct"/>
                  <w:tcBorders>
                    <w:tl2br w:val="nil"/>
                    <w:tr2bl w:val="nil"/>
                  </w:tcBorders>
                  <w:noWrap w:val="0"/>
                  <w:vAlign w:val="center"/>
                </w:tcPr>
                <w:p>
                  <w:pPr>
                    <w:keepNext w:val="0"/>
                    <w:keepLines w:val="0"/>
                    <w:suppressLineNumbers w:val="0"/>
                    <w:spacing w:before="0" w:beforeAutospacing="0" w:after="0" w:afterAutospacing="0"/>
                    <w:ind w:left="0" w:leftChars="0" w:right="0" w:firstLine="0"/>
                    <w:jc w:val="center"/>
                    <w:rPr>
                      <w:rFonts w:hint="default" w:ascii="Times New Roman" w:hAnsi="Times New Roman" w:eastAsia="宋体" w:cs="Times New Roman"/>
                      <w:color w:val="auto"/>
                    </w:rPr>
                  </w:pPr>
                  <w:r>
                    <w:rPr>
                      <w:rFonts w:hint="eastAsia" w:ascii="Times New Roman" w:hAnsi="Times New Roman" w:eastAsia="宋体" w:cs="Times New Roman"/>
                      <w:color w:val="auto"/>
                      <w:lang w:val="en-US" w:eastAsia="zh-CN"/>
                    </w:rPr>
                    <w:t>TG2转接机房四周</w:t>
                  </w:r>
                </w:p>
              </w:tc>
              <w:tc>
                <w:tcPr>
                  <w:tcW w:w="1206"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c>
                <w:tcPr>
                  <w:tcW w:w="1141" w:type="pct"/>
                  <w:vMerge w:val="continue"/>
                  <w:tcBorders>
                    <w:tl2br w:val="nil"/>
                    <w:tr2bl w:val="nil"/>
                  </w:tcBorders>
                  <w:noWrap w:val="0"/>
                  <w:vAlign w:val="center"/>
                </w:tcPr>
                <w:p>
                  <w:pPr>
                    <w:pStyle w:val="26"/>
                    <w:keepNext w:val="0"/>
                    <w:keepLines w:val="0"/>
                    <w:suppressLineNumbers w:val="0"/>
                    <w:spacing w:before="0" w:beforeAutospacing="0" w:after="0" w:afterAutospacing="0"/>
                    <w:ind w:left="0" w:leftChars="0" w:right="0" w:firstLine="0"/>
                    <w:jc w:val="center"/>
                    <w:rPr>
                      <w:rFonts w:hint="default" w:ascii="Times New Roman" w:hAnsi="Times New Roman" w:cs="Times New Roman"/>
                      <w:color w:val="auto"/>
                    </w:rPr>
                  </w:pPr>
                </w:p>
              </w:tc>
            </w:tr>
          </w:tbl>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2" w:firstLineChars="200"/>
              <w:textAlignment w:val="auto"/>
              <w:rPr>
                <w:rFonts w:hint="default" w:ascii="Times New Roman" w:hAnsi="Times New Roman" w:eastAsia="宋体" w:cs="Times New Roman"/>
                <w:b/>
                <w:bCs w:val="0"/>
                <w:snapToGrid w:val="0"/>
                <w:color w:val="auto"/>
                <w:spacing w:val="0"/>
                <w:sz w:val="24"/>
                <w:szCs w:val="24"/>
                <w:lang w:val="en-US" w:eastAsia="zh-CN"/>
              </w:rPr>
            </w:pPr>
            <w:r>
              <w:rPr>
                <w:rFonts w:hint="eastAsia" w:ascii="Times New Roman" w:hAnsi="Times New Roman" w:eastAsia="宋体" w:cs="Times New Roman"/>
                <w:b/>
                <w:bCs w:val="0"/>
                <w:snapToGrid w:val="0"/>
                <w:color w:val="auto"/>
                <w:spacing w:val="0"/>
                <w:sz w:val="24"/>
                <w:szCs w:val="24"/>
                <w:lang w:val="en-US" w:eastAsia="zh-CN"/>
              </w:rPr>
              <w:t>5、固体废物</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color w:val="auto"/>
                <w:sz w:val="24"/>
                <w:szCs w:val="32"/>
                <w:highlight w:val="none"/>
                <w:lang w:val="en-US" w:eastAsia="zh-CN"/>
              </w:rPr>
            </w:pPr>
            <w:r>
              <w:rPr>
                <w:rFonts w:hint="eastAsia" w:ascii="Times New Roman" w:hAnsi="Times New Roman" w:eastAsia="宋体" w:cs="Times New Roman"/>
                <w:color w:val="auto"/>
                <w:sz w:val="24"/>
                <w:szCs w:val="32"/>
                <w:highlight w:val="none"/>
                <w:lang w:val="en-US" w:eastAsia="zh-CN"/>
              </w:rPr>
              <w:t>5.1本项目固体废物排放信息表</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left"/>
              <w:textAlignment w:val="auto"/>
              <w:rPr>
                <w:rFonts w:hint="default" w:ascii="Times New Roman" w:hAnsi="Times New Roman" w:eastAsia="宋体" w:cs="Times New Roman"/>
                <w:color w:val="auto"/>
                <w:sz w:val="24"/>
                <w:szCs w:val="32"/>
                <w:highlight w:val="none"/>
                <w:lang w:val="en-US" w:eastAsia="zh-CN"/>
              </w:rPr>
            </w:pPr>
            <w:r>
              <w:rPr>
                <w:rFonts w:hint="default" w:ascii="Times New Roman" w:hAnsi="Times New Roman" w:eastAsia="宋体" w:cs="Times New Roman"/>
                <w:color w:val="auto"/>
                <w:sz w:val="24"/>
                <w:szCs w:val="32"/>
                <w:highlight w:val="none"/>
                <w:lang w:val="en-US" w:eastAsia="zh-CN"/>
              </w:rPr>
              <w:t>本项目固体废物主要为</w:t>
            </w:r>
            <w:r>
              <w:rPr>
                <w:rFonts w:hint="eastAsia" w:ascii="Times New Roman" w:hAnsi="Times New Roman" w:eastAsia="宋体" w:cs="Times New Roman"/>
                <w:color w:val="auto"/>
                <w:sz w:val="24"/>
                <w:szCs w:val="32"/>
                <w:highlight w:val="none"/>
                <w:lang w:val="en-US" w:eastAsia="zh-CN"/>
              </w:rPr>
              <w:t>污泥、废皮带</w:t>
            </w:r>
            <w:r>
              <w:rPr>
                <w:rFonts w:hint="default" w:ascii="Times New Roman" w:hAnsi="Times New Roman" w:eastAsia="宋体" w:cs="Times New Roman"/>
                <w:color w:val="auto"/>
                <w:sz w:val="24"/>
                <w:szCs w:val="32"/>
                <w:highlight w:val="none"/>
                <w:lang w:val="en-US" w:eastAsia="zh-CN"/>
              </w:rPr>
              <w:t>、废润滑油、废</w:t>
            </w:r>
            <w:r>
              <w:rPr>
                <w:rFonts w:hint="eastAsia" w:ascii="Times New Roman" w:hAnsi="Times New Roman" w:eastAsia="宋体" w:cs="Times New Roman"/>
                <w:color w:val="auto"/>
                <w:sz w:val="24"/>
                <w:szCs w:val="32"/>
                <w:highlight w:val="none"/>
                <w:lang w:val="en-US" w:eastAsia="zh-CN"/>
              </w:rPr>
              <w:t>机</w:t>
            </w:r>
            <w:r>
              <w:rPr>
                <w:rFonts w:hint="default" w:ascii="Times New Roman" w:hAnsi="Times New Roman" w:eastAsia="宋体" w:cs="Times New Roman"/>
                <w:color w:val="auto"/>
                <w:sz w:val="24"/>
                <w:szCs w:val="32"/>
                <w:highlight w:val="none"/>
                <w:lang w:val="en-US" w:eastAsia="zh-CN"/>
              </w:rPr>
              <w:t>油及废油桶、生活垃圾。</w:t>
            </w:r>
            <w:r>
              <w:rPr>
                <w:rFonts w:hint="eastAsia" w:ascii="Times New Roman" w:hAnsi="Times New Roman" w:eastAsia="宋体" w:cs="Times New Roman"/>
                <w:color w:val="auto"/>
                <w:sz w:val="24"/>
                <w:szCs w:val="32"/>
                <w:highlight w:val="none"/>
                <w:lang w:val="en-US" w:eastAsia="zh-CN"/>
              </w:rPr>
              <w:t>废皮带送至废橡胶回收企业处理</w:t>
            </w:r>
            <w:r>
              <w:rPr>
                <w:rFonts w:hint="default" w:ascii="Times New Roman" w:hAnsi="Times New Roman" w:eastAsia="宋体" w:cs="Times New Roman"/>
                <w:color w:val="auto"/>
                <w:sz w:val="24"/>
                <w:szCs w:val="32"/>
                <w:highlight w:val="none"/>
                <w:lang w:val="en-US" w:eastAsia="zh-CN"/>
              </w:rPr>
              <w:t>；</w:t>
            </w:r>
            <w:r>
              <w:rPr>
                <w:rFonts w:hint="eastAsia" w:ascii="Times New Roman" w:hAnsi="Times New Roman" w:eastAsia="宋体" w:cs="Times New Roman"/>
                <w:color w:val="auto"/>
                <w:sz w:val="24"/>
                <w:szCs w:val="32"/>
                <w:highlight w:val="none"/>
                <w:lang w:val="en-US" w:eastAsia="zh-CN"/>
              </w:rPr>
              <w:t>污泥定期清掏外售综合利用；</w:t>
            </w:r>
            <w:r>
              <w:rPr>
                <w:rFonts w:hint="default" w:ascii="Times New Roman" w:hAnsi="Times New Roman" w:eastAsia="宋体" w:cs="Times New Roman"/>
                <w:color w:val="auto"/>
                <w:sz w:val="24"/>
                <w:szCs w:val="32"/>
                <w:highlight w:val="none"/>
                <w:lang w:val="en-US" w:eastAsia="zh-CN"/>
              </w:rPr>
              <w:t>废润滑油、废</w:t>
            </w:r>
            <w:r>
              <w:rPr>
                <w:rFonts w:hint="eastAsia" w:ascii="Times New Roman" w:hAnsi="Times New Roman" w:eastAsia="宋体" w:cs="Times New Roman"/>
                <w:color w:val="auto"/>
                <w:sz w:val="24"/>
                <w:szCs w:val="32"/>
                <w:highlight w:val="none"/>
                <w:lang w:val="en-US" w:eastAsia="zh-CN"/>
              </w:rPr>
              <w:t>机</w:t>
            </w:r>
            <w:r>
              <w:rPr>
                <w:rFonts w:hint="default" w:ascii="Times New Roman" w:hAnsi="Times New Roman" w:eastAsia="宋体" w:cs="Times New Roman"/>
                <w:color w:val="auto"/>
                <w:sz w:val="24"/>
                <w:szCs w:val="32"/>
                <w:highlight w:val="none"/>
                <w:lang w:val="en-US" w:eastAsia="zh-CN"/>
              </w:rPr>
              <w:t>油及废油桶均采用专用容器收集后</w:t>
            </w:r>
            <w:r>
              <w:rPr>
                <w:rFonts w:hint="eastAsia" w:ascii="Times New Roman" w:hAnsi="Times New Roman" w:eastAsia="宋体" w:cs="Times New Roman"/>
                <w:color w:val="auto"/>
                <w:sz w:val="24"/>
                <w:szCs w:val="32"/>
                <w:highlight w:val="none"/>
                <w:lang w:val="en-US" w:eastAsia="zh-CN"/>
              </w:rPr>
              <w:t>依托管廊项目</w:t>
            </w:r>
            <w:r>
              <w:rPr>
                <w:rFonts w:hint="default" w:ascii="Times New Roman" w:hAnsi="Times New Roman" w:eastAsia="宋体" w:cs="Times New Roman"/>
                <w:color w:val="auto"/>
                <w:sz w:val="24"/>
                <w:szCs w:val="32"/>
                <w:highlight w:val="none"/>
                <w:lang w:val="en-US" w:eastAsia="zh-CN"/>
              </w:rPr>
              <w:t>危废间</w:t>
            </w:r>
            <w:r>
              <w:rPr>
                <w:rFonts w:hint="eastAsia" w:ascii="Times New Roman" w:hAnsi="Times New Roman" w:eastAsia="宋体" w:cs="Times New Roman"/>
                <w:color w:val="auto"/>
                <w:sz w:val="24"/>
                <w:szCs w:val="32"/>
                <w:highlight w:val="none"/>
                <w:lang w:val="en-US" w:eastAsia="zh-CN"/>
              </w:rPr>
              <w:t>暂存</w:t>
            </w:r>
            <w:r>
              <w:rPr>
                <w:rFonts w:hint="default" w:ascii="Times New Roman" w:hAnsi="Times New Roman" w:eastAsia="宋体" w:cs="Times New Roman"/>
                <w:color w:val="auto"/>
                <w:sz w:val="24"/>
                <w:szCs w:val="32"/>
                <w:highlight w:val="none"/>
                <w:lang w:val="en-US" w:eastAsia="zh-CN"/>
              </w:rPr>
              <w:t>，委托有资质单位处置。具体固体废物产生情况见下表。</w:t>
            </w:r>
          </w:p>
          <w:p>
            <w:pPr>
              <w:keepNext w:val="0"/>
              <w:keepLines w:val="0"/>
              <w:suppressLineNumbers w:val="0"/>
              <w:spacing w:before="0" w:beforeAutospacing="0" w:after="0" w:afterAutospacing="0"/>
              <w:ind w:left="0" w:right="0"/>
              <w:rPr>
                <w:rFonts w:ascii="Calibri" w:hAnsi="Calibri" w:eastAsia="宋体" w:cs="Times New Roman"/>
              </w:rPr>
            </w:pP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p>
          <w:p>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500" w:lineRule="exact"/>
              <w:ind w:left="0" w:right="0" w:firstLine="480" w:firstLineChars="200"/>
              <w:textAlignment w:val="auto"/>
              <w:rPr>
                <w:rFonts w:ascii="Times New Roman" w:hAnsi="Times New Roman" w:eastAsia="宋体" w:cs="Times New Roman"/>
                <w:bCs/>
                <w:snapToGrid w:val="0"/>
                <w:color w:val="auto"/>
                <w:spacing w:val="0"/>
                <w:sz w:val="24"/>
                <w:szCs w:val="24"/>
              </w:rPr>
            </w:pPr>
          </w:p>
          <w:p>
            <w:pPr>
              <w:keepNext w:val="0"/>
              <w:keepLines w:val="0"/>
              <w:suppressLineNumbers w:val="0"/>
              <w:adjustRightInd w:val="0"/>
              <w:snapToGrid w:val="0"/>
              <w:spacing w:before="0" w:beforeAutospacing="0" w:after="0" w:afterAutospacing="0" w:line="480" w:lineRule="exact"/>
              <w:ind w:left="0" w:right="0" w:firstLine="380" w:firstLineChars="200"/>
              <w:rPr>
                <w:rFonts w:hint="eastAsia" w:ascii="Times New Roman" w:hAnsi="Times New Roman" w:eastAsia="宋体" w:cs="Times New Roman"/>
                <w:bCs/>
                <w:color w:val="auto"/>
                <w:spacing w:val="-10"/>
                <w:szCs w:val="21"/>
                <w:lang w:eastAsia="zh-CN"/>
              </w:rPr>
            </w:pPr>
          </w:p>
          <w:p>
            <w:pPr>
              <w:keepNext w:val="0"/>
              <w:keepLines w:val="0"/>
              <w:suppressLineNumbers w:val="0"/>
              <w:adjustRightInd w:val="0"/>
              <w:snapToGrid w:val="0"/>
              <w:spacing w:before="0" w:beforeAutospacing="0" w:after="0" w:afterAutospacing="0" w:line="480" w:lineRule="exact"/>
              <w:ind w:left="0" w:right="0" w:firstLine="380" w:firstLineChars="200"/>
              <w:rPr>
                <w:rFonts w:hint="eastAsia" w:ascii="Times New Roman" w:hAnsi="Times New Roman" w:eastAsia="宋体" w:cs="Times New Roman"/>
                <w:bCs/>
                <w:color w:val="auto"/>
                <w:spacing w:val="-10"/>
                <w:szCs w:val="21"/>
                <w:lang w:eastAsia="zh-CN"/>
              </w:rPr>
            </w:pPr>
          </w:p>
          <w:p>
            <w:pPr>
              <w:keepNext w:val="0"/>
              <w:keepLines w:val="0"/>
              <w:suppressLineNumbers w:val="0"/>
              <w:adjustRightInd w:val="0"/>
              <w:snapToGrid w:val="0"/>
              <w:spacing w:before="0" w:beforeAutospacing="0" w:after="0" w:afterAutospacing="0" w:line="480" w:lineRule="exact"/>
              <w:ind w:left="0" w:right="0" w:firstLine="380" w:firstLineChars="200"/>
              <w:rPr>
                <w:rFonts w:hint="eastAsia" w:ascii="Times New Roman" w:hAnsi="Times New Roman" w:eastAsia="宋体" w:cs="Times New Roman"/>
                <w:bCs/>
                <w:color w:val="auto"/>
                <w:spacing w:val="-10"/>
                <w:szCs w:val="21"/>
                <w:lang w:eastAsia="zh-CN"/>
              </w:rPr>
            </w:pPr>
          </w:p>
          <w:p>
            <w:pPr>
              <w:keepNext w:val="0"/>
              <w:keepLines w:val="0"/>
              <w:suppressLineNumbers w:val="0"/>
              <w:adjustRightInd w:val="0"/>
              <w:snapToGrid w:val="0"/>
              <w:spacing w:before="0" w:beforeAutospacing="0" w:after="0" w:afterAutospacing="0" w:line="480" w:lineRule="exact"/>
              <w:ind w:left="0" w:right="0" w:firstLine="380" w:firstLineChars="200"/>
              <w:rPr>
                <w:rFonts w:hint="eastAsia" w:ascii="Times New Roman" w:hAnsi="Times New Roman" w:eastAsia="宋体" w:cs="Times New Roman"/>
                <w:bCs/>
                <w:color w:val="auto"/>
                <w:spacing w:val="-10"/>
                <w:szCs w:val="21"/>
                <w:lang w:eastAsia="zh-CN"/>
              </w:rPr>
            </w:pPr>
          </w:p>
        </w:tc>
      </w:tr>
    </w:tbl>
    <w:p>
      <w:pPr>
        <w:pStyle w:val="23"/>
        <w:adjustRightInd w:val="0"/>
        <w:snapToGrid w:val="0"/>
        <w:spacing w:before="0" w:beforeAutospacing="0" w:after="0" w:afterAutospacing="0"/>
        <w:jc w:val="center"/>
        <w:rPr>
          <w:rFonts w:ascii="Times New Roman" w:hAnsi="Times New Roman"/>
          <w:bCs/>
          <w:color w:val="auto"/>
          <w:szCs w:val="21"/>
        </w:rPr>
        <w:sectPr>
          <w:pgSz w:w="11905" w:h="16838"/>
          <w:pgMar w:top="1701" w:right="1531" w:bottom="1701" w:left="1531" w:header="851" w:footer="1077" w:gutter="0"/>
          <w:pgBorders>
            <w:top w:val="none" w:sz="0" w:space="0"/>
            <w:left w:val="none" w:sz="0" w:space="0"/>
            <w:bottom w:val="none" w:sz="0" w:space="0"/>
            <w:right w:val="none" w:sz="0" w:space="0"/>
          </w:pgBorders>
          <w:pgNumType w:fmt="decimal"/>
          <w:cols w:space="720" w:num="1"/>
          <w:rtlGutter w:val="0"/>
          <w:docGrid w:linePitch="312" w:charSpace="0"/>
        </w:sectPr>
      </w:pPr>
    </w:p>
    <w:tbl>
      <w:tblPr>
        <w:tblStyle w:val="27"/>
        <w:tblW w:w="5057"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368"/>
        <w:gridCol w:w="1335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653" w:hRule="atLeast"/>
          <w:jc w:val="center"/>
        </w:trPr>
        <w:tc>
          <w:tcPr>
            <w:tcW w:w="134" w:type="pct"/>
            <w:noWrap w:val="0"/>
            <w:tcMar>
              <w:left w:w="28" w:type="dxa"/>
              <w:right w:w="28" w:type="dxa"/>
            </w:tcMar>
            <w:vAlign w:val="center"/>
          </w:tcPr>
          <w:p>
            <w:pPr>
              <w:keepNext w:val="0"/>
              <w:keepLines w:val="0"/>
              <w:suppressLineNumbers w:val="0"/>
              <w:spacing w:before="0" w:beforeAutospacing="0" w:after="0" w:afterAutospacing="0"/>
              <w:ind w:left="0" w:right="0"/>
              <w:jc w:val="center"/>
              <w:rPr>
                <w:rFonts w:ascii="Calibri" w:hAnsi="Calibri" w:eastAsia="宋体" w:cs="Times New Roman"/>
                <w:color w:val="auto"/>
              </w:rPr>
            </w:pPr>
            <w:r>
              <w:rPr>
                <w:rFonts w:ascii="Times New Roman" w:hAnsi="Times New Roman" w:eastAsia="宋体" w:cs="Times New Roman"/>
                <w:bCs/>
                <w:color w:val="auto"/>
                <w:szCs w:val="21"/>
              </w:rPr>
              <w:t>运营期环境影响和保护措施</w:t>
            </w:r>
          </w:p>
        </w:tc>
        <w:tc>
          <w:tcPr>
            <w:tcW w:w="4865" w:type="pct"/>
            <w:noWrap w:val="0"/>
            <w:vAlign w:val="center"/>
          </w:tcPr>
          <w:p>
            <w:pPr>
              <w:pStyle w:val="23"/>
              <w:keepNext w:val="0"/>
              <w:keepLines w:val="0"/>
              <w:suppressLineNumbers w:val="0"/>
              <w:spacing w:before="0" w:beforeAutospacing="0" w:after="0" w:afterAutospacing="0" w:line="480" w:lineRule="exact"/>
              <w:ind w:left="0" w:right="0"/>
              <w:jc w:val="center"/>
              <w:rPr>
                <w:rFonts w:ascii="Times New Roman" w:hAnsi="Times New Roman"/>
                <w:b/>
                <w:bCs/>
                <w:snapToGrid w:val="0"/>
                <w:color w:val="auto"/>
                <w:sz w:val="21"/>
                <w:szCs w:val="21"/>
              </w:rPr>
            </w:pPr>
            <w:r>
              <w:rPr>
                <w:rFonts w:ascii="Times New Roman"/>
                <w:b/>
                <w:bCs/>
                <w:snapToGrid w:val="0"/>
                <w:color w:val="auto"/>
                <w:sz w:val="21"/>
                <w:szCs w:val="21"/>
              </w:rPr>
              <w:t>表</w:t>
            </w:r>
            <w:r>
              <w:rPr>
                <w:rFonts w:ascii="Times New Roman" w:hAnsi="Times New Roman"/>
                <w:b/>
                <w:bCs/>
                <w:snapToGrid w:val="0"/>
                <w:color w:val="auto"/>
                <w:sz w:val="21"/>
                <w:szCs w:val="21"/>
              </w:rPr>
              <w:t>4-</w:t>
            </w:r>
            <w:r>
              <w:rPr>
                <w:rFonts w:hint="eastAsia" w:ascii="Times New Roman" w:hAnsi="Times New Roman"/>
                <w:b/>
                <w:bCs/>
                <w:snapToGrid w:val="0"/>
                <w:color w:val="auto"/>
                <w:sz w:val="21"/>
                <w:szCs w:val="21"/>
              </w:rPr>
              <w:t>1</w:t>
            </w:r>
            <w:r>
              <w:rPr>
                <w:rFonts w:hint="eastAsia" w:ascii="Times New Roman" w:hAnsi="Times New Roman"/>
                <w:b/>
                <w:bCs/>
                <w:snapToGrid w:val="0"/>
                <w:color w:val="auto"/>
                <w:sz w:val="21"/>
                <w:szCs w:val="21"/>
                <w:lang w:val="en-US" w:eastAsia="zh-CN"/>
              </w:rPr>
              <w:t>3</w:t>
            </w:r>
            <w:r>
              <w:rPr>
                <w:rFonts w:ascii="Times New Roman" w:hAnsi="Times New Roman"/>
                <w:b/>
                <w:bCs/>
                <w:snapToGrid w:val="0"/>
                <w:color w:val="auto"/>
                <w:sz w:val="21"/>
                <w:szCs w:val="21"/>
              </w:rPr>
              <w:t xml:space="preserve">   </w:t>
            </w:r>
            <w:r>
              <w:rPr>
                <w:rFonts w:ascii="Times New Roman"/>
                <w:b/>
                <w:bCs/>
                <w:snapToGrid w:val="0"/>
                <w:color w:val="auto"/>
                <w:sz w:val="21"/>
                <w:szCs w:val="21"/>
              </w:rPr>
              <w:t>本项目固体废物产生情况汇总表</w:t>
            </w:r>
          </w:p>
          <w:tbl>
            <w:tblPr>
              <w:tblStyle w:val="27"/>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80"/>
              <w:gridCol w:w="761"/>
              <w:gridCol w:w="761"/>
              <w:gridCol w:w="877"/>
              <w:gridCol w:w="1326"/>
              <w:gridCol w:w="622"/>
              <w:gridCol w:w="845"/>
              <w:gridCol w:w="921"/>
              <w:gridCol w:w="2276"/>
              <w:gridCol w:w="921"/>
              <w:gridCol w:w="1494"/>
              <w:gridCol w:w="928"/>
              <w:gridCol w:w="90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8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编号</w:t>
                  </w:r>
                </w:p>
              </w:tc>
              <w:tc>
                <w:tcPr>
                  <w:tcW w:w="290"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产生源</w:t>
                  </w:r>
                </w:p>
              </w:tc>
              <w:tc>
                <w:tcPr>
                  <w:tcW w:w="290"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固体废物名称</w:t>
                  </w:r>
                </w:p>
              </w:tc>
              <w:tc>
                <w:tcPr>
                  <w:tcW w:w="334"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属性</w:t>
                  </w:r>
                </w:p>
              </w:tc>
              <w:tc>
                <w:tcPr>
                  <w:tcW w:w="505"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类别及编码</w:t>
                  </w:r>
                </w:p>
              </w:tc>
              <w:tc>
                <w:tcPr>
                  <w:tcW w:w="237"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物理性状</w:t>
                  </w:r>
                </w:p>
              </w:tc>
              <w:tc>
                <w:tcPr>
                  <w:tcW w:w="322"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环境危险特性</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产生量t/a</w:t>
                  </w:r>
                </w:p>
              </w:tc>
              <w:tc>
                <w:tcPr>
                  <w:tcW w:w="867"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储存方式</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利用处置方式</w:t>
                  </w:r>
                </w:p>
              </w:tc>
              <w:tc>
                <w:tcPr>
                  <w:tcW w:w="569"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去向</w:t>
                  </w:r>
                </w:p>
              </w:tc>
              <w:tc>
                <w:tcPr>
                  <w:tcW w:w="35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利用量t/a</w:t>
                  </w:r>
                </w:p>
              </w:tc>
              <w:tc>
                <w:tcPr>
                  <w:tcW w:w="34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处置量t/a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83" w:type="pct"/>
                  <w:tcBorders>
                    <w:tl2br w:val="nil"/>
                    <w:tr2bl w:val="nil"/>
                  </w:tcBorders>
                  <w:noWrap w:val="0"/>
                  <w:vAlign w:val="center"/>
                </w:tcPr>
                <w:p>
                  <w:pPr>
                    <w:pStyle w:val="72"/>
                    <w:spacing w:line="0" w:lineRule="atLeast"/>
                    <w:rPr>
                      <w:rFonts w:hint="default" w:ascii="Times New Roman" w:hAnsi="Times New Roman" w:cs="Times New Roman"/>
                      <w:color w:val="auto"/>
                      <w:sz w:val="21"/>
                      <w:szCs w:val="21"/>
                    </w:rPr>
                  </w:pPr>
                  <w:r>
                    <w:rPr>
                      <w:rFonts w:hint="default" w:ascii="Times New Roman" w:hAnsi="Times New Roman" w:cs="Times New Roman"/>
                      <w:color w:val="auto"/>
                      <w:sz w:val="21"/>
                      <w:szCs w:val="21"/>
                    </w:rPr>
                    <w:t>S1</w:t>
                  </w:r>
                </w:p>
              </w:tc>
              <w:tc>
                <w:tcPr>
                  <w:tcW w:w="290"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管带机</w:t>
                  </w:r>
                </w:p>
              </w:tc>
              <w:tc>
                <w:tcPr>
                  <w:tcW w:w="290"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废皮带</w:t>
                  </w:r>
                </w:p>
              </w:tc>
              <w:tc>
                <w:tcPr>
                  <w:tcW w:w="334"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cs="Times New Roman"/>
                      <w:color w:val="auto"/>
                      <w:sz w:val="21"/>
                      <w:szCs w:val="21"/>
                    </w:rPr>
                    <w:t>一般工业固废</w:t>
                  </w:r>
                </w:p>
              </w:tc>
              <w:tc>
                <w:tcPr>
                  <w:tcW w:w="505" w:type="pct"/>
                  <w:tcBorders>
                    <w:tl2br w:val="nil"/>
                    <w:tr2bl w:val="nil"/>
                  </w:tcBorders>
                  <w:noWrap w:val="0"/>
                  <w:vAlign w:val="center"/>
                </w:tcPr>
                <w:p>
                  <w:pPr>
                    <w:keepNext w:val="0"/>
                    <w:keepLines w:val="0"/>
                    <w:suppressLineNumbers w:val="0"/>
                    <w:spacing w:before="0" w:beforeAutospacing="0" w:after="0" w:afterAutospacing="0" w:line="0" w:lineRule="atLeast"/>
                    <w:ind w:left="0" w:leftChars="0" w:right="0" w:rightChars="0"/>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900-999-99</w:t>
                  </w:r>
                </w:p>
              </w:tc>
              <w:tc>
                <w:tcPr>
                  <w:tcW w:w="237"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固</w:t>
                  </w:r>
                </w:p>
              </w:tc>
              <w:tc>
                <w:tcPr>
                  <w:tcW w:w="322"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val="en-US" w:eastAsia="zh-CN"/>
                    </w:rPr>
                    <w:t>/</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18</w:t>
                  </w:r>
                </w:p>
              </w:tc>
              <w:tc>
                <w:tcPr>
                  <w:tcW w:w="867"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收集后暂存</w:t>
                  </w:r>
                  <w:r>
                    <w:rPr>
                      <w:rFonts w:hint="default" w:ascii="Times New Roman" w:hAnsi="Times New Roman" w:eastAsia="宋体" w:cs="Times New Roman"/>
                      <w:snapToGrid w:val="0"/>
                      <w:color w:val="auto"/>
                      <w:sz w:val="21"/>
                      <w:szCs w:val="21"/>
                      <w:lang w:val="en-US" w:eastAsia="zh-CN"/>
                    </w:rPr>
                    <w:t>一般工业固废贮存</w:t>
                  </w:r>
                  <w:r>
                    <w:rPr>
                      <w:rFonts w:hint="eastAsia" w:ascii="Times New Roman" w:hAnsi="Times New Roman" w:eastAsia="宋体" w:cs="Times New Roman"/>
                      <w:snapToGrid w:val="0"/>
                      <w:color w:val="auto"/>
                      <w:sz w:val="21"/>
                      <w:szCs w:val="21"/>
                      <w:lang w:val="en-US" w:eastAsia="zh-CN"/>
                    </w:rPr>
                    <w:t>区</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委托处置</w:t>
                  </w:r>
                </w:p>
              </w:tc>
              <w:tc>
                <w:tcPr>
                  <w:tcW w:w="569"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交由回收单位处理</w:t>
                  </w:r>
                </w:p>
              </w:tc>
              <w:tc>
                <w:tcPr>
                  <w:tcW w:w="35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18t/a</w:t>
                  </w:r>
                </w:p>
              </w:tc>
              <w:tc>
                <w:tcPr>
                  <w:tcW w:w="34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83" w:type="pct"/>
                  <w:tcBorders>
                    <w:tl2br w:val="nil"/>
                    <w:tr2bl w:val="nil"/>
                  </w:tcBorders>
                  <w:noWrap w:val="0"/>
                  <w:vAlign w:val="center"/>
                </w:tcPr>
                <w:p>
                  <w:pPr>
                    <w:pStyle w:val="72"/>
                    <w:spacing w:line="0" w:lineRule="atLeast"/>
                    <w:rPr>
                      <w:rFonts w:hint="default" w:ascii="Times New Roman" w:hAnsi="Times New Roman" w:eastAsia="宋体" w:cs="Times New Roman"/>
                      <w:color w:val="auto"/>
                      <w:sz w:val="21"/>
                      <w:szCs w:val="21"/>
                      <w:lang w:val="en-US" w:eastAsia="zh-CN"/>
                    </w:rPr>
                  </w:pPr>
                  <w:r>
                    <w:rPr>
                      <w:rFonts w:hint="eastAsia" w:ascii="Times New Roman" w:hAnsi="Times New Roman" w:cs="Times New Roman"/>
                      <w:color w:val="auto"/>
                      <w:sz w:val="21"/>
                      <w:szCs w:val="21"/>
                      <w:lang w:val="en-US" w:eastAsia="zh-CN"/>
                    </w:rPr>
                    <w:t>S2</w:t>
                  </w:r>
                </w:p>
              </w:tc>
              <w:tc>
                <w:tcPr>
                  <w:tcW w:w="290"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沉淀池</w:t>
                  </w:r>
                </w:p>
              </w:tc>
              <w:tc>
                <w:tcPr>
                  <w:tcW w:w="290" w:type="pct"/>
                  <w:tcBorders>
                    <w:tl2br w:val="nil"/>
                    <w:tr2bl w:val="nil"/>
                  </w:tcBorders>
                  <w:noWrap w:val="0"/>
                  <w:vAlign w:val="center"/>
                </w:tcPr>
                <w:p>
                  <w:pPr>
                    <w:pStyle w:val="72"/>
                    <w:spacing w:line="0" w:lineRule="atLeast"/>
                    <w:ind w:left="0" w:leftChars="0" w:right="0" w:rightChars="0"/>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污泥</w:t>
                  </w:r>
                </w:p>
              </w:tc>
              <w:tc>
                <w:tcPr>
                  <w:tcW w:w="334"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一般工业固废</w:t>
                  </w:r>
                </w:p>
              </w:tc>
              <w:tc>
                <w:tcPr>
                  <w:tcW w:w="505" w:type="pct"/>
                  <w:tcBorders>
                    <w:tl2br w:val="nil"/>
                    <w:tr2bl w:val="nil"/>
                  </w:tcBorders>
                  <w:noWrap w:val="0"/>
                  <w:vAlign w:val="center"/>
                </w:tcPr>
                <w:p>
                  <w:pPr>
                    <w:keepNext w:val="0"/>
                    <w:keepLines w:val="0"/>
                    <w:suppressLineNumbers w:val="0"/>
                    <w:spacing w:before="0" w:beforeAutospacing="0" w:after="0" w:afterAutospacing="0" w:line="0" w:lineRule="atLeast"/>
                    <w:ind w:left="0" w:leftChars="0" w:right="0" w:rightChars="0"/>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900-999-99</w:t>
                  </w:r>
                </w:p>
              </w:tc>
              <w:tc>
                <w:tcPr>
                  <w:tcW w:w="237"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eastAsia="zh-CN"/>
                    </w:rPr>
                    <w:t>固</w:t>
                  </w:r>
                </w:p>
              </w:tc>
              <w:tc>
                <w:tcPr>
                  <w:tcW w:w="322" w:type="pct"/>
                  <w:tcBorders>
                    <w:tl2br w:val="nil"/>
                    <w:tr2bl w:val="nil"/>
                  </w:tcBorders>
                  <w:noWrap w:val="0"/>
                  <w:vAlign w:val="center"/>
                </w:tcPr>
                <w:p>
                  <w:pPr>
                    <w:pStyle w:val="72"/>
                    <w:spacing w:line="0" w:lineRule="atLeast"/>
                    <w:ind w:left="0" w:leftChars="0" w:right="0" w:rightChars="0"/>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cs="Times New Roman"/>
                      <w:color w:val="auto"/>
                      <w:sz w:val="21"/>
                      <w:szCs w:val="21"/>
                      <w:lang w:val="en-US" w:eastAsia="zh-CN"/>
                    </w:rPr>
                    <w:t>/</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300</w:t>
                  </w:r>
                </w:p>
              </w:tc>
              <w:tc>
                <w:tcPr>
                  <w:tcW w:w="867"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沉淀池内储存，定期清掏</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委托处置</w:t>
                  </w:r>
                </w:p>
              </w:tc>
              <w:tc>
                <w:tcPr>
                  <w:tcW w:w="569"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外售综合利用</w:t>
                  </w:r>
                </w:p>
              </w:tc>
              <w:tc>
                <w:tcPr>
                  <w:tcW w:w="35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300</w:t>
                  </w:r>
                </w:p>
              </w:tc>
              <w:tc>
                <w:tcPr>
                  <w:tcW w:w="34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sz w:val="21"/>
                      <w:szCs w:val="21"/>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8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eastAsia="宋体" w:cs="Times New Roman"/>
                      <w:snapToGrid w:val="0"/>
                      <w:color w:val="auto"/>
                      <w:kern w:val="0"/>
                      <w:sz w:val="21"/>
                      <w:szCs w:val="21"/>
                      <w:lang w:val="en-US" w:eastAsia="zh-CN" w:bidi="ar-SA"/>
                    </w:rPr>
                    <w:t>S3</w:t>
                  </w:r>
                </w:p>
              </w:tc>
              <w:tc>
                <w:tcPr>
                  <w:tcW w:w="290" w:type="pct"/>
                  <w:vMerge w:val="restar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设备维修养护</w:t>
                  </w:r>
                </w:p>
              </w:tc>
              <w:tc>
                <w:tcPr>
                  <w:tcW w:w="290"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废</w:t>
                  </w:r>
                  <w:r>
                    <w:rPr>
                      <w:rFonts w:hint="eastAsia" w:ascii="Times New Roman" w:hAnsi="Times New Roman"/>
                      <w:snapToGrid w:val="0"/>
                      <w:color w:val="auto"/>
                      <w:sz w:val="21"/>
                      <w:szCs w:val="21"/>
                      <w:lang w:eastAsia="zh-CN"/>
                    </w:rPr>
                    <w:t>机</w:t>
                  </w:r>
                  <w:r>
                    <w:rPr>
                      <w:rFonts w:hint="eastAsia" w:ascii="Times New Roman" w:hAnsi="Times New Roman"/>
                      <w:snapToGrid w:val="0"/>
                      <w:color w:val="auto"/>
                      <w:sz w:val="21"/>
                      <w:szCs w:val="21"/>
                    </w:rPr>
                    <w:t>油</w:t>
                  </w:r>
                </w:p>
              </w:tc>
              <w:tc>
                <w:tcPr>
                  <w:tcW w:w="334"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危险废物</w:t>
                  </w:r>
                </w:p>
              </w:tc>
              <w:tc>
                <w:tcPr>
                  <w:tcW w:w="505"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HW08，900-2</w:t>
                  </w:r>
                  <w:r>
                    <w:rPr>
                      <w:rFonts w:hint="eastAsia" w:ascii="Times New Roman" w:hAnsi="Times New Roman"/>
                      <w:snapToGrid w:val="0"/>
                      <w:color w:val="auto"/>
                      <w:sz w:val="21"/>
                      <w:szCs w:val="21"/>
                      <w:lang w:val="en-US" w:eastAsia="zh-CN"/>
                    </w:rPr>
                    <w:t>49</w:t>
                  </w:r>
                  <w:r>
                    <w:rPr>
                      <w:rFonts w:ascii="Times New Roman" w:hAnsi="Times New Roman"/>
                      <w:snapToGrid w:val="0"/>
                      <w:color w:val="auto"/>
                      <w:sz w:val="21"/>
                      <w:szCs w:val="21"/>
                    </w:rPr>
                    <w:t>-08</w:t>
                  </w:r>
                </w:p>
              </w:tc>
              <w:tc>
                <w:tcPr>
                  <w:tcW w:w="237"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液</w:t>
                  </w:r>
                </w:p>
              </w:tc>
              <w:tc>
                <w:tcPr>
                  <w:tcW w:w="322"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T，I</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snapToGrid w:val="0"/>
                      <w:color w:val="auto"/>
                      <w:sz w:val="21"/>
                      <w:szCs w:val="21"/>
                      <w:lang w:val="en-US" w:eastAsia="zh-CN"/>
                    </w:rPr>
                  </w:pPr>
                  <w:r>
                    <w:rPr>
                      <w:rFonts w:hint="eastAsia" w:ascii="Times New Roman" w:hAnsi="Times New Roman"/>
                      <w:snapToGrid w:val="0"/>
                      <w:color w:val="auto"/>
                      <w:sz w:val="21"/>
                      <w:szCs w:val="21"/>
                      <w:lang w:val="en-US" w:eastAsia="zh-CN"/>
                    </w:rPr>
                    <w:t>0.5</w:t>
                  </w:r>
                </w:p>
              </w:tc>
              <w:tc>
                <w:tcPr>
                  <w:tcW w:w="867"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ascii="Times New Roman" w:hAnsi="Times New Roman" w:cs="Times New Roman"/>
                      <w:color w:val="auto"/>
                      <w:sz w:val="21"/>
                      <w:szCs w:val="21"/>
                    </w:rPr>
                    <w:t>设备下方设置接油盘，防</w:t>
                  </w:r>
                  <w:r>
                    <w:rPr>
                      <w:rFonts w:hint="eastAsia" w:ascii="Times New Roman" w:hAnsi="Times New Roman" w:cs="Times New Roman"/>
                      <w:color w:val="auto"/>
                      <w:sz w:val="21"/>
                      <w:szCs w:val="21"/>
                      <w:lang w:eastAsia="zh-CN"/>
                    </w:rPr>
                    <w:t>止</w:t>
                  </w:r>
                  <w:r>
                    <w:rPr>
                      <w:rFonts w:ascii="Times New Roman" w:hAnsi="Times New Roman" w:cs="Times New Roman"/>
                      <w:color w:val="auto"/>
                      <w:sz w:val="21"/>
                      <w:szCs w:val="21"/>
                    </w:rPr>
                    <w:t>废油落地，专用容器收集</w:t>
                  </w:r>
                  <w:r>
                    <w:rPr>
                      <w:rFonts w:hint="default" w:ascii="Times New Roman" w:hAnsi="Times New Roman" w:cs="Times New Roman"/>
                      <w:color w:val="auto"/>
                      <w:sz w:val="21"/>
                      <w:szCs w:val="21"/>
                    </w:rPr>
                    <w:t>暂存于危废间</w:t>
                  </w:r>
                </w:p>
              </w:tc>
              <w:tc>
                <w:tcPr>
                  <w:tcW w:w="351"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hint="default" w:ascii="Times New Roman" w:hAnsi="Times New Roman" w:cs="Times New Roman"/>
                      <w:color w:val="auto"/>
                      <w:sz w:val="21"/>
                      <w:szCs w:val="21"/>
                    </w:rPr>
                    <w:t>委托处置</w:t>
                  </w:r>
                </w:p>
              </w:tc>
              <w:tc>
                <w:tcPr>
                  <w:tcW w:w="569"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sz w:val="21"/>
                      <w:szCs w:val="21"/>
                      <w:lang w:val="en-US" w:eastAsia="zh-CN"/>
                    </w:rPr>
                  </w:pPr>
                  <w:r>
                    <w:rPr>
                      <w:rFonts w:hint="default" w:ascii="Times New Roman" w:hAnsi="Times New Roman" w:eastAsia="宋体" w:cs="Times New Roman"/>
                      <w:snapToGrid w:val="0"/>
                      <w:color w:val="auto"/>
                      <w:sz w:val="21"/>
                      <w:szCs w:val="21"/>
                      <w:lang w:val="en-US" w:eastAsia="zh-CN"/>
                    </w:rPr>
                    <w:t>委托有危废处理资质单位处置</w:t>
                  </w:r>
                </w:p>
              </w:tc>
              <w:tc>
                <w:tcPr>
                  <w:tcW w:w="35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hint="eastAsia" w:ascii="Times New Roman" w:hAnsi="Times New Roman"/>
                      <w:snapToGrid w:val="0"/>
                      <w:color w:val="auto"/>
                      <w:sz w:val="21"/>
                      <w:szCs w:val="21"/>
                    </w:rPr>
                    <w:t>/</w:t>
                  </w:r>
                </w:p>
              </w:tc>
              <w:tc>
                <w:tcPr>
                  <w:tcW w:w="34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snapToGrid w:val="0"/>
                      <w:color w:val="auto"/>
                      <w:sz w:val="21"/>
                      <w:szCs w:val="21"/>
                      <w:lang w:val="en-US"/>
                    </w:rPr>
                  </w:pPr>
                  <w:r>
                    <w:rPr>
                      <w:rFonts w:hint="eastAsia" w:ascii="Times New Roman" w:hAnsi="Times New Roman"/>
                      <w:snapToGrid w:val="0"/>
                      <w:color w:val="auto"/>
                      <w:sz w:val="21"/>
                      <w:szCs w:val="21"/>
                      <w:lang w:val="en-US" w:eastAsia="zh-CN"/>
                    </w:rPr>
                    <w:t>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8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eastAsia" w:ascii="Times New Roman" w:hAnsi="Times New Roman" w:eastAsia="宋体" w:cs="Times New Roman"/>
                      <w:snapToGrid w:val="0"/>
                      <w:color w:val="auto"/>
                      <w:kern w:val="0"/>
                      <w:sz w:val="21"/>
                      <w:szCs w:val="21"/>
                      <w:lang w:val="en-US" w:eastAsia="zh-CN" w:bidi="ar-SA"/>
                    </w:rPr>
                  </w:pPr>
                  <w:r>
                    <w:rPr>
                      <w:rFonts w:hint="eastAsia" w:ascii="Times New Roman" w:hAnsi="Times New Roman"/>
                      <w:snapToGrid w:val="0"/>
                      <w:color w:val="auto"/>
                      <w:sz w:val="21"/>
                      <w:szCs w:val="21"/>
                      <w:lang w:val="en-US" w:eastAsia="zh-CN"/>
                    </w:rPr>
                    <w:t>S4</w:t>
                  </w:r>
                </w:p>
              </w:tc>
              <w:tc>
                <w:tcPr>
                  <w:tcW w:w="290" w:type="pct"/>
                  <w:vMerge w:val="continue"/>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p>
              </w:tc>
              <w:tc>
                <w:tcPr>
                  <w:tcW w:w="290"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废润滑油</w:t>
                  </w:r>
                </w:p>
              </w:tc>
              <w:tc>
                <w:tcPr>
                  <w:tcW w:w="334"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危险废物</w:t>
                  </w:r>
                </w:p>
              </w:tc>
              <w:tc>
                <w:tcPr>
                  <w:tcW w:w="505"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HW08，900-2</w:t>
                  </w:r>
                  <w:r>
                    <w:rPr>
                      <w:rFonts w:hint="eastAsia" w:ascii="Times New Roman" w:hAnsi="Times New Roman"/>
                      <w:snapToGrid w:val="0"/>
                      <w:color w:val="auto"/>
                      <w:sz w:val="21"/>
                      <w:szCs w:val="21"/>
                      <w:lang w:val="en-US" w:eastAsia="zh-CN"/>
                    </w:rPr>
                    <w:t>49</w:t>
                  </w:r>
                  <w:r>
                    <w:rPr>
                      <w:rFonts w:ascii="Times New Roman" w:hAnsi="Times New Roman"/>
                      <w:snapToGrid w:val="0"/>
                      <w:color w:val="auto"/>
                      <w:sz w:val="21"/>
                      <w:szCs w:val="21"/>
                    </w:rPr>
                    <w:t>-08</w:t>
                  </w:r>
                </w:p>
              </w:tc>
              <w:tc>
                <w:tcPr>
                  <w:tcW w:w="237"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液</w:t>
                  </w:r>
                </w:p>
              </w:tc>
              <w:tc>
                <w:tcPr>
                  <w:tcW w:w="322"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T，I</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snapToGrid w:val="0"/>
                      <w:color w:val="auto"/>
                      <w:sz w:val="21"/>
                      <w:szCs w:val="21"/>
                      <w:lang w:val="en-US" w:eastAsia="zh-CN"/>
                    </w:rPr>
                  </w:pPr>
                  <w:r>
                    <w:rPr>
                      <w:rFonts w:hint="eastAsia" w:ascii="Times New Roman" w:hAnsi="Times New Roman"/>
                      <w:snapToGrid w:val="0"/>
                      <w:color w:val="auto"/>
                      <w:sz w:val="21"/>
                      <w:szCs w:val="21"/>
                      <w:lang w:val="en-US" w:eastAsia="zh-CN"/>
                    </w:rPr>
                    <w:t>0.5</w:t>
                  </w:r>
                </w:p>
              </w:tc>
              <w:tc>
                <w:tcPr>
                  <w:tcW w:w="867"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ascii="Times New Roman" w:hAnsi="Times New Roman" w:cs="Times New Roman"/>
                      <w:color w:val="auto"/>
                      <w:sz w:val="21"/>
                      <w:szCs w:val="21"/>
                    </w:rPr>
                    <w:t>专用容器收集</w:t>
                  </w:r>
                  <w:r>
                    <w:rPr>
                      <w:rFonts w:hint="default" w:ascii="Times New Roman" w:hAnsi="Times New Roman" w:cs="Times New Roman"/>
                      <w:color w:val="auto"/>
                      <w:sz w:val="21"/>
                      <w:szCs w:val="21"/>
                    </w:rPr>
                    <w:t>暂存于危废间</w:t>
                  </w:r>
                </w:p>
              </w:tc>
              <w:tc>
                <w:tcPr>
                  <w:tcW w:w="351"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hint="default" w:ascii="Times New Roman" w:hAnsi="Times New Roman" w:cs="Times New Roman"/>
                      <w:color w:val="auto"/>
                      <w:sz w:val="21"/>
                      <w:szCs w:val="21"/>
                    </w:rPr>
                    <w:t>委托处置</w:t>
                  </w:r>
                </w:p>
              </w:tc>
              <w:tc>
                <w:tcPr>
                  <w:tcW w:w="569"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hint="default" w:ascii="Times New Roman" w:hAnsi="Times New Roman" w:cs="Times New Roman"/>
                      <w:color w:val="auto"/>
                      <w:sz w:val="21"/>
                      <w:szCs w:val="21"/>
                    </w:rPr>
                    <w:t>委托有危废处理资质单位处置</w:t>
                  </w:r>
                </w:p>
              </w:tc>
              <w:tc>
                <w:tcPr>
                  <w:tcW w:w="35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hint="eastAsia" w:ascii="Times New Roman" w:hAnsi="Times New Roman"/>
                      <w:snapToGrid w:val="0"/>
                      <w:color w:val="auto"/>
                      <w:sz w:val="21"/>
                      <w:szCs w:val="21"/>
                    </w:rPr>
                    <w:t>/</w:t>
                  </w:r>
                </w:p>
              </w:tc>
              <w:tc>
                <w:tcPr>
                  <w:tcW w:w="34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snapToGrid w:val="0"/>
                      <w:color w:val="auto"/>
                      <w:sz w:val="21"/>
                      <w:szCs w:val="21"/>
                      <w:lang w:val="en-US"/>
                    </w:rPr>
                  </w:pPr>
                  <w:r>
                    <w:rPr>
                      <w:rFonts w:hint="eastAsia" w:ascii="Times New Roman" w:hAnsi="Times New Roman"/>
                      <w:snapToGrid w:val="0"/>
                      <w:color w:val="auto"/>
                      <w:sz w:val="21"/>
                      <w:szCs w:val="21"/>
                      <w:lang w:val="en-US" w:eastAsia="zh-CN"/>
                    </w:rPr>
                    <w:t>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18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hint="default" w:ascii="Times New Roman" w:hAnsi="Times New Roman" w:eastAsia="宋体" w:cs="Times New Roman"/>
                      <w:snapToGrid w:val="0"/>
                      <w:color w:val="auto"/>
                      <w:kern w:val="0"/>
                      <w:sz w:val="21"/>
                      <w:szCs w:val="21"/>
                      <w:lang w:val="en-US" w:eastAsia="zh-CN" w:bidi="ar-SA"/>
                    </w:rPr>
                  </w:pPr>
                  <w:r>
                    <w:rPr>
                      <w:rFonts w:ascii="Times New Roman" w:hAnsi="Times New Roman"/>
                      <w:snapToGrid w:val="0"/>
                      <w:color w:val="auto"/>
                      <w:sz w:val="21"/>
                      <w:szCs w:val="21"/>
                    </w:rPr>
                    <w:t>S</w:t>
                  </w:r>
                  <w:r>
                    <w:rPr>
                      <w:rFonts w:hint="eastAsia" w:ascii="Times New Roman" w:hAnsi="Times New Roman"/>
                      <w:snapToGrid w:val="0"/>
                      <w:color w:val="auto"/>
                      <w:sz w:val="21"/>
                      <w:szCs w:val="21"/>
                      <w:lang w:val="en-US" w:eastAsia="zh-CN"/>
                    </w:rPr>
                    <w:t>5</w:t>
                  </w:r>
                </w:p>
              </w:tc>
              <w:tc>
                <w:tcPr>
                  <w:tcW w:w="290" w:type="pct"/>
                  <w:vMerge w:val="continue"/>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p>
              </w:tc>
              <w:tc>
                <w:tcPr>
                  <w:tcW w:w="290"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废油桶</w:t>
                  </w:r>
                </w:p>
              </w:tc>
              <w:tc>
                <w:tcPr>
                  <w:tcW w:w="334"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危险废物</w:t>
                  </w:r>
                </w:p>
              </w:tc>
              <w:tc>
                <w:tcPr>
                  <w:tcW w:w="505"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HW08，900-249-08</w:t>
                  </w:r>
                </w:p>
              </w:tc>
              <w:tc>
                <w:tcPr>
                  <w:tcW w:w="237"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固</w:t>
                  </w:r>
                </w:p>
              </w:tc>
              <w:tc>
                <w:tcPr>
                  <w:tcW w:w="322"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ascii="Times New Roman" w:hAnsi="Times New Roman"/>
                      <w:snapToGrid w:val="0"/>
                      <w:color w:val="auto"/>
                      <w:sz w:val="21"/>
                      <w:szCs w:val="21"/>
                    </w:rPr>
                    <w:t>T，I</w:t>
                  </w:r>
                </w:p>
              </w:tc>
              <w:tc>
                <w:tcPr>
                  <w:tcW w:w="351"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hint="eastAsia" w:ascii="Times New Roman" w:hAnsi="Times New Roman"/>
                      <w:snapToGrid w:val="0"/>
                      <w:color w:val="auto"/>
                      <w:sz w:val="21"/>
                      <w:szCs w:val="21"/>
                      <w:lang w:val="en-US" w:eastAsia="zh-CN"/>
                    </w:rPr>
                    <w:t>12</w:t>
                  </w:r>
                  <w:r>
                    <w:rPr>
                      <w:rFonts w:ascii="Times New Roman" w:hAnsi="Times New Roman"/>
                      <w:snapToGrid w:val="0"/>
                      <w:color w:val="auto"/>
                      <w:sz w:val="21"/>
                      <w:szCs w:val="21"/>
                    </w:rPr>
                    <w:t>个</w:t>
                  </w:r>
                  <w:r>
                    <w:rPr>
                      <w:rFonts w:hint="eastAsia" w:ascii="Times New Roman" w:hAnsi="Times New Roman"/>
                      <w:snapToGrid w:val="0"/>
                      <w:color w:val="auto"/>
                      <w:sz w:val="21"/>
                      <w:szCs w:val="21"/>
                    </w:rPr>
                    <w:t>/a</w:t>
                  </w:r>
                </w:p>
              </w:tc>
              <w:tc>
                <w:tcPr>
                  <w:tcW w:w="867"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hint="default" w:ascii="Times New Roman" w:hAnsi="Times New Roman" w:cs="Times New Roman"/>
                      <w:color w:val="auto"/>
                      <w:sz w:val="21"/>
                      <w:szCs w:val="21"/>
                    </w:rPr>
                    <w:t>暂存于危废间</w:t>
                  </w:r>
                </w:p>
              </w:tc>
              <w:tc>
                <w:tcPr>
                  <w:tcW w:w="351"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hint="default" w:ascii="Times New Roman" w:hAnsi="Times New Roman" w:cs="Times New Roman"/>
                      <w:color w:val="auto"/>
                      <w:sz w:val="21"/>
                      <w:szCs w:val="21"/>
                    </w:rPr>
                    <w:t>委托处置</w:t>
                  </w:r>
                </w:p>
              </w:tc>
              <w:tc>
                <w:tcPr>
                  <w:tcW w:w="569" w:type="pct"/>
                  <w:tcBorders>
                    <w:tl2br w:val="nil"/>
                    <w:tr2bl w:val="nil"/>
                  </w:tcBorders>
                  <w:noWrap w:val="0"/>
                  <w:vAlign w:val="center"/>
                </w:tcPr>
                <w:p>
                  <w:pPr>
                    <w:pStyle w:val="72"/>
                    <w:spacing w:line="0" w:lineRule="atLeast"/>
                    <w:rPr>
                      <w:rFonts w:hint="default" w:ascii="Times New Roman" w:hAnsi="Times New Roman" w:cs="Times New Roman"/>
                      <w:snapToGrid w:val="0"/>
                      <w:color w:val="auto"/>
                      <w:sz w:val="21"/>
                      <w:szCs w:val="21"/>
                    </w:rPr>
                  </w:pPr>
                  <w:r>
                    <w:rPr>
                      <w:rFonts w:hint="default" w:ascii="Times New Roman" w:hAnsi="Times New Roman" w:cs="Times New Roman"/>
                      <w:color w:val="auto"/>
                      <w:sz w:val="21"/>
                      <w:szCs w:val="21"/>
                    </w:rPr>
                    <w:t>委托有危废处理资质单位处置</w:t>
                  </w:r>
                </w:p>
              </w:tc>
              <w:tc>
                <w:tcPr>
                  <w:tcW w:w="35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hint="eastAsia" w:ascii="Times New Roman" w:hAnsi="Times New Roman"/>
                      <w:snapToGrid w:val="0"/>
                      <w:color w:val="auto"/>
                      <w:sz w:val="21"/>
                      <w:szCs w:val="21"/>
                    </w:rPr>
                    <w:t>/</w:t>
                  </w:r>
                </w:p>
              </w:tc>
              <w:tc>
                <w:tcPr>
                  <w:tcW w:w="343" w:type="pct"/>
                  <w:tcBorders>
                    <w:tl2br w:val="nil"/>
                    <w:tr2bl w:val="nil"/>
                  </w:tcBorders>
                  <w:noWrap w:val="0"/>
                  <w:vAlign w:val="center"/>
                </w:tcPr>
                <w:p>
                  <w:pPr>
                    <w:pStyle w:val="23"/>
                    <w:keepNext w:val="0"/>
                    <w:keepLines w:val="0"/>
                    <w:suppressLineNumbers w:val="0"/>
                    <w:spacing w:before="0" w:beforeAutospacing="0" w:after="0" w:afterAutospacing="0" w:line="0" w:lineRule="atLeast"/>
                    <w:ind w:left="0" w:right="0"/>
                    <w:jc w:val="center"/>
                    <w:rPr>
                      <w:rFonts w:ascii="Times New Roman" w:hAnsi="Times New Roman"/>
                      <w:snapToGrid w:val="0"/>
                      <w:color w:val="auto"/>
                      <w:sz w:val="21"/>
                      <w:szCs w:val="21"/>
                    </w:rPr>
                  </w:pPr>
                  <w:r>
                    <w:rPr>
                      <w:rFonts w:hint="eastAsia" w:ascii="Times New Roman" w:hAnsi="Times New Roman"/>
                      <w:snapToGrid w:val="0"/>
                      <w:color w:val="auto"/>
                      <w:sz w:val="21"/>
                      <w:szCs w:val="21"/>
                      <w:lang w:val="en-US" w:eastAsia="zh-CN"/>
                    </w:rPr>
                    <w:t>12</w:t>
                  </w:r>
                  <w:r>
                    <w:rPr>
                      <w:rFonts w:ascii="Times New Roman" w:hAnsi="Times New Roman"/>
                      <w:snapToGrid w:val="0"/>
                      <w:color w:val="auto"/>
                      <w:sz w:val="21"/>
                      <w:szCs w:val="21"/>
                    </w:rPr>
                    <w:t>个</w:t>
                  </w:r>
                  <w:r>
                    <w:rPr>
                      <w:rFonts w:hint="eastAsia" w:ascii="Times New Roman" w:hAnsi="Times New Roman"/>
                      <w:snapToGrid w:val="0"/>
                      <w:color w:val="auto"/>
                      <w:sz w:val="21"/>
                      <w:szCs w:val="21"/>
                    </w:rPr>
                    <w:t>/a</w:t>
                  </w:r>
                </w:p>
              </w:tc>
            </w:tr>
          </w:tbl>
          <w:p>
            <w:pPr>
              <w:keepNext w:val="0"/>
              <w:keepLines w:val="0"/>
              <w:widowControl/>
              <w:suppressLineNumbers w:val="0"/>
              <w:spacing w:before="0" w:beforeAutospacing="0" w:after="0" w:afterAutospacing="0" w:line="480" w:lineRule="exact"/>
              <w:ind w:left="0" w:right="0" w:firstLine="420" w:firstLineChars="200"/>
              <w:jc w:val="left"/>
              <w:rPr>
                <w:rFonts w:hint="eastAsia" w:ascii="Times New Roman" w:hAnsi="Times New Roman" w:eastAsia="宋体" w:cs="Times New Roman"/>
                <w:bCs/>
                <w:color w:val="auto"/>
                <w:szCs w:val="21"/>
              </w:rPr>
            </w:pPr>
          </w:p>
        </w:tc>
      </w:tr>
    </w:tbl>
    <w:p>
      <w:pPr>
        <w:rPr>
          <w:color w:val="auto"/>
        </w:rPr>
        <w:sectPr>
          <w:pgSz w:w="16838" w:h="11905" w:orient="landscape"/>
          <w:pgMar w:top="1531" w:right="1701" w:bottom="1531" w:left="1701" w:header="851" w:footer="1077" w:gutter="0"/>
          <w:pgBorders>
            <w:top w:val="none" w:sz="0" w:space="0"/>
            <w:left w:val="none" w:sz="0" w:space="0"/>
            <w:bottom w:val="none" w:sz="0" w:space="0"/>
            <w:right w:val="none" w:sz="0" w:space="0"/>
          </w:pgBorders>
          <w:pgNumType w:fmt="decimal"/>
          <w:cols w:space="720" w:num="1"/>
          <w:rtlGutter w:val="0"/>
          <w:docGrid w:linePitch="312" w:charSpace="0"/>
        </w:sectPr>
      </w:pPr>
    </w:p>
    <w:tbl>
      <w:tblPr>
        <w:tblStyle w:val="27"/>
        <w:tblW w:w="897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64"/>
        <w:gridCol w:w="871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43" w:hRule="atLeast"/>
          <w:jc w:val="center"/>
        </w:trPr>
        <w:tc>
          <w:tcPr>
            <w:tcW w:w="264" w:type="dxa"/>
            <w:noWrap w:val="0"/>
            <w:tcMar>
              <w:left w:w="28" w:type="dxa"/>
              <w:right w:w="28" w:type="dxa"/>
            </w:tcMar>
            <w:vAlign w:val="center"/>
          </w:tcPr>
          <w:p>
            <w:pPr>
              <w:keepNext w:val="0"/>
              <w:keepLines w:val="0"/>
              <w:suppressLineNumbers w:val="0"/>
              <w:spacing w:before="0" w:beforeAutospacing="0" w:after="0" w:afterAutospacing="0"/>
              <w:ind w:left="0" w:right="0"/>
              <w:rPr>
                <w:rFonts w:ascii="Calibri" w:hAnsi="Calibri" w:eastAsia="宋体" w:cs="Times New Roman"/>
                <w:color w:val="auto"/>
                <w:highlight w:val="none"/>
              </w:rPr>
            </w:pPr>
            <w:r>
              <w:rPr>
                <w:rFonts w:ascii="Times New Roman" w:hAnsi="Times New Roman" w:eastAsia="宋体" w:cs="Times New Roman"/>
                <w:bCs/>
                <w:color w:val="auto"/>
                <w:szCs w:val="21"/>
              </w:rPr>
              <w:t>运营期环境影响和保护措施</w:t>
            </w:r>
          </w:p>
        </w:tc>
        <w:tc>
          <w:tcPr>
            <w:tcW w:w="8715" w:type="dxa"/>
            <w:noWrap w:val="0"/>
            <w:vAlign w:val="center"/>
          </w:tcPr>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bookmarkStart w:id="5" w:name="OLE_LINK1"/>
            <w:r>
              <w:rPr>
                <w:rFonts w:hint="eastAsia" w:ascii="Times New Roman" w:hAnsi="Times New Roman" w:eastAsia="宋体" w:cs="Times New Roman"/>
                <w:bCs/>
                <w:color w:val="auto"/>
                <w:sz w:val="24"/>
                <w:szCs w:val="24"/>
                <w:highlight w:val="none"/>
                <w:lang w:val="en-US" w:eastAsia="zh-CN"/>
              </w:rPr>
              <w:t>5.2固体废物管理措施</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（1）危险废物处置措施可行性分析</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本项目产生危险废物采用专门的收集容器分类储存。包装好的危废采用人工运输的方式将危险废物从产生区域转移到危险废物暂存间。在运输过程中应尽量小心，轻拿轻放，避免破坏包装容器，发生危险废物散落、泄漏等情况发生。该过程有专职人员跟进管理，并做好各类危险废物总量的登记。一旦发生散落、泄漏，工作人员应迅速找到泄漏点，防止继续泄漏，然后将破损桶内危险废物转移至其他空桶内暂存。已经散落、泄漏的少量危险废物应尽快收集，采用惰性材料吸附处理，废吸附材料收集至干净有盖的桶中，暂存于危险废物暂存间，和其他危险废物一并交由具有相应危险废物处理资质的单位进行清运、处置，本项目危险废物处置去向合理可行。</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rPr>
            </w:pPr>
            <w:r>
              <w:rPr>
                <w:rFonts w:hint="eastAsia" w:ascii="Times New Roman" w:hAnsi="Times New Roman" w:eastAsia="宋体" w:cs="Times New Roman"/>
                <w:bCs/>
                <w:color w:val="auto"/>
                <w:sz w:val="24"/>
                <w:szCs w:val="24"/>
                <w:highlight w:val="none"/>
                <w:lang w:val="en-US" w:eastAsia="zh-CN"/>
              </w:rPr>
              <w:t>（2）</w:t>
            </w:r>
            <w:r>
              <w:rPr>
                <w:rFonts w:hint="eastAsia" w:ascii="Times New Roman" w:hAnsi="Times New Roman" w:eastAsia="宋体" w:cs="Times New Roman"/>
                <w:bCs/>
                <w:color w:val="auto"/>
                <w:sz w:val="24"/>
                <w:szCs w:val="24"/>
                <w:highlight w:val="none"/>
              </w:rPr>
              <w:t>危险废物贮存环境影响分析</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本项目依托管廊项目危废间（面积6m</w:t>
            </w:r>
            <w:r>
              <w:rPr>
                <w:rFonts w:hint="eastAsia" w:ascii="Times New Roman" w:hAnsi="Times New Roman" w:eastAsia="宋体" w:cs="Times New Roman"/>
                <w:bCs/>
                <w:color w:val="auto"/>
                <w:sz w:val="24"/>
                <w:szCs w:val="24"/>
                <w:highlight w:val="none"/>
                <w:vertAlign w:val="superscript"/>
                <w:lang w:val="en-US" w:eastAsia="zh-CN"/>
              </w:rPr>
              <w:t>2</w:t>
            </w:r>
            <w:r>
              <w:rPr>
                <w:rFonts w:hint="eastAsia" w:cs="Times New Roman"/>
                <w:bCs/>
                <w:color w:val="auto"/>
                <w:sz w:val="24"/>
                <w:szCs w:val="24"/>
                <w:highlight w:val="none"/>
                <w:vertAlign w:val="baseline"/>
                <w:lang w:val="en-US" w:eastAsia="zh-CN"/>
              </w:rPr>
              <w:t>，建设完成经验收后再进行危废储存</w:t>
            </w:r>
            <w:r>
              <w:rPr>
                <w:rFonts w:hint="eastAsia" w:ascii="Times New Roman" w:hAnsi="Times New Roman" w:eastAsia="宋体" w:cs="Times New Roman"/>
                <w:bCs/>
                <w:color w:val="auto"/>
                <w:sz w:val="24"/>
                <w:szCs w:val="24"/>
                <w:highlight w:val="none"/>
                <w:lang w:val="en-US" w:eastAsia="zh-CN"/>
              </w:rPr>
              <w:t>），用于暂存上述危险废物，将危险废物分区存放，委托有资质的单位定期清运处置。严格按照《危险废物贮存污染控制标准》（GB18597-2023）中相关要求：</w:t>
            </w:r>
          </w:p>
          <w:bookmarkEnd w:id="5"/>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rPr>
            </w:pPr>
            <w:r>
              <w:rPr>
                <w:rFonts w:hint="eastAsia" w:ascii="Times New Roman" w:hAnsi="Times New Roman" w:eastAsia="宋体" w:cs="Times New Roman"/>
                <w:bCs/>
                <w:color w:val="auto"/>
                <w:sz w:val="24"/>
                <w:szCs w:val="24"/>
                <w:highlight w:val="none"/>
              </w:rPr>
              <w:t>①地面与裙脚采取防渗措施，同时设置</w:t>
            </w:r>
            <w:r>
              <w:rPr>
                <w:rFonts w:hint="eastAsia" w:ascii="Times New Roman" w:hAnsi="Times New Roman" w:eastAsia="宋体" w:cs="Times New Roman"/>
                <w:bCs/>
                <w:color w:val="auto"/>
                <w:sz w:val="24"/>
                <w:szCs w:val="24"/>
                <w:highlight w:val="none"/>
                <w:lang w:eastAsia="zh-CN"/>
              </w:rPr>
              <w:t>泄漏</w:t>
            </w:r>
            <w:r>
              <w:rPr>
                <w:rFonts w:hint="eastAsia" w:ascii="Times New Roman" w:hAnsi="Times New Roman" w:eastAsia="宋体" w:cs="Times New Roman"/>
                <w:bCs/>
                <w:color w:val="auto"/>
                <w:sz w:val="24"/>
                <w:szCs w:val="24"/>
                <w:highlight w:val="none"/>
              </w:rPr>
              <w:t>液体的收集装置，渗透系</w:t>
            </w:r>
            <w:r>
              <w:rPr>
                <w:rFonts w:hint="default" w:ascii="Times New Roman" w:hAnsi="Times New Roman" w:eastAsia="宋体" w:cs="Times New Roman"/>
                <w:bCs/>
                <w:color w:val="auto"/>
                <w:sz w:val="24"/>
                <w:szCs w:val="24"/>
                <w:highlight w:val="none"/>
              </w:rPr>
              <w:t>数≤1×1</w:t>
            </w:r>
            <w:r>
              <w:rPr>
                <w:rFonts w:hint="default" w:ascii="Times New Roman" w:hAnsi="Times New Roman" w:eastAsia="宋体" w:cs="Times New Roman"/>
                <w:bCs/>
                <w:color w:val="auto"/>
                <w:sz w:val="24"/>
                <w:szCs w:val="24"/>
                <w:highlight w:val="none"/>
                <w:lang w:val="en-US" w:eastAsia="zh-CN"/>
              </w:rPr>
              <w:t>0</w:t>
            </w:r>
            <w:r>
              <w:rPr>
                <w:rFonts w:hint="default" w:ascii="Times New Roman" w:hAnsi="Times New Roman" w:eastAsia="宋体" w:cs="Times New Roman"/>
                <w:bCs/>
                <w:color w:val="auto"/>
                <w:sz w:val="24"/>
                <w:szCs w:val="24"/>
                <w:highlight w:val="none"/>
                <w:vertAlign w:val="superscript"/>
              </w:rPr>
              <w:t>-10</w:t>
            </w:r>
            <w:r>
              <w:rPr>
                <w:rFonts w:hint="default" w:ascii="Times New Roman" w:hAnsi="Times New Roman" w:eastAsia="宋体" w:cs="Times New Roman"/>
                <w:bCs/>
                <w:color w:val="auto"/>
                <w:sz w:val="24"/>
                <w:szCs w:val="24"/>
                <w:highlight w:val="none"/>
              </w:rPr>
              <w:t>cm/s。地面及四周裙脚均应耐腐蚀，耐热且表面无裂隙，危废间设有隔离设施、报警装</w:t>
            </w:r>
            <w:r>
              <w:rPr>
                <w:rFonts w:hint="eastAsia" w:ascii="Times New Roman" w:hAnsi="Times New Roman" w:eastAsia="宋体" w:cs="Times New Roman"/>
                <w:bCs/>
                <w:color w:val="auto"/>
                <w:sz w:val="24"/>
                <w:szCs w:val="24"/>
                <w:highlight w:val="none"/>
              </w:rPr>
              <w:t>置和防风、防晒、防雨等安全设施。</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rPr>
            </w:pPr>
            <w:r>
              <w:rPr>
                <w:rFonts w:hint="eastAsia" w:ascii="Times New Roman" w:hAnsi="Times New Roman" w:eastAsia="宋体" w:cs="Times New Roman"/>
                <w:bCs/>
                <w:color w:val="auto"/>
                <w:sz w:val="24"/>
                <w:szCs w:val="24"/>
                <w:highlight w:val="none"/>
              </w:rPr>
              <w:t>②有</w:t>
            </w:r>
            <w:r>
              <w:rPr>
                <w:rFonts w:hint="eastAsia" w:ascii="Times New Roman" w:hAnsi="Times New Roman" w:eastAsia="宋体" w:cs="Times New Roman"/>
                <w:bCs/>
                <w:color w:val="auto"/>
                <w:sz w:val="24"/>
                <w:szCs w:val="24"/>
                <w:highlight w:val="none"/>
                <w:lang w:eastAsia="zh-CN"/>
              </w:rPr>
              <w:t>泄漏</w:t>
            </w:r>
            <w:r>
              <w:rPr>
                <w:rFonts w:hint="eastAsia" w:ascii="Times New Roman" w:hAnsi="Times New Roman" w:eastAsia="宋体" w:cs="Times New Roman"/>
                <w:bCs/>
                <w:color w:val="auto"/>
                <w:sz w:val="24"/>
                <w:szCs w:val="24"/>
                <w:highlight w:val="none"/>
              </w:rPr>
              <w:t>液体收集装置；设施内有安全照明装置和观察窗口；并设置环保专用标志。</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rPr>
            </w:pPr>
            <w:r>
              <w:rPr>
                <w:rFonts w:hint="eastAsia" w:ascii="Times New Roman" w:hAnsi="Times New Roman" w:eastAsia="宋体" w:cs="Times New Roman"/>
                <w:bCs/>
                <w:color w:val="auto"/>
                <w:sz w:val="24"/>
                <w:szCs w:val="24"/>
                <w:highlight w:val="none"/>
              </w:rPr>
              <w:t>③做好危险废物情况记录，记录上注明危险废物的名称、来源、数量、特性、包装容器的类别、入库日期、存放位置、出库日期、接收单位名称等。</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rPr>
              <w:t>④定期对所贮存的危险废物包装容器及贮存设施进行检查，发现漏损及时清理更换</w:t>
            </w:r>
            <w:r>
              <w:rPr>
                <w:rFonts w:hint="eastAsia" w:ascii="Times New Roman" w:hAnsi="Times New Roman" w:eastAsia="宋体" w:cs="Times New Roman"/>
                <w:bCs/>
                <w:color w:val="auto"/>
                <w:sz w:val="24"/>
                <w:szCs w:val="24"/>
                <w:highlight w:val="none"/>
                <w:lang w:eastAsia="zh-CN"/>
              </w:rPr>
              <w:t>。</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eastAsia="zh-CN"/>
              </w:rPr>
            </w:pPr>
            <w:r>
              <w:rPr>
                <w:rFonts w:hint="eastAsia" w:ascii="Times New Roman" w:hAnsi="Times New Roman" w:eastAsia="宋体" w:cs="Times New Roman"/>
                <w:b/>
                <w:bCs w:val="0"/>
                <w:color w:val="auto"/>
                <w:sz w:val="21"/>
                <w:szCs w:val="21"/>
                <w:highlight w:val="none"/>
                <w:lang w:eastAsia="zh-CN"/>
              </w:rPr>
              <w:t>表</w:t>
            </w:r>
            <w:r>
              <w:rPr>
                <w:rFonts w:hint="eastAsia" w:ascii="Times New Roman" w:hAnsi="Times New Roman" w:eastAsia="宋体" w:cs="Times New Roman"/>
                <w:b/>
                <w:bCs w:val="0"/>
                <w:color w:val="auto"/>
                <w:sz w:val="21"/>
                <w:szCs w:val="21"/>
                <w:highlight w:val="none"/>
                <w:lang w:val="en-US" w:eastAsia="zh-CN"/>
              </w:rPr>
              <w:t>4-1</w:t>
            </w:r>
            <w:r>
              <w:rPr>
                <w:rFonts w:hint="eastAsia" w:cs="Times New Roman"/>
                <w:b/>
                <w:bCs w:val="0"/>
                <w:color w:val="auto"/>
                <w:sz w:val="21"/>
                <w:szCs w:val="21"/>
                <w:highlight w:val="none"/>
                <w:lang w:val="en-US" w:eastAsia="zh-CN"/>
              </w:rPr>
              <w:t>5</w:t>
            </w:r>
            <w:r>
              <w:rPr>
                <w:rFonts w:hint="eastAsia" w:ascii="Times New Roman" w:hAnsi="Times New Roman" w:eastAsia="宋体" w:cs="Times New Roman"/>
                <w:b/>
                <w:bCs w:val="0"/>
                <w:color w:val="auto"/>
                <w:sz w:val="21"/>
                <w:szCs w:val="21"/>
                <w:highlight w:val="none"/>
                <w:lang w:val="en-US" w:eastAsia="zh-CN"/>
              </w:rPr>
              <w:t xml:space="preserve">  </w:t>
            </w:r>
            <w:r>
              <w:rPr>
                <w:rFonts w:hint="eastAsia" w:ascii="Times New Roman" w:hAnsi="Times New Roman" w:eastAsia="宋体" w:cs="Times New Roman"/>
                <w:b/>
                <w:bCs w:val="0"/>
                <w:color w:val="auto"/>
                <w:sz w:val="21"/>
                <w:szCs w:val="21"/>
                <w:highlight w:val="none"/>
                <w:lang w:eastAsia="zh-CN"/>
              </w:rPr>
              <w:t>本项目依托危险废物贮存场所贮存能力情况一览表</w:t>
            </w:r>
          </w:p>
          <w:tbl>
            <w:tblPr>
              <w:tblStyle w:val="28"/>
              <w:tblW w:w="0" w:type="auto"/>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003"/>
              <w:gridCol w:w="948"/>
              <w:gridCol w:w="1077"/>
              <w:gridCol w:w="1041"/>
              <w:gridCol w:w="1335"/>
              <w:gridCol w:w="1044"/>
              <w:gridCol w:w="1016"/>
              <w:gridCol w:w="100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3"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eastAsia="zh-CN"/>
                    </w:rPr>
                  </w:pPr>
                  <w:r>
                    <w:rPr>
                      <w:rFonts w:hint="eastAsia" w:ascii="Times New Roman" w:hAnsi="Times New Roman" w:eastAsia="宋体" w:cs="Times New Roman"/>
                      <w:b/>
                      <w:bCs w:val="0"/>
                      <w:color w:val="auto"/>
                      <w:sz w:val="21"/>
                      <w:szCs w:val="24"/>
                      <w:highlight w:val="none"/>
                      <w:vertAlign w:val="baseline"/>
                      <w:lang w:eastAsia="zh-CN"/>
                    </w:rPr>
                    <w:t>贮存场所名称</w:t>
                  </w:r>
                </w:p>
              </w:tc>
              <w:tc>
                <w:tcPr>
                  <w:tcW w:w="948"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eastAsia="zh-CN"/>
                    </w:rPr>
                  </w:pPr>
                  <w:r>
                    <w:rPr>
                      <w:rFonts w:hint="eastAsia" w:ascii="Times New Roman" w:hAnsi="Times New Roman" w:eastAsia="宋体" w:cs="Times New Roman"/>
                      <w:b/>
                      <w:bCs w:val="0"/>
                      <w:color w:val="auto"/>
                      <w:sz w:val="21"/>
                      <w:szCs w:val="24"/>
                      <w:highlight w:val="none"/>
                      <w:vertAlign w:val="baseline"/>
                      <w:lang w:eastAsia="zh-CN"/>
                    </w:rPr>
                    <w:t>占地面积</w:t>
                  </w:r>
                </w:p>
              </w:tc>
              <w:tc>
                <w:tcPr>
                  <w:tcW w:w="107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eastAsia="zh-CN"/>
                    </w:rPr>
                  </w:pPr>
                  <w:r>
                    <w:rPr>
                      <w:rFonts w:hint="eastAsia" w:ascii="Times New Roman" w:hAnsi="Times New Roman" w:eastAsia="宋体" w:cs="Times New Roman"/>
                      <w:b/>
                      <w:bCs w:val="0"/>
                      <w:color w:val="auto"/>
                      <w:sz w:val="21"/>
                      <w:szCs w:val="24"/>
                      <w:highlight w:val="none"/>
                      <w:vertAlign w:val="baseline"/>
                      <w:lang w:eastAsia="zh-CN"/>
                    </w:rPr>
                    <w:t>危险废物名称</w:t>
                  </w:r>
                </w:p>
              </w:tc>
              <w:tc>
                <w:tcPr>
                  <w:tcW w:w="1041"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eastAsia="zh-CN"/>
                    </w:rPr>
                  </w:pPr>
                  <w:r>
                    <w:rPr>
                      <w:rFonts w:hint="eastAsia" w:ascii="Times New Roman" w:hAnsi="Times New Roman" w:eastAsia="宋体" w:cs="Times New Roman"/>
                      <w:b/>
                      <w:bCs w:val="0"/>
                      <w:color w:val="auto"/>
                      <w:sz w:val="21"/>
                      <w:szCs w:val="24"/>
                      <w:highlight w:val="none"/>
                      <w:vertAlign w:val="baseline"/>
                      <w:lang w:eastAsia="zh-CN"/>
                    </w:rPr>
                    <w:t>危险废物类别</w:t>
                  </w:r>
                </w:p>
              </w:tc>
              <w:tc>
                <w:tcPr>
                  <w:tcW w:w="13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bCs w:val="0"/>
                      <w:color w:val="auto"/>
                      <w:sz w:val="21"/>
                      <w:szCs w:val="24"/>
                      <w:highlight w:val="none"/>
                      <w:vertAlign w:val="baseline"/>
                      <w:lang w:val="en-US" w:eastAsia="zh-CN"/>
                    </w:rPr>
                  </w:pPr>
                  <w:r>
                    <w:rPr>
                      <w:rFonts w:hint="eastAsia" w:ascii="Times New Roman" w:hAnsi="Times New Roman" w:eastAsia="宋体" w:cs="Times New Roman"/>
                      <w:b/>
                      <w:bCs w:val="0"/>
                      <w:color w:val="auto"/>
                      <w:sz w:val="21"/>
                      <w:szCs w:val="24"/>
                      <w:highlight w:val="none"/>
                      <w:vertAlign w:val="baseline"/>
                      <w:lang w:eastAsia="zh-CN"/>
                    </w:rPr>
                    <w:t>危险废物</w:t>
                  </w:r>
                  <w:r>
                    <w:rPr>
                      <w:rFonts w:hint="eastAsia" w:ascii="Times New Roman" w:hAnsi="Times New Roman" w:eastAsia="宋体" w:cs="Times New Roman"/>
                      <w:b/>
                      <w:bCs w:val="0"/>
                      <w:color w:val="auto"/>
                      <w:sz w:val="21"/>
                      <w:szCs w:val="24"/>
                      <w:highlight w:val="none"/>
                      <w:vertAlign w:val="baseline"/>
                      <w:lang w:val="en-US" w:eastAsia="zh-CN"/>
                    </w:rPr>
                    <w:t>diamante</w:t>
                  </w:r>
                </w:p>
              </w:tc>
              <w:tc>
                <w:tcPr>
                  <w:tcW w:w="104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eastAsia="zh-CN"/>
                    </w:rPr>
                  </w:pPr>
                  <w:r>
                    <w:rPr>
                      <w:rFonts w:hint="eastAsia" w:ascii="Times New Roman" w:hAnsi="Times New Roman" w:eastAsia="宋体" w:cs="Times New Roman"/>
                      <w:b/>
                      <w:bCs w:val="0"/>
                      <w:color w:val="auto"/>
                      <w:sz w:val="21"/>
                      <w:szCs w:val="24"/>
                      <w:highlight w:val="none"/>
                      <w:vertAlign w:val="baseline"/>
                      <w:lang w:eastAsia="zh-CN"/>
                    </w:rPr>
                    <w:t>产生量</w:t>
                  </w:r>
                </w:p>
              </w:tc>
              <w:tc>
                <w:tcPr>
                  <w:tcW w:w="1016"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eastAsia="zh-CN"/>
                    </w:rPr>
                  </w:pPr>
                  <w:r>
                    <w:rPr>
                      <w:rFonts w:hint="eastAsia" w:ascii="Times New Roman" w:hAnsi="Times New Roman" w:eastAsia="宋体" w:cs="Times New Roman"/>
                      <w:b/>
                      <w:bCs w:val="0"/>
                      <w:color w:val="auto"/>
                      <w:sz w:val="21"/>
                      <w:szCs w:val="24"/>
                      <w:highlight w:val="none"/>
                      <w:vertAlign w:val="baseline"/>
                      <w:lang w:eastAsia="zh-CN"/>
                    </w:rPr>
                    <w:t>贮存能力</w:t>
                  </w:r>
                </w:p>
              </w:tc>
              <w:tc>
                <w:tcPr>
                  <w:tcW w:w="100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eastAsia="zh-CN"/>
                    </w:rPr>
                  </w:pPr>
                  <w:r>
                    <w:rPr>
                      <w:rFonts w:hint="eastAsia" w:ascii="Times New Roman" w:hAnsi="Times New Roman" w:eastAsia="宋体" w:cs="Times New Roman"/>
                      <w:b/>
                      <w:bCs w:val="0"/>
                      <w:color w:val="auto"/>
                      <w:sz w:val="21"/>
                      <w:szCs w:val="24"/>
                      <w:highlight w:val="none"/>
                      <w:vertAlign w:val="baseline"/>
                      <w:lang w:eastAsia="zh-CN"/>
                    </w:rPr>
                    <w:t>贮存周期</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3" w:type="dxa"/>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r>
                    <w:rPr>
                      <w:rFonts w:hint="eastAsia" w:ascii="Times New Roman" w:hAnsi="Times New Roman" w:eastAsia="宋体" w:cs="Times New Roman"/>
                      <w:bCs/>
                      <w:color w:val="auto"/>
                      <w:sz w:val="21"/>
                      <w:szCs w:val="24"/>
                      <w:highlight w:val="none"/>
                      <w:vertAlign w:val="baseline"/>
                      <w:lang w:eastAsia="zh-CN"/>
                    </w:rPr>
                    <w:t>危废间</w:t>
                  </w:r>
                </w:p>
              </w:tc>
              <w:tc>
                <w:tcPr>
                  <w:tcW w:w="948" w:type="dxa"/>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6m</w:t>
                  </w:r>
                  <w:r>
                    <w:rPr>
                      <w:rFonts w:hint="eastAsia" w:ascii="Times New Roman" w:hAnsi="Times New Roman" w:eastAsia="宋体" w:cs="Times New Roman"/>
                      <w:bCs/>
                      <w:color w:val="auto"/>
                      <w:sz w:val="21"/>
                      <w:szCs w:val="24"/>
                      <w:highlight w:val="none"/>
                      <w:vertAlign w:val="superscript"/>
                      <w:lang w:val="en-US" w:eastAsia="zh-CN"/>
                    </w:rPr>
                    <w:t>2</w:t>
                  </w:r>
                </w:p>
              </w:tc>
              <w:tc>
                <w:tcPr>
                  <w:tcW w:w="107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r>
                    <w:rPr>
                      <w:rFonts w:hint="eastAsia" w:ascii="Times New Roman" w:hAnsi="Times New Roman" w:eastAsia="宋体" w:cs="Times New Roman"/>
                      <w:bCs/>
                      <w:color w:val="auto"/>
                      <w:sz w:val="21"/>
                      <w:szCs w:val="24"/>
                      <w:highlight w:val="none"/>
                      <w:vertAlign w:val="baseline"/>
                      <w:lang w:eastAsia="zh-CN"/>
                    </w:rPr>
                    <w:t>废机油</w:t>
                  </w:r>
                </w:p>
              </w:tc>
              <w:tc>
                <w:tcPr>
                  <w:tcW w:w="1041"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HW08</w:t>
                  </w:r>
                </w:p>
              </w:tc>
              <w:tc>
                <w:tcPr>
                  <w:tcW w:w="13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900-249-08</w:t>
                  </w:r>
                </w:p>
              </w:tc>
              <w:tc>
                <w:tcPr>
                  <w:tcW w:w="104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0.5t/a</w:t>
                  </w:r>
                </w:p>
              </w:tc>
              <w:tc>
                <w:tcPr>
                  <w:tcW w:w="1016"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2t</w:t>
                  </w:r>
                </w:p>
              </w:tc>
              <w:tc>
                <w:tcPr>
                  <w:tcW w:w="1005" w:type="dxa"/>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1年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3"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p>
              </w:tc>
              <w:tc>
                <w:tcPr>
                  <w:tcW w:w="948"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p>
              </w:tc>
              <w:tc>
                <w:tcPr>
                  <w:tcW w:w="107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r>
                    <w:rPr>
                      <w:rFonts w:hint="eastAsia" w:ascii="Times New Roman" w:hAnsi="Times New Roman" w:eastAsia="宋体" w:cs="Times New Roman"/>
                      <w:bCs/>
                      <w:color w:val="auto"/>
                      <w:sz w:val="21"/>
                      <w:szCs w:val="24"/>
                      <w:highlight w:val="none"/>
                      <w:vertAlign w:val="baseline"/>
                      <w:lang w:eastAsia="zh-CN"/>
                    </w:rPr>
                    <w:t>废润滑油</w:t>
                  </w:r>
                </w:p>
              </w:tc>
              <w:tc>
                <w:tcPr>
                  <w:tcW w:w="1041"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HW08</w:t>
                  </w:r>
                </w:p>
              </w:tc>
              <w:tc>
                <w:tcPr>
                  <w:tcW w:w="13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900-214-08</w:t>
                  </w:r>
                </w:p>
              </w:tc>
              <w:tc>
                <w:tcPr>
                  <w:tcW w:w="104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0.5t/a</w:t>
                  </w:r>
                </w:p>
              </w:tc>
              <w:tc>
                <w:tcPr>
                  <w:tcW w:w="1016"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2t</w:t>
                  </w:r>
                </w:p>
              </w:tc>
              <w:tc>
                <w:tcPr>
                  <w:tcW w:w="1005"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003"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p>
              </w:tc>
              <w:tc>
                <w:tcPr>
                  <w:tcW w:w="948" w:type="dxa"/>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p>
              </w:tc>
              <w:tc>
                <w:tcPr>
                  <w:tcW w:w="1077"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Cs/>
                      <w:color w:val="auto"/>
                      <w:sz w:val="21"/>
                      <w:szCs w:val="24"/>
                      <w:highlight w:val="none"/>
                      <w:vertAlign w:val="baseline"/>
                      <w:lang w:eastAsia="zh-CN"/>
                    </w:rPr>
                  </w:pPr>
                  <w:r>
                    <w:rPr>
                      <w:rFonts w:hint="eastAsia" w:ascii="Times New Roman" w:hAnsi="Times New Roman" w:eastAsia="宋体" w:cs="Times New Roman"/>
                      <w:bCs/>
                      <w:color w:val="auto"/>
                      <w:sz w:val="21"/>
                      <w:szCs w:val="24"/>
                      <w:highlight w:val="none"/>
                      <w:vertAlign w:val="baseline"/>
                      <w:lang w:eastAsia="zh-CN"/>
                    </w:rPr>
                    <w:t>废油桶</w:t>
                  </w:r>
                </w:p>
              </w:tc>
              <w:tc>
                <w:tcPr>
                  <w:tcW w:w="1041"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HW08</w:t>
                  </w:r>
                </w:p>
              </w:tc>
              <w:tc>
                <w:tcPr>
                  <w:tcW w:w="13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900249-08</w:t>
                  </w:r>
                </w:p>
              </w:tc>
              <w:tc>
                <w:tcPr>
                  <w:tcW w:w="104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cs="Times New Roman"/>
                      <w:bCs/>
                      <w:color w:val="auto"/>
                      <w:sz w:val="21"/>
                      <w:szCs w:val="24"/>
                      <w:highlight w:val="none"/>
                      <w:vertAlign w:val="baseline"/>
                      <w:lang w:val="en-US" w:eastAsia="zh-CN"/>
                    </w:rPr>
                    <w:t>12个/a</w:t>
                  </w:r>
                </w:p>
              </w:tc>
              <w:tc>
                <w:tcPr>
                  <w:tcW w:w="1016"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cs="Times New Roman"/>
                      <w:bCs/>
                      <w:color w:val="auto"/>
                      <w:sz w:val="21"/>
                      <w:szCs w:val="24"/>
                      <w:highlight w:val="none"/>
                      <w:vertAlign w:val="baseline"/>
                      <w:lang w:val="en-US" w:eastAsia="zh-CN"/>
                    </w:rPr>
                    <w:t>6个</w:t>
                  </w:r>
                </w:p>
              </w:tc>
              <w:tc>
                <w:tcPr>
                  <w:tcW w:w="100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Cs/>
                      <w:color w:val="auto"/>
                      <w:sz w:val="21"/>
                      <w:szCs w:val="24"/>
                      <w:highlight w:val="none"/>
                      <w:vertAlign w:val="baseline"/>
                      <w:lang w:val="en-US" w:eastAsia="zh-CN"/>
                    </w:rPr>
                  </w:pPr>
                  <w:r>
                    <w:rPr>
                      <w:rFonts w:hint="eastAsia" w:ascii="Times New Roman" w:hAnsi="Times New Roman" w:eastAsia="宋体" w:cs="Times New Roman"/>
                      <w:bCs/>
                      <w:color w:val="auto"/>
                      <w:sz w:val="21"/>
                      <w:szCs w:val="24"/>
                      <w:highlight w:val="none"/>
                      <w:vertAlign w:val="baseline"/>
                      <w:lang w:val="en-US" w:eastAsia="zh-CN"/>
                    </w:rPr>
                    <w:t>6个月</w:t>
                  </w:r>
                </w:p>
              </w:tc>
            </w:tr>
          </w:tbl>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根据上表分析可知，本项目危险废物贮存能力满足要求。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（3）厂内运输过程环境影响分析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本项目危险废物从产生工艺环节收集包装后由工人运送到贮存场所，运送过程中危险废物均有妥善包装，液态废物密封在包装桶内，并且运送距离较短，因此危险废物产生散落、泄漏的可能性很小；如果万一发生散落或泄漏，由于危险废物运输量较少，且厂区路面均进行硬化处理，可以确保及时进行收集，故本项目危险废物在厂内运输过程基本不会对周围环境产生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（4）委托处置过程环境影响分析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根据本项目周边有资质的危险废物处置单位的分布情况，建议委托唐山浩昌杰环保科技发展有限公司对本项目运营期产生的危险废物进行处置。单位情况如下：</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唐山浩昌杰环保科技发展有限公司成立于2016年，位于开发区天津道西侧，占地面积120亩，经营方式：收集、贮存、利用、处置。焚烧处置危险废物类别：HW02、HW03、HW04、HW05、HW06、HW08、HW09、HW11、HW12、HW13、HW16、HW39、HW49，焚烧处置危废规模6592吨/年；综合利用危废类别：HW08，综合利用规模140100吨/年。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本项目涉及的危险废物类别为HW08废矿物油与含矿物油废物，属于上述危险废物处置单位核准经营的危险废物类别，且处置能力及资质类别均能满足本项目相关危险废物处置要求。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（5）危险废物环境管理要求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①全过程管理要求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本项目产生的危险废物从收集、贮存、运输、利用、处置各环节严格执行《危险废物收集、贮存、运输技术规范》（HJ 2025-2012）的相关要求。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危险废物贮存过程中满足《危险废物贮存污染控制标准》（GB18597-2023）中的相关规定，危险废物的贮存容器满足下列要求：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a.使用符合标准的容器盛装危险废物；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b.装载危险废物的容器及材质满足相应的强度要求；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c.装载危险废物的容器完好无损；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d.盛装危险废物的容器材质和衬里与危险废物相容（不相互反应）。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危险废物贮存设施的运行与管理按照下列要求执行：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a.不将不相容的废物混合或合并存放；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b.做好危险废物情况的记录，记录上注明危险废物的名称、资源、数量、特性和包装容器的类别、入库日期、存放库位、废物出库日期及接收单位名称。危险废物的记录和货单在危险废物回取后继续保留三年；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c.定期对所贮存的危险废物包装容器及贮存设施进行检查，发现破损，及时采取措施清理更换。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本项目运营期产生的危险废物在转移过程中，严格执行《危险废物转移联单管理办法》（原国家环境保护总局令第5号）的相关规定。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综上所述，在本单位严格对项目产生的危险废物进行全过程管理并落实相关要求的条件下，本项目危险废物处理可行、贮存合理，不会对环境造成二次污染。</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②日常管理要求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a.设专职人员负责本厂内的废物管理并对委托的具有相应处理资质的单位进行监督；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b.对全部废物进行分类界定，对列入危险废物名录中的废物登记建账进行全过程监管；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c.根据危险废物的性质、形态，选择安全的包装材料和包装方式，包装容器的外面必须有表示废物形态、性质的明显标志，并向运输者和接收者提供安全保护要求的文字说明；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d.危险废物的贮存设施符合国家标准和有关规定，有防渗漏、防雨淋、防流失措施，并设置识别危险废物的明显标志；</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e.禁止将危险废物与一般固体废物、生活垃圾及其它废物混合堆放；</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f.危险废物的产生、贮存、运移通道等按照《关于印发全省危险废物智能监控体系数据联网规范的通知》（冀环办字函〔2018〕203 号）相关要求安装视频监控、智能地磅等设备并将有关数据实时传输至河北省固体废物动态管理信息平台。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g.定期向环境主管部门汇报固体废物的处置情况，接受环境主管部门的指导和监督管理。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（6）其他固体废物环境影响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项目废皮带集中收集后，外售废橡胶回收企业综合利用；沉淀池污泥定期清掏，外售回收利用；生活垃圾集中收集，袋装化，送当地环保部门指定地点处理，不会对周围环境产生影响。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（7）结论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 xml:space="preserve">综上所述，在建设单位严格对项目产生的危险废物进行全过程管理并落实相关要求的条件下，本项目危险废物处理可行、贮存合理，不会对环境造成二次污染。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left"/>
              <w:textAlignment w:val="auto"/>
              <w:rPr>
                <w:rFonts w:hint="eastAsia" w:ascii="Times New Roman" w:hAnsi="Times New Roman" w:eastAsia="宋体" w:cs="Times New Roman"/>
                <w:bCs/>
                <w:color w:val="auto"/>
                <w:sz w:val="24"/>
                <w:szCs w:val="24"/>
                <w:highlight w:val="none"/>
                <w:lang w:eastAsia="zh-CN"/>
              </w:rPr>
            </w:pPr>
            <w:r>
              <w:rPr>
                <w:rFonts w:hint="eastAsia" w:ascii="Times New Roman" w:hAnsi="Times New Roman" w:eastAsia="宋体" w:cs="Times New Roman"/>
                <w:bCs/>
                <w:color w:val="auto"/>
                <w:sz w:val="24"/>
                <w:szCs w:val="24"/>
                <w:highlight w:val="none"/>
                <w:lang w:val="en-US" w:eastAsia="zh-CN"/>
              </w:rPr>
              <w:t>由此可见，项目产生的固体废物均得以综合利用，妥善处置，不会对周围环境产生不利影响</w:t>
            </w:r>
            <w:r>
              <w:rPr>
                <w:rFonts w:hint="eastAsia" w:ascii="Times New Roman" w:hAnsi="Times New Roman" w:eastAsia="宋体" w:cs="Times New Roman"/>
                <w:bCs/>
                <w:color w:val="auto"/>
                <w:sz w:val="24"/>
                <w:szCs w:val="24"/>
                <w:highlight w:val="none"/>
                <w:lang w:eastAsia="zh-CN"/>
              </w:rPr>
              <w:t>。</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textAlignment w:val="auto"/>
              <w:rPr>
                <w:rFonts w:ascii="Times New Roman" w:hAnsi="Times New Roman" w:eastAsia="宋体" w:cs="Times New Roman"/>
                <w:b/>
                <w:color w:val="auto"/>
                <w:sz w:val="24"/>
                <w:szCs w:val="24"/>
                <w:highlight w:val="none"/>
              </w:rPr>
            </w:pPr>
            <w:r>
              <w:rPr>
                <w:rFonts w:hint="eastAsia" w:ascii="Times New Roman" w:hAnsi="Times New Roman" w:eastAsia="宋体" w:cs="Times New Roman"/>
                <w:b/>
                <w:color w:val="auto"/>
                <w:sz w:val="24"/>
                <w:szCs w:val="24"/>
                <w:highlight w:val="none"/>
                <w:lang w:val="en-US" w:eastAsia="zh-CN"/>
              </w:rPr>
              <w:t>6</w:t>
            </w:r>
            <w:r>
              <w:rPr>
                <w:rFonts w:ascii="Times New Roman" w:hAnsi="Times New Roman" w:eastAsia="宋体" w:cs="Times New Roman"/>
                <w:b/>
                <w:color w:val="auto"/>
                <w:sz w:val="24"/>
                <w:szCs w:val="24"/>
                <w:highlight w:val="none"/>
              </w:rPr>
              <w:t>、土壤、地下水</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ascii="Times New Roman" w:hAnsi="Times New Roman" w:eastAsia="宋体" w:cs="Times New Roman"/>
                <w:color w:val="auto"/>
                <w:sz w:val="24"/>
                <w:szCs w:val="24"/>
                <w:highlight w:val="none"/>
              </w:rPr>
            </w:pPr>
            <w:r>
              <w:rPr>
                <w:rFonts w:ascii="Times New Roman" w:hAnsi="Times New Roman" w:eastAsia="宋体" w:cs="Times New Roman"/>
                <w:color w:val="auto"/>
                <w:sz w:val="24"/>
                <w:szCs w:val="24"/>
                <w:highlight w:val="none"/>
              </w:rPr>
              <w:t>为避免本项目产生的废水渗漏而污染地下水，本项目分区防渗等措施，建设项目根据各装置区及生产单元可能</w:t>
            </w:r>
            <w:r>
              <w:rPr>
                <w:rFonts w:hint="eastAsia" w:ascii="Times New Roman" w:hAnsi="Times New Roman" w:eastAsia="宋体" w:cs="Times New Roman"/>
                <w:color w:val="auto"/>
                <w:sz w:val="24"/>
                <w:szCs w:val="24"/>
                <w:highlight w:val="none"/>
                <w:lang w:eastAsia="zh-CN"/>
              </w:rPr>
              <w:t>泄漏</w:t>
            </w:r>
            <w:r>
              <w:rPr>
                <w:rFonts w:ascii="Times New Roman" w:hAnsi="Times New Roman" w:eastAsia="宋体" w:cs="Times New Roman"/>
                <w:color w:val="auto"/>
                <w:sz w:val="24"/>
                <w:szCs w:val="24"/>
                <w:highlight w:val="none"/>
              </w:rPr>
              <w:t>至地面污染物的性质、种类、浓度不同，将生产区域划分为重点防渗区和一般防渗区，分别进行不同等级和要求的防渗措施。建设项目防渗分区如下：</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eastAsia="zh-CN"/>
              </w:rPr>
            </w:pPr>
            <w:r>
              <w:rPr>
                <w:rFonts w:ascii="Times New Roman" w:hAnsi="Times New Roman" w:eastAsia="宋体" w:cs="Times New Roman"/>
                <w:color w:val="auto"/>
                <w:sz w:val="24"/>
                <w:szCs w:val="24"/>
                <w:highlight w:val="none"/>
              </w:rPr>
              <w:t>①重点防渗区：危废间按</w:t>
            </w:r>
            <w:r>
              <w:rPr>
                <w:rFonts w:hint="eastAsia" w:ascii="Times New Roman" w:hAnsi="Times New Roman" w:eastAsia="宋体" w:cs="Times New Roman"/>
                <w:color w:val="auto"/>
                <w:sz w:val="24"/>
                <w:szCs w:val="24"/>
                <w:highlight w:val="none"/>
                <w:lang w:eastAsia="zh-CN"/>
              </w:rPr>
              <w:t>《危险废物贮存污染控制标准》（GB18597-2023）</w:t>
            </w:r>
            <w:r>
              <w:rPr>
                <w:rFonts w:ascii="Times New Roman" w:hAnsi="Times New Roman" w:eastAsia="宋体" w:cs="Times New Roman"/>
                <w:color w:val="auto"/>
                <w:sz w:val="24"/>
                <w:szCs w:val="24"/>
                <w:highlight w:val="none"/>
              </w:rPr>
              <w:t>关于防渗要求处理：地面与裙脚采取防渗措施，地面及四周裙脚均应耐腐蚀，耐热且表面无裂隙，同时设置</w:t>
            </w:r>
            <w:r>
              <w:rPr>
                <w:rFonts w:hint="eastAsia" w:ascii="Times New Roman" w:hAnsi="Times New Roman" w:eastAsia="宋体" w:cs="Times New Roman"/>
                <w:color w:val="auto"/>
                <w:sz w:val="24"/>
                <w:szCs w:val="24"/>
                <w:highlight w:val="none"/>
                <w:lang w:eastAsia="zh-CN"/>
              </w:rPr>
              <w:t>泄漏</w:t>
            </w:r>
            <w:r>
              <w:rPr>
                <w:rFonts w:ascii="Times New Roman" w:hAnsi="Times New Roman" w:eastAsia="宋体" w:cs="Times New Roman"/>
                <w:color w:val="auto"/>
                <w:sz w:val="24"/>
                <w:szCs w:val="24"/>
                <w:highlight w:val="none"/>
              </w:rPr>
              <w:t>液体的收集装置。防渗系数</w:t>
            </w:r>
            <w:r>
              <w:rPr>
                <w:rFonts w:ascii="Times New Roman" w:hAnsi="Times New Roman" w:eastAsia="宋体" w:cs="Times New Roman"/>
                <w:color w:val="auto"/>
                <w:kern w:val="24"/>
                <w:sz w:val="24"/>
                <w:szCs w:val="24"/>
                <w:highlight w:val="none"/>
              </w:rPr>
              <w:t>≤</w:t>
            </w:r>
            <w:r>
              <w:rPr>
                <w:rFonts w:ascii="Times New Roman" w:hAnsi="Times New Roman" w:eastAsia="宋体" w:cs="Times New Roman"/>
                <w:color w:val="auto"/>
                <w:sz w:val="24"/>
                <w:szCs w:val="24"/>
                <w:highlight w:val="none"/>
              </w:rPr>
              <w:t>10</w:t>
            </w:r>
            <w:r>
              <w:rPr>
                <w:rFonts w:ascii="Times New Roman" w:hAnsi="Times New Roman" w:eastAsia="宋体" w:cs="Times New Roman"/>
                <w:color w:val="auto"/>
                <w:sz w:val="24"/>
                <w:szCs w:val="24"/>
                <w:highlight w:val="none"/>
                <w:vertAlign w:val="superscript"/>
              </w:rPr>
              <w:t>-10</w:t>
            </w:r>
            <w:r>
              <w:rPr>
                <w:rFonts w:ascii="Times New Roman" w:hAnsi="Times New Roman" w:eastAsia="宋体" w:cs="Times New Roman"/>
                <w:color w:val="auto"/>
                <w:sz w:val="24"/>
                <w:szCs w:val="24"/>
                <w:highlight w:val="none"/>
              </w:rPr>
              <w:t>cm/s</w:t>
            </w:r>
            <w:r>
              <w:rPr>
                <w:rFonts w:hint="eastAsia" w:ascii="Times New Roman" w:hAnsi="Times New Roman" w:eastAsia="宋体" w:cs="Times New Roman"/>
                <w:color w:val="auto"/>
                <w:sz w:val="24"/>
                <w:szCs w:val="24"/>
                <w:highlight w:val="none"/>
                <w:lang w:eastAsia="zh-CN"/>
              </w:rPr>
              <w:t>。</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ascii="Times New Roman" w:hAnsi="Times New Roman" w:eastAsia="宋体" w:cs="Times New Roman"/>
                <w:color w:val="auto"/>
                <w:kern w:val="2"/>
                <w:sz w:val="24"/>
                <w:szCs w:val="24"/>
                <w:highlight w:val="none"/>
              </w:rPr>
            </w:pPr>
            <w:r>
              <w:rPr>
                <w:rFonts w:ascii="Times New Roman" w:hAnsi="Times New Roman" w:eastAsia="宋体" w:cs="Times New Roman"/>
                <w:color w:val="auto"/>
                <w:sz w:val="24"/>
                <w:szCs w:val="24"/>
                <w:highlight w:val="none"/>
              </w:rPr>
              <w:t>②一般防渗区：</w:t>
            </w:r>
            <w:r>
              <w:rPr>
                <w:rFonts w:hint="eastAsia" w:ascii="Times New Roman" w:hAnsi="Times New Roman" w:eastAsia="宋体" w:cs="Times New Roman"/>
                <w:color w:val="auto"/>
                <w:sz w:val="24"/>
                <w:szCs w:val="24"/>
                <w:highlight w:val="none"/>
                <w:lang w:eastAsia="zh-CN"/>
              </w:rPr>
              <w:t>转接机房</w:t>
            </w:r>
            <w:r>
              <w:rPr>
                <w:rFonts w:ascii="Times New Roman" w:hAnsi="Times New Roman" w:eastAsia="宋体" w:cs="Times New Roman"/>
                <w:color w:val="auto"/>
                <w:sz w:val="24"/>
                <w:szCs w:val="24"/>
                <w:highlight w:val="none"/>
              </w:rPr>
              <w:t>采用抗渗水泥地面，厚度为20cm，</w:t>
            </w:r>
            <w:r>
              <w:rPr>
                <w:rFonts w:ascii="Times New Roman" w:hAnsi="Times New Roman" w:eastAsia="宋体" w:cs="Times New Roman"/>
                <w:snapToGrid w:val="0"/>
                <w:color w:val="auto"/>
                <w:sz w:val="24"/>
                <w:szCs w:val="24"/>
                <w:highlight w:val="none"/>
              </w:rPr>
              <w:t>防渗系数</w:t>
            </w:r>
            <w:r>
              <w:rPr>
                <w:rFonts w:ascii="Times New Roman" w:hAnsi="Times New Roman" w:eastAsia="宋体" w:cs="Times New Roman"/>
                <w:color w:val="auto"/>
                <w:kern w:val="24"/>
                <w:sz w:val="24"/>
                <w:szCs w:val="24"/>
                <w:highlight w:val="none"/>
              </w:rPr>
              <w:t>≤10</w:t>
            </w:r>
            <w:r>
              <w:rPr>
                <w:rFonts w:ascii="Times New Roman" w:hAnsi="Times New Roman" w:eastAsia="宋体" w:cs="Times New Roman"/>
                <w:color w:val="auto"/>
                <w:kern w:val="24"/>
                <w:sz w:val="24"/>
                <w:szCs w:val="24"/>
                <w:highlight w:val="none"/>
                <w:vertAlign w:val="superscript"/>
              </w:rPr>
              <w:t>-7</w:t>
            </w:r>
            <w:r>
              <w:rPr>
                <w:rFonts w:ascii="Times New Roman" w:hAnsi="Times New Roman" w:eastAsia="宋体" w:cs="Times New Roman"/>
                <w:color w:val="auto"/>
                <w:kern w:val="24"/>
                <w:sz w:val="24"/>
                <w:szCs w:val="24"/>
                <w:highlight w:val="none"/>
              </w:rPr>
              <w:t>cm/s</w:t>
            </w:r>
            <w:r>
              <w:rPr>
                <w:rFonts w:hint="eastAsia" w:ascii="Times New Roman" w:hAnsi="Times New Roman" w:eastAsia="宋体" w:cs="Times New Roman"/>
                <w:color w:val="auto"/>
                <w:kern w:val="24"/>
                <w:sz w:val="24"/>
                <w:szCs w:val="24"/>
                <w:highlight w:val="none"/>
                <w:lang w:eastAsia="zh-CN"/>
              </w:rPr>
              <w:t>；</w:t>
            </w:r>
            <w:r>
              <w:rPr>
                <w:rFonts w:hint="eastAsia" w:ascii="Times New Roman" w:hAnsi="Times New Roman" w:eastAsia="宋体" w:cs="Times New Roman"/>
                <w:color w:val="auto"/>
                <w:sz w:val="24"/>
                <w:szCs w:val="24"/>
                <w:highlight w:val="none"/>
                <w:lang w:eastAsia="zh-CN"/>
              </w:rPr>
              <w:t>沉淀池</w:t>
            </w:r>
            <w:r>
              <w:rPr>
                <w:rFonts w:hint="eastAsia" w:ascii="Times New Roman" w:hAnsi="Times New Roman" w:eastAsia="宋体" w:cs="Times New Roman"/>
                <w:color w:val="auto"/>
                <w:sz w:val="24"/>
                <w:szCs w:val="24"/>
                <w:highlight w:val="none"/>
                <w:lang w:val="en-US" w:eastAsia="zh-CN"/>
              </w:rPr>
              <w:t>蓄水构筑物采用防水混凝土并结合防水砂浆构建建筑主体，</w:t>
            </w:r>
            <w:r>
              <w:rPr>
                <w:rFonts w:ascii="Times New Roman" w:hAnsi="Times New Roman" w:eastAsia="宋体" w:cs="Times New Roman"/>
                <w:color w:val="auto"/>
                <w:sz w:val="24"/>
                <w:szCs w:val="24"/>
                <w:highlight w:val="none"/>
              </w:rPr>
              <w:t>防渗层渗透系数小于10</w:t>
            </w:r>
            <w:r>
              <w:rPr>
                <w:rFonts w:ascii="Times New Roman" w:hAnsi="Times New Roman" w:eastAsia="宋体" w:cs="Times New Roman"/>
                <w:color w:val="auto"/>
                <w:sz w:val="24"/>
                <w:szCs w:val="24"/>
                <w:highlight w:val="none"/>
                <w:vertAlign w:val="superscript"/>
              </w:rPr>
              <w:t>-</w:t>
            </w:r>
            <w:r>
              <w:rPr>
                <w:rFonts w:hint="eastAsia" w:ascii="Times New Roman" w:hAnsi="Times New Roman" w:eastAsia="宋体" w:cs="Times New Roman"/>
                <w:color w:val="auto"/>
                <w:sz w:val="24"/>
                <w:szCs w:val="24"/>
                <w:highlight w:val="none"/>
                <w:vertAlign w:val="superscript"/>
                <w:lang w:val="en-US" w:eastAsia="zh-CN"/>
              </w:rPr>
              <w:t>7</w:t>
            </w:r>
            <w:r>
              <w:rPr>
                <w:rFonts w:ascii="Times New Roman" w:hAnsi="Times New Roman" w:eastAsia="宋体" w:cs="Times New Roman"/>
                <w:color w:val="auto"/>
                <w:sz w:val="24"/>
                <w:szCs w:val="24"/>
                <w:highlight w:val="none"/>
              </w:rPr>
              <w:t>cm/s。</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采取上述防渗措施后，可有效防止废水、危废等污染物渗漏对地下水、土壤环境的污染，故防渗措施可行。</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textAlignment w:val="auto"/>
              <w:rPr>
                <w:rFonts w:hint="eastAsia" w:ascii="Times New Roman" w:hAnsi="Times New Roman" w:eastAsia="宋体" w:cs="Times New Roman"/>
                <w:b/>
                <w:color w:val="auto"/>
                <w:sz w:val="24"/>
                <w:szCs w:val="24"/>
                <w:highlight w:val="none"/>
                <w:lang w:eastAsia="zh-CN"/>
              </w:rPr>
            </w:pPr>
            <w:r>
              <w:rPr>
                <w:rFonts w:hint="eastAsia" w:ascii="Times New Roman" w:hAnsi="Times New Roman" w:eastAsia="宋体" w:cs="Times New Roman"/>
                <w:b/>
                <w:color w:val="auto"/>
                <w:sz w:val="24"/>
                <w:szCs w:val="24"/>
                <w:highlight w:val="none"/>
                <w:lang w:val="en-US" w:eastAsia="zh-CN"/>
              </w:rPr>
              <w:t>7</w:t>
            </w:r>
            <w:r>
              <w:rPr>
                <w:rFonts w:ascii="Times New Roman" w:hAnsi="Times New Roman" w:eastAsia="宋体" w:cs="Times New Roman"/>
                <w:b/>
                <w:color w:val="auto"/>
                <w:sz w:val="24"/>
                <w:szCs w:val="24"/>
                <w:highlight w:val="none"/>
              </w:rPr>
              <w:t>、环境风险</w:t>
            </w:r>
            <w:r>
              <w:rPr>
                <w:rFonts w:hint="eastAsia" w:ascii="Times New Roman" w:hAnsi="Times New Roman" w:eastAsia="宋体" w:cs="Times New Roman"/>
                <w:b/>
                <w:color w:val="auto"/>
                <w:sz w:val="24"/>
                <w:szCs w:val="24"/>
                <w:highlight w:val="none"/>
                <w:lang w:eastAsia="zh-CN"/>
              </w:rPr>
              <w:t>影响分析</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（1）环境风险识别</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本项目风险物质主要为润滑油、机油、废润滑油、废机油。润滑油最大储存量0.5吨，机油最大储存量0.5吨，废润滑油、废机油最大储存量分别为0.5吨、0.5吨。</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default"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矿物油类（润滑油、机油）最大储存量为1t，属于油类物质（矿物油类），根据《建设项目环境风险评价技术导则》（HJ169-2018）附录B中表B.1突发环境事件风险物质临界量“381、油类物质（矿物油类，临界量为2500t）”；废矿物油类（废润滑油、废机油）最大储存量为1t，属于危害水环境物质，根据《建设项目环境风险评价技术导则》（HJ169-2018）附录B中表B.2其它危险物质临界量推荐值，危害水环境物质（急性毒性类别1）推荐临界量为100t；风险类型主要为润滑油、机油、废润滑油、废机油储存过程发生泄漏、遇明火或高温会发生燃烧。</w:t>
            </w:r>
            <w:r>
              <w:rPr>
                <w:rFonts w:hint="default" w:ascii="Times New Roman" w:hAnsi="Times New Roman" w:eastAsia="宋体" w:cs="Times New Roman"/>
                <w:color w:val="auto"/>
                <w:sz w:val="24"/>
                <w:szCs w:val="24"/>
                <w:highlight w:val="none"/>
                <w:lang w:val="en-US" w:eastAsia="zh-CN"/>
              </w:rPr>
              <w:t>计算</w:t>
            </w:r>
            <w:r>
              <w:rPr>
                <w:rFonts w:hint="eastAsia" w:ascii="Times New Roman" w:hAnsi="Times New Roman" w:eastAsia="宋体" w:cs="Times New Roman"/>
                <w:color w:val="auto"/>
                <w:sz w:val="24"/>
                <w:szCs w:val="24"/>
                <w:highlight w:val="none"/>
                <w:lang w:val="en-US" w:eastAsia="zh-CN"/>
              </w:rPr>
              <w:t>得</w:t>
            </w:r>
            <w:r>
              <w:rPr>
                <w:rFonts w:hint="default" w:ascii="Times New Roman" w:hAnsi="Times New Roman" w:eastAsia="宋体" w:cs="Times New Roman"/>
                <w:color w:val="auto"/>
                <w:sz w:val="24"/>
                <w:szCs w:val="24"/>
                <w:highlight w:val="none"/>
                <w:lang w:val="en-US" w:eastAsia="zh-CN"/>
              </w:rPr>
              <w:t>本项目主要风险物质最大储存量与其临界量比值（Q）</w:t>
            </w:r>
            <w:r>
              <w:rPr>
                <w:rFonts w:hint="eastAsia" w:ascii="Times New Roman" w:hAnsi="Times New Roman" w:eastAsia="宋体" w:cs="Times New Roman"/>
                <w:color w:val="auto"/>
                <w:sz w:val="24"/>
                <w:szCs w:val="24"/>
                <w:highlight w:val="none"/>
                <w:lang w:val="en-US" w:eastAsia="zh-CN"/>
              </w:rPr>
              <w:t>&lt;1</w:t>
            </w:r>
            <w:r>
              <w:rPr>
                <w:rFonts w:hint="default" w:ascii="Times New Roman" w:hAnsi="Times New Roman" w:eastAsia="宋体" w:cs="Times New Roman"/>
                <w:color w:val="auto"/>
                <w:sz w:val="24"/>
                <w:szCs w:val="24"/>
                <w:highlight w:val="none"/>
                <w:lang w:val="en-US" w:eastAsia="zh-CN"/>
              </w:rPr>
              <w:t>，见</w:t>
            </w:r>
            <w:r>
              <w:rPr>
                <w:rFonts w:hint="eastAsia" w:ascii="Times New Roman" w:hAnsi="Times New Roman" w:eastAsia="宋体" w:cs="Times New Roman"/>
                <w:color w:val="auto"/>
                <w:sz w:val="24"/>
                <w:szCs w:val="24"/>
                <w:highlight w:val="none"/>
                <w:lang w:val="en-US" w:eastAsia="zh-CN"/>
              </w:rPr>
              <w:t>下表</w:t>
            </w:r>
            <w:r>
              <w:rPr>
                <w:rFonts w:hint="default" w:ascii="Times New Roman" w:hAnsi="Times New Roman" w:eastAsia="宋体" w:cs="Times New Roman"/>
                <w:color w:val="auto"/>
                <w:sz w:val="24"/>
                <w:szCs w:val="24"/>
                <w:highlight w:val="none"/>
                <w:lang w:val="en-US" w:eastAsia="zh-CN"/>
              </w:rPr>
              <w:t>。</w:t>
            </w:r>
          </w:p>
          <w:p>
            <w:pPr>
              <w:keepNext w:val="0"/>
              <w:keepLines w:val="0"/>
              <w:suppressLineNumbers w:val="0"/>
              <w:spacing w:before="0" w:beforeAutospacing="0" w:after="0" w:afterAutospacing="0" w:line="480" w:lineRule="exact"/>
              <w:ind w:left="0" w:right="0"/>
              <w:jc w:val="center"/>
              <w:rPr>
                <w:rFonts w:hint="default" w:ascii="Times New Roman" w:hAnsi="Times New Roman" w:eastAsia="宋体" w:cs="Times New Roman"/>
                <w:b/>
                <w:snapToGrid w:val="0"/>
                <w:color w:val="auto"/>
                <w:kern w:val="0"/>
                <w:szCs w:val="21"/>
                <w:highlight w:val="none"/>
                <w:lang w:eastAsia="zh-CN"/>
              </w:rPr>
            </w:pPr>
            <w:r>
              <w:rPr>
                <w:rFonts w:hint="default" w:ascii="Times New Roman" w:hAnsi="Times New Roman" w:eastAsia="宋体" w:cs="Times New Roman"/>
                <w:b/>
                <w:snapToGrid w:val="0"/>
                <w:color w:val="auto"/>
                <w:kern w:val="0"/>
                <w:szCs w:val="21"/>
                <w:highlight w:val="none"/>
                <w:lang w:val="en-US" w:eastAsia="zh-CN"/>
              </w:rPr>
              <w:t>表</w:t>
            </w:r>
            <w:r>
              <w:rPr>
                <w:rFonts w:hint="eastAsia" w:ascii="Times New Roman" w:hAnsi="Times New Roman" w:eastAsia="宋体" w:cs="Times New Roman"/>
                <w:b/>
                <w:snapToGrid w:val="0"/>
                <w:color w:val="auto"/>
                <w:kern w:val="0"/>
                <w:szCs w:val="21"/>
                <w:highlight w:val="none"/>
                <w:lang w:val="en-US" w:eastAsia="zh-CN"/>
              </w:rPr>
              <w:t>4-1</w:t>
            </w:r>
            <w:r>
              <w:rPr>
                <w:rFonts w:hint="eastAsia" w:cs="Times New Roman"/>
                <w:b/>
                <w:snapToGrid w:val="0"/>
                <w:color w:val="auto"/>
                <w:kern w:val="0"/>
                <w:szCs w:val="21"/>
                <w:highlight w:val="none"/>
                <w:lang w:val="en-US" w:eastAsia="zh-CN"/>
              </w:rPr>
              <w:t>5</w:t>
            </w:r>
            <w:r>
              <w:rPr>
                <w:rFonts w:hint="default" w:ascii="Times New Roman" w:hAnsi="Times New Roman" w:eastAsia="宋体" w:cs="Times New Roman"/>
                <w:b/>
                <w:snapToGrid w:val="0"/>
                <w:color w:val="auto"/>
                <w:kern w:val="0"/>
                <w:szCs w:val="21"/>
                <w:highlight w:val="none"/>
                <w:lang w:val="en-US" w:eastAsia="zh-CN"/>
              </w:rPr>
              <w:t xml:space="preserve">  主要</w:t>
            </w:r>
            <w:r>
              <w:rPr>
                <w:rFonts w:hint="default" w:ascii="Times New Roman" w:hAnsi="Times New Roman" w:eastAsia="宋体" w:cs="Times New Roman"/>
                <w:b/>
                <w:snapToGrid w:val="0"/>
                <w:color w:val="auto"/>
                <w:kern w:val="0"/>
                <w:szCs w:val="21"/>
                <w:highlight w:val="none"/>
                <w:lang w:eastAsia="zh-CN"/>
              </w:rPr>
              <w:t>风险物质最大储存量与其临界量比值一览表</w:t>
            </w:r>
          </w:p>
          <w:tbl>
            <w:tblPr>
              <w:tblStyle w:val="27"/>
              <w:tblW w:w="8540"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3794"/>
              <w:gridCol w:w="1776"/>
              <w:gridCol w:w="1935"/>
              <w:gridCol w:w="1035"/>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kern w:val="0"/>
                      <w:sz w:val="21"/>
                      <w:szCs w:val="21"/>
                      <w:highlight w:val="none"/>
                    </w:rPr>
                  </w:pPr>
                  <w:r>
                    <w:rPr>
                      <w:rFonts w:hint="default" w:ascii="Times New Roman" w:hAnsi="Times New Roman" w:eastAsia="宋体" w:cs="Times New Roman"/>
                      <w:b/>
                      <w:bCs/>
                      <w:color w:val="auto"/>
                      <w:kern w:val="0"/>
                      <w:sz w:val="21"/>
                      <w:szCs w:val="21"/>
                      <w:highlight w:val="none"/>
                    </w:rPr>
                    <w:t>涉及环境风险物质</w:t>
                  </w:r>
                </w:p>
              </w:tc>
              <w:tc>
                <w:tcPr>
                  <w:tcW w:w="1776"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kern w:val="0"/>
                      <w:sz w:val="21"/>
                      <w:szCs w:val="21"/>
                      <w:highlight w:val="none"/>
                    </w:rPr>
                  </w:pPr>
                  <w:r>
                    <w:rPr>
                      <w:rFonts w:hint="default" w:ascii="Times New Roman" w:hAnsi="Times New Roman" w:eastAsia="宋体" w:cs="Times New Roman"/>
                      <w:b/>
                      <w:bCs/>
                      <w:color w:val="auto"/>
                      <w:kern w:val="0"/>
                      <w:sz w:val="21"/>
                      <w:szCs w:val="21"/>
                      <w:highlight w:val="none"/>
                    </w:rPr>
                    <w:t>最大</w:t>
                  </w:r>
                  <w:r>
                    <w:rPr>
                      <w:rFonts w:hint="eastAsia" w:ascii="Times New Roman" w:hAnsi="Times New Roman" w:eastAsia="宋体" w:cs="Times New Roman"/>
                      <w:b/>
                      <w:bCs/>
                      <w:color w:val="auto"/>
                      <w:kern w:val="0"/>
                      <w:sz w:val="21"/>
                      <w:szCs w:val="21"/>
                      <w:highlight w:val="none"/>
                      <w:lang w:eastAsia="zh-CN"/>
                    </w:rPr>
                    <w:t>存在</w:t>
                  </w:r>
                  <w:r>
                    <w:rPr>
                      <w:rFonts w:hint="default" w:ascii="Times New Roman" w:hAnsi="Times New Roman" w:eastAsia="宋体" w:cs="Times New Roman"/>
                      <w:b/>
                      <w:bCs/>
                      <w:color w:val="auto"/>
                      <w:kern w:val="0"/>
                      <w:sz w:val="21"/>
                      <w:szCs w:val="21"/>
                      <w:highlight w:val="none"/>
                    </w:rPr>
                    <w:t>量（t）</w:t>
                  </w:r>
                </w:p>
              </w:tc>
              <w:tc>
                <w:tcPr>
                  <w:tcW w:w="19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kern w:val="0"/>
                      <w:sz w:val="21"/>
                      <w:szCs w:val="21"/>
                      <w:highlight w:val="none"/>
                    </w:rPr>
                  </w:pPr>
                  <w:r>
                    <w:rPr>
                      <w:rFonts w:hint="default" w:ascii="Times New Roman" w:hAnsi="Times New Roman" w:eastAsia="宋体" w:cs="Times New Roman"/>
                      <w:b/>
                      <w:bCs/>
                      <w:color w:val="auto"/>
                      <w:kern w:val="0"/>
                      <w:sz w:val="21"/>
                      <w:szCs w:val="21"/>
                      <w:highlight w:val="none"/>
                    </w:rPr>
                    <w:t>临界量（t）</w:t>
                  </w:r>
                </w:p>
              </w:tc>
              <w:tc>
                <w:tcPr>
                  <w:tcW w:w="10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b/>
                      <w:bCs/>
                      <w:color w:val="auto"/>
                      <w:kern w:val="0"/>
                      <w:sz w:val="21"/>
                      <w:szCs w:val="21"/>
                      <w:highlight w:val="none"/>
                    </w:rPr>
                  </w:pPr>
                  <w:r>
                    <w:rPr>
                      <w:rFonts w:hint="default" w:ascii="Times New Roman" w:hAnsi="Times New Roman" w:eastAsia="宋体" w:cs="Times New Roman"/>
                      <w:b/>
                      <w:bCs/>
                      <w:color w:val="auto"/>
                      <w:kern w:val="0"/>
                      <w:sz w:val="21"/>
                      <w:szCs w:val="21"/>
                      <w:highlight w:val="none"/>
                    </w:rPr>
                    <w:t>qi/Qi</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eastAsia="zh-CN"/>
                    </w:rPr>
                  </w:pPr>
                  <w:r>
                    <w:rPr>
                      <w:rFonts w:hint="eastAsia" w:ascii="Times New Roman" w:hAnsi="Times New Roman" w:eastAsia="宋体" w:cs="Times New Roman"/>
                      <w:color w:val="auto"/>
                      <w:kern w:val="0"/>
                      <w:sz w:val="21"/>
                      <w:szCs w:val="21"/>
                      <w:highlight w:val="none"/>
                      <w:lang w:eastAsia="zh-CN"/>
                    </w:rPr>
                    <w:t>润滑油</w:t>
                  </w:r>
                </w:p>
              </w:tc>
              <w:tc>
                <w:tcPr>
                  <w:tcW w:w="1776" w:type="dxa"/>
                  <w:tcBorders>
                    <w:tl2br w:val="nil"/>
                    <w:tr2bl w:val="nil"/>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0.5</w:t>
                  </w:r>
                </w:p>
              </w:tc>
              <w:tc>
                <w:tcPr>
                  <w:tcW w:w="19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bidi="ar-SA"/>
                    </w:rPr>
                    <w:t>2500</w:t>
                  </w:r>
                </w:p>
              </w:tc>
              <w:tc>
                <w:tcPr>
                  <w:tcW w:w="10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vertAlign w:val="superscript"/>
                      <w:lang w:val="en-US" w:eastAsia="zh-CN"/>
                    </w:rPr>
                  </w:pPr>
                  <w:r>
                    <w:rPr>
                      <w:rFonts w:hint="eastAsia" w:ascii="Times New Roman" w:hAnsi="Times New Roman" w:eastAsia="宋体" w:cs="Times New Roman"/>
                      <w:color w:val="auto"/>
                      <w:kern w:val="0"/>
                      <w:sz w:val="21"/>
                      <w:szCs w:val="21"/>
                      <w:highlight w:val="none"/>
                      <w:lang w:val="en-US" w:eastAsia="zh-CN"/>
                    </w:rPr>
                    <w:t>2</w:t>
                  </w:r>
                  <w:r>
                    <w:rPr>
                      <w:rFonts w:hint="default" w:ascii="Times New Roman" w:hAnsi="Times New Roman" w:eastAsia="宋体" w:cs="Times New Roman"/>
                      <w:color w:val="auto"/>
                      <w:kern w:val="0"/>
                      <w:sz w:val="21"/>
                      <w:szCs w:val="21"/>
                      <w:highlight w:val="none"/>
                      <w:lang w:val="en-US" w:eastAsia="zh-CN"/>
                    </w:rPr>
                    <w:t>×10</w:t>
                  </w:r>
                  <w:r>
                    <w:rPr>
                      <w:rFonts w:hint="default" w:ascii="Times New Roman" w:hAnsi="Times New Roman" w:eastAsia="宋体" w:cs="Times New Roman"/>
                      <w:color w:val="auto"/>
                      <w:kern w:val="0"/>
                      <w:sz w:val="21"/>
                      <w:szCs w:val="21"/>
                      <w:highlight w:val="none"/>
                      <w:vertAlign w:val="superscript"/>
                      <w:lang w:val="en-US" w:eastAsia="zh-CN"/>
                    </w:rPr>
                    <w:t>-</w:t>
                  </w:r>
                  <w:r>
                    <w:rPr>
                      <w:rFonts w:hint="eastAsia" w:ascii="Times New Roman" w:hAnsi="Times New Roman" w:eastAsia="宋体" w:cs="Times New Roman"/>
                      <w:color w:val="auto"/>
                      <w:kern w:val="0"/>
                      <w:sz w:val="21"/>
                      <w:szCs w:val="21"/>
                      <w:highlight w:val="none"/>
                      <w:vertAlign w:val="superscript"/>
                      <w:lang w:val="en-US" w:eastAsia="zh-CN"/>
                    </w:rPr>
                    <w:t>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eastAsia="zh-CN"/>
                    </w:rPr>
                  </w:pPr>
                  <w:r>
                    <w:rPr>
                      <w:rFonts w:hint="eastAsia" w:ascii="Times New Roman" w:hAnsi="Times New Roman" w:eastAsia="宋体" w:cs="Times New Roman"/>
                      <w:color w:val="auto"/>
                      <w:kern w:val="0"/>
                      <w:sz w:val="21"/>
                      <w:szCs w:val="21"/>
                      <w:highlight w:val="none"/>
                      <w:lang w:eastAsia="zh-CN"/>
                    </w:rPr>
                    <w:t>机油</w:t>
                  </w:r>
                </w:p>
              </w:tc>
              <w:tc>
                <w:tcPr>
                  <w:tcW w:w="1776" w:type="dxa"/>
                  <w:tcBorders>
                    <w:tl2br w:val="nil"/>
                    <w:tr2bl w:val="nil"/>
                  </w:tcBorders>
                  <w:noWrap w:val="0"/>
                  <w:vAlign w:val="top"/>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0.5</w:t>
                  </w:r>
                </w:p>
              </w:tc>
              <w:tc>
                <w:tcPr>
                  <w:tcW w:w="19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sz w:val="21"/>
                      <w:szCs w:val="21"/>
                      <w:highlight w:val="none"/>
                      <w:lang w:val="en-US" w:eastAsia="zh-CN" w:bidi="ar-SA"/>
                    </w:rPr>
                  </w:pPr>
                  <w:r>
                    <w:rPr>
                      <w:rFonts w:hint="eastAsia" w:ascii="Times New Roman" w:hAnsi="Times New Roman" w:eastAsia="宋体" w:cs="Times New Roman"/>
                      <w:color w:val="auto"/>
                      <w:sz w:val="21"/>
                      <w:szCs w:val="21"/>
                      <w:highlight w:val="none"/>
                      <w:lang w:val="en-US" w:eastAsia="zh-CN" w:bidi="ar-SA"/>
                    </w:rPr>
                    <w:t>2500</w:t>
                  </w:r>
                </w:p>
              </w:tc>
              <w:tc>
                <w:tcPr>
                  <w:tcW w:w="10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vertAlign w:val="superscript"/>
                      <w:lang w:val="en-US" w:eastAsia="zh-CN" w:bidi="ar-SA"/>
                    </w:rPr>
                  </w:pPr>
                  <w:r>
                    <w:rPr>
                      <w:rFonts w:hint="eastAsia" w:ascii="Times New Roman" w:hAnsi="Times New Roman" w:eastAsia="宋体" w:cs="Times New Roman"/>
                      <w:color w:val="auto"/>
                      <w:kern w:val="0"/>
                      <w:sz w:val="21"/>
                      <w:szCs w:val="21"/>
                      <w:highlight w:val="none"/>
                      <w:lang w:val="en-US" w:eastAsia="zh-CN"/>
                    </w:rPr>
                    <w:t>2</w:t>
                  </w:r>
                  <w:r>
                    <w:rPr>
                      <w:rFonts w:hint="default" w:ascii="Times New Roman" w:hAnsi="Times New Roman" w:eastAsia="宋体" w:cs="Times New Roman"/>
                      <w:color w:val="auto"/>
                      <w:kern w:val="0"/>
                      <w:sz w:val="21"/>
                      <w:szCs w:val="21"/>
                      <w:highlight w:val="none"/>
                      <w:lang w:val="en-US" w:eastAsia="zh-CN"/>
                    </w:rPr>
                    <w:t>×10</w:t>
                  </w:r>
                  <w:r>
                    <w:rPr>
                      <w:rFonts w:hint="default" w:ascii="Times New Roman" w:hAnsi="Times New Roman" w:eastAsia="宋体" w:cs="Times New Roman"/>
                      <w:color w:val="auto"/>
                      <w:kern w:val="0"/>
                      <w:sz w:val="21"/>
                      <w:szCs w:val="21"/>
                      <w:highlight w:val="none"/>
                      <w:vertAlign w:val="superscript"/>
                      <w:lang w:val="en-US" w:eastAsia="zh-CN"/>
                    </w:rPr>
                    <w:t>-</w:t>
                  </w:r>
                  <w:r>
                    <w:rPr>
                      <w:rFonts w:hint="eastAsia" w:ascii="Times New Roman" w:hAnsi="Times New Roman" w:eastAsia="宋体" w:cs="Times New Roman"/>
                      <w:color w:val="auto"/>
                      <w:kern w:val="0"/>
                      <w:sz w:val="21"/>
                      <w:szCs w:val="21"/>
                      <w:highlight w:val="none"/>
                      <w:vertAlign w:val="superscript"/>
                      <w:lang w:val="en-US" w:eastAsia="zh-CN"/>
                    </w:rPr>
                    <w:t>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firstLine="0" w:firstLineChars="0"/>
                    <w:jc w:val="center"/>
                    <w:textAlignment w:val="auto"/>
                    <w:rPr>
                      <w:rFonts w:hint="default" w:ascii="Times New Roman" w:hAnsi="Times New Roman" w:eastAsia="宋体" w:cs="Times New Roman"/>
                      <w:b w:val="0"/>
                      <w:bCs/>
                      <w:color w:val="auto"/>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bidi="ar-SA"/>
                    </w:rPr>
                    <w:t>废润滑油</w:t>
                  </w:r>
                </w:p>
              </w:tc>
              <w:tc>
                <w:tcPr>
                  <w:tcW w:w="1776"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0.5</w:t>
                  </w:r>
                </w:p>
              </w:tc>
              <w:tc>
                <w:tcPr>
                  <w:tcW w:w="19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100</w:t>
                  </w:r>
                </w:p>
              </w:tc>
              <w:tc>
                <w:tcPr>
                  <w:tcW w:w="10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vertAlign w:val="superscript"/>
                      <w:lang w:val="en-US" w:eastAsia="zh-CN" w:bidi="ar-SA"/>
                    </w:rPr>
                  </w:pPr>
                  <w:r>
                    <w:rPr>
                      <w:rFonts w:hint="eastAsia" w:ascii="Times New Roman" w:hAnsi="Times New Roman" w:eastAsia="宋体" w:cs="Times New Roman"/>
                      <w:color w:val="auto"/>
                      <w:kern w:val="0"/>
                      <w:sz w:val="21"/>
                      <w:szCs w:val="21"/>
                      <w:highlight w:val="none"/>
                      <w:lang w:val="en-US" w:eastAsia="zh-CN"/>
                    </w:rPr>
                    <w:t>0.005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firstLine="0" w:firstLineChars="0"/>
                    <w:jc w:val="center"/>
                    <w:textAlignment w:val="auto"/>
                    <w:rPr>
                      <w:rFonts w:hint="default" w:ascii="Times New Roman" w:hAnsi="Times New Roman" w:eastAsia="宋体" w:cs="Times New Roman"/>
                      <w:b w:val="0"/>
                      <w:bCs/>
                      <w:color w:val="auto"/>
                      <w:sz w:val="21"/>
                      <w:szCs w:val="21"/>
                      <w:highlight w:val="none"/>
                      <w:lang w:val="en-US" w:eastAsia="zh-CN" w:bidi="ar-SA"/>
                    </w:rPr>
                  </w:pPr>
                  <w:r>
                    <w:rPr>
                      <w:rFonts w:hint="eastAsia" w:ascii="Times New Roman" w:hAnsi="Times New Roman" w:eastAsia="宋体" w:cs="Times New Roman"/>
                      <w:b w:val="0"/>
                      <w:bCs/>
                      <w:color w:val="auto"/>
                      <w:sz w:val="21"/>
                      <w:szCs w:val="21"/>
                      <w:highlight w:val="none"/>
                      <w:lang w:val="en-US" w:eastAsia="zh-CN" w:bidi="ar-SA"/>
                    </w:rPr>
                    <w:t>废机油</w:t>
                  </w:r>
                </w:p>
              </w:tc>
              <w:tc>
                <w:tcPr>
                  <w:tcW w:w="1776"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0.5</w:t>
                  </w:r>
                </w:p>
              </w:tc>
              <w:tc>
                <w:tcPr>
                  <w:tcW w:w="19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100</w:t>
                  </w:r>
                </w:p>
              </w:tc>
              <w:tc>
                <w:tcPr>
                  <w:tcW w:w="10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0.005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3794"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合计</w:t>
                  </w:r>
                </w:p>
              </w:tc>
              <w:tc>
                <w:tcPr>
                  <w:tcW w:w="3711" w:type="dxa"/>
                  <w:gridSpan w:val="2"/>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w:t>
                  </w:r>
                </w:p>
              </w:tc>
              <w:tc>
                <w:tcPr>
                  <w:tcW w:w="1035" w:type="dxa"/>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0" w:lineRule="atLeast"/>
                    <w:ind w:left="0" w:right="0"/>
                    <w:jc w:val="center"/>
                    <w:textAlignment w:val="center"/>
                    <w:rPr>
                      <w:rFonts w:hint="default" w:ascii="Times New Roman" w:hAnsi="Times New Roman" w:eastAsia="宋体" w:cs="Times New Roman"/>
                      <w:i w:val="0"/>
                      <w:iCs w:val="0"/>
                      <w:color w:val="auto"/>
                      <w:kern w:val="0"/>
                      <w:sz w:val="21"/>
                      <w:szCs w:val="21"/>
                      <w:highlight w:val="none"/>
                      <w:u w:val="none"/>
                      <w:lang w:val="en-US" w:eastAsia="zh-CN" w:bidi="ar-SA"/>
                    </w:rPr>
                  </w:pPr>
                  <w:r>
                    <w:rPr>
                      <w:rFonts w:hint="eastAsia" w:ascii="Times New Roman" w:hAnsi="Times New Roman" w:eastAsia="宋体" w:cs="Times New Roman"/>
                      <w:i w:val="0"/>
                      <w:iCs w:val="0"/>
                      <w:color w:val="auto"/>
                      <w:kern w:val="0"/>
                      <w:sz w:val="21"/>
                      <w:szCs w:val="21"/>
                      <w:highlight w:val="none"/>
                      <w:u w:val="none"/>
                      <w:lang w:val="en-US" w:eastAsia="zh-CN" w:bidi="ar-SA"/>
                    </w:rPr>
                    <w:t>0.0104</w:t>
                  </w:r>
                </w:p>
              </w:tc>
            </w:tr>
          </w:tbl>
          <w:p>
            <w:pPr>
              <w:pStyle w:val="23"/>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jc w:val="both"/>
              <w:textAlignment w:val="auto"/>
              <w:rPr>
                <w:rFonts w:hint="eastAsia" w:ascii="Times New Roman" w:hAnsi="Times New Roman"/>
                <w:bCs/>
                <w:color w:val="auto"/>
                <w:kern w:val="2"/>
                <w:sz w:val="21"/>
                <w:szCs w:val="21"/>
                <w:highlight w:val="none"/>
              </w:rPr>
            </w:pPr>
          </w:p>
          <w:p>
            <w:pPr>
              <w:pStyle w:val="23"/>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jc w:val="both"/>
              <w:textAlignment w:val="auto"/>
              <w:rPr>
                <w:rFonts w:hint="eastAsia" w:ascii="Times New Roman" w:hAnsi="Times New Roman"/>
                <w:bCs/>
                <w:color w:val="auto"/>
                <w:kern w:val="2"/>
                <w:sz w:val="21"/>
                <w:szCs w:val="21"/>
                <w:highlight w:val="none"/>
              </w:rPr>
            </w:pPr>
          </w:p>
          <w:p>
            <w:pPr>
              <w:pStyle w:val="23"/>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jc w:val="both"/>
              <w:textAlignment w:val="auto"/>
              <w:rPr>
                <w:rFonts w:hint="eastAsia" w:ascii="Times New Roman" w:hAnsi="Times New Roman"/>
                <w:bCs/>
                <w:color w:val="auto"/>
                <w:kern w:val="2"/>
                <w:sz w:val="21"/>
                <w:szCs w:val="21"/>
                <w:highlight w:val="none"/>
              </w:rPr>
            </w:pPr>
          </w:p>
          <w:p>
            <w:pPr>
              <w:pStyle w:val="17"/>
              <w:rPr>
                <w:rFonts w:hint="eastAsia"/>
              </w:rPr>
            </w:pP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建设项目环境风险识别情况见下表。</w:t>
            </w:r>
          </w:p>
          <w:p>
            <w:pPr>
              <w:keepNext w:val="0"/>
              <w:keepLines w:val="0"/>
              <w:suppressLineNumbers w:val="0"/>
              <w:spacing w:before="0" w:beforeAutospacing="0" w:after="0" w:afterAutospacing="0" w:line="480" w:lineRule="exact"/>
              <w:ind w:left="0" w:right="0"/>
              <w:jc w:val="center"/>
              <w:rPr>
                <w:rFonts w:ascii="Times New Roman" w:hAnsi="Times New Roman" w:eastAsia="宋体" w:cs="Times New Roman"/>
                <w:b/>
                <w:color w:val="auto"/>
                <w:szCs w:val="21"/>
                <w:highlight w:val="none"/>
              </w:rPr>
            </w:pPr>
            <w:r>
              <w:rPr>
                <w:rFonts w:ascii="Times New Roman" w:hAnsi="Times New Roman" w:eastAsia="宋体" w:cs="Times New Roman"/>
                <w:b/>
                <w:color w:val="auto"/>
                <w:szCs w:val="21"/>
                <w:highlight w:val="none"/>
              </w:rPr>
              <w:t>表4-</w:t>
            </w:r>
            <w:r>
              <w:rPr>
                <w:rFonts w:hint="eastAsia" w:ascii="Times New Roman" w:hAnsi="Times New Roman" w:eastAsia="宋体" w:cs="Times New Roman"/>
                <w:b/>
                <w:color w:val="auto"/>
                <w:szCs w:val="21"/>
                <w:highlight w:val="none"/>
              </w:rPr>
              <w:t>1</w:t>
            </w:r>
            <w:r>
              <w:rPr>
                <w:rFonts w:hint="eastAsia" w:cs="Times New Roman"/>
                <w:b/>
                <w:color w:val="auto"/>
                <w:szCs w:val="21"/>
                <w:highlight w:val="none"/>
                <w:lang w:val="en-US" w:eastAsia="zh-CN"/>
              </w:rPr>
              <w:t>6</w:t>
            </w:r>
            <w:r>
              <w:rPr>
                <w:rFonts w:ascii="Times New Roman" w:hAnsi="Times New Roman" w:eastAsia="宋体" w:cs="Times New Roman"/>
                <w:b/>
                <w:color w:val="auto"/>
                <w:szCs w:val="21"/>
                <w:highlight w:val="none"/>
              </w:rPr>
              <w:t xml:space="preserve">   </w:t>
            </w:r>
            <w:r>
              <w:rPr>
                <w:rFonts w:ascii="Times New Roman" w:hAnsi="Times New Roman" w:eastAsia="宋体" w:cs="Times New Roman"/>
                <w:b/>
                <w:snapToGrid w:val="0"/>
                <w:color w:val="auto"/>
                <w:kern w:val="0"/>
                <w:szCs w:val="21"/>
                <w:highlight w:val="none"/>
              </w:rPr>
              <w:t>建设项目环境风险识别表</w:t>
            </w:r>
          </w:p>
          <w:tbl>
            <w:tblPr>
              <w:tblStyle w:val="27"/>
              <w:tblW w:w="4994" w:type="pct"/>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autofit"/>
              <w:tblCellMar>
                <w:top w:w="0" w:type="dxa"/>
                <w:left w:w="108" w:type="dxa"/>
                <w:bottom w:w="0" w:type="dxa"/>
                <w:right w:w="108" w:type="dxa"/>
              </w:tblCellMar>
            </w:tblPr>
            <w:tblGrid>
              <w:gridCol w:w="468"/>
              <w:gridCol w:w="690"/>
              <w:gridCol w:w="950"/>
              <w:gridCol w:w="2946"/>
              <w:gridCol w:w="887"/>
              <w:gridCol w:w="1136"/>
              <w:gridCol w:w="1382"/>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68"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b/>
                      <w:bCs/>
                      <w:color w:val="auto"/>
                      <w:szCs w:val="21"/>
                      <w:highlight w:val="none"/>
                    </w:rPr>
                  </w:pPr>
                  <w:r>
                    <w:rPr>
                      <w:rFonts w:ascii="Times New Roman" w:hAnsi="Times New Roman" w:eastAsia="宋体" w:cs="Times New Roman"/>
                      <w:b/>
                      <w:bCs/>
                      <w:color w:val="auto"/>
                      <w:szCs w:val="21"/>
                      <w:highlight w:val="none"/>
                    </w:rPr>
                    <w:t>序号</w:t>
                  </w:r>
                </w:p>
              </w:tc>
              <w:tc>
                <w:tcPr>
                  <w:tcW w:w="690"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b/>
                      <w:bCs/>
                      <w:color w:val="auto"/>
                      <w:szCs w:val="21"/>
                      <w:highlight w:val="none"/>
                    </w:rPr>
                  </w:pPr>
                  <w:r>
                    <w:rPr>
                      <w:rFonts w:ascii="Times New Roman" w:hAnsi="Times New Roman" w:eastAsia="宋体" w:cs="Times New Roman"/>
                      <w:b/>
                      <w:bCs/>
                      <w:color w:val="auto"/>
                      <w:szCs w:val="21"/>
                      <w:highlight w:val="none"/>
                    </w:rPr>
                    <w:t>生产工序</w:t>
                  </w:r>
                </w:p>
              </w:tc>
              <w:tc>
                <w:tcPr>
                  <w:tcW w:w="950"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b/>
                      <w:bCs/>
                      <w:color w:val="auto"/>
                      <w:szCs w:val="21"/>
                      <w:highlight w:val="none"/>
                    </w:rPr>
                  </w:pPr>
                  <w:r>
                    <w:rPr>
                      <w:rFonts w:ascii="Times New Roman" w:hAnsi="Times New Roman" w:eastAsia="宋体" w:cs="Times New Roman"/>
                      <w:b/>
                      <w:bCs/>
                      <w:color w:val="auto"/>
                      <w:szCs w:val="21"/>
                      <w:highlight w:val="none"/>
                    </w:rPr>
                    <w:t>危险单元</w:t>
                  </w:r>
                </w:p>
              </w:tc>
              <w:tc>
                <w:tcPr>
                  <w:tcW w:w="2946"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b/>
                      <w:bCs/>
                      <w:color w:val="auto"/>
                      <w:szCs w:val="21"/>
                      <w:highlight w:val="none"/>
                    </w:rPr>
                  </w:pPr>
                  <w:r>
                    <w:rPr>
                      <w:rFonts w:ascii="Times New Roman" w:hAnsi="Times New Roman" w:eastAsia="宋体" w:cs="Times New Roman"/>
                      <w:b/>
                      <w:bCs/>
                      <w:color w:val="auto"/>
                      <w:szCs w:val="21"/>
                      <w:highlight w:val="none"/>
                    </w:rPr>
                    <w:t>涉及风险物质及储存量</w:t>
                  </w:r>
                </w:p>
              </w:tc>
              <w:tc>
                <w:tcPr>
                  <w:tcW w:w="887"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b/>
                      <w:bCs/>
                      <w:color w:val="auto"/>
                      <w:szCs w:val="21"/>
                      <w:highlight w:val="none"/>
                    </w:rPr>
                  </w:pPr>
                  <w:r>
                    <w:rPr>
                      <w:rFonts w:ascii="Times New Roman" w:hAnsi="Times New Roman" w:eastAsia="宋体" w:cs="Times New Roman"/>
                      <w:b/>
                      <w:bCs/>
                      <w:color w:val="auto"/>
                      <w:szCs w:val="21"/>
                      <w:highlight w:val="none"/>
                    </w:rPr>
                    <w:t>环境风险类型</w:t>
                  </w:r>
                </w:p>
              </w:tc>
              <w:tc>
                <w:tcPr>
                  <w:tcW w:w="1136"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b/>
                      <w:bCs/>
                      <w:color w:val="auto"/>
                      <w:szCs w:val="21"/>
                      <w:highlight w:val="none"/>
                    </w:rPr>
                  </w:pPr>
                  <w:r>
                    <w:rPr>
                      <w:rFonts w:ascii="Times New Roman" w:hAnsi="Times New Roman" w:eastAsia="宋体" w:cs="Times New Roman"/>
                      <w:b/>
                      <w:bCs/>
                      <w:color w:val="auto"/>
                      <w:szCs w:val="21"/>
                      <w:highlight w:val="none"/>
                    </w:rPr>
                    <w:t>事故触发因素</w:t>
                  </w:r>
                </w:p>
              </w:tc>
              <w:tc>
                <w:tcPr>
                  <w:tcW w:w="1382"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b/>
                      <w:bCs/>
                      <w:color w:val="auto"/>
                      <w:szCs w:val="21"/>
                      <w:highlight w:val="none"/>
                    </w:rPr>
                  </w:pPr>
                  <w:r>
                    <w:rPr>
                      <w:rFonts w:ascii="Times New Roman" w:hAnsi="Times New Roman" w:eastAsia="宋体" w:cs="Times New Roman"/>
                      <w:b/>
                      <w:bCs/>
                      <w:color w:val="auto"/>
                      <w:szCs w:val="21"/>
                      <w:highlight w:val="none"/>
                    </w:rPr>
                    <w:t>环境影响途径</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0" w:hRule="atLeast"/>
              </w:trPr>
              <w:tc>
                <w:tcPr>
                  <w:tcW w:w="468"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1</w:t>
                  </w:r>
                </w:p>
              </w:tc>
              <w:tc>
                <w:tcPr>
                  <w:tcW w:w="690"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color w:val="auto"/>
                      <w:szCs w:val="21"/>
                      <w:highlight w:val="none"/>
                    </w:rPr>
                  </w:pPr>
                  <w:r>
                    <w:rPr>
                      <w:rFonts w:hint="eastAsia" w:ascii="Times New Roman" w:hAnsi="Times New Roman" w:eastAsia="宋体" w:cs="Times New Roman"/>
                      <w:color w:val="auto"/>
                      <w:szCs w:val="21"/>
                      <w:highlight w:val="none"/>
                    </w:rPr>
                    <w:t>储存</w:t>
                  </w:r>
                </w:p>
              </w:tc>
              <w:tc>
                <w:tcPr>
                  <w:tcW w:w="950"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危废间</w:t>
                  </w:r>
                </w:p>
              </w:tc>
              <w:tc>
                <w:tcPr>
                  <w:tcW w:w="2946"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color w:val="auto"/>
                      <w:szCs w:val="21"/>
                      <w:highlight w:val="none"/>
                    </w:rPr>
                  </w:pPr>
                  <w:r>
                    <w:rPr>
                      <w:rFonts w:hint="eastAsia" w:ascii="Times New Roman" w:hAnsi="Times New Roman" w:eastAsia="宋体" w:cs="Times New Roman"/>
                      <w:color w:val="auto"/>
                      <w:szCs w:val="21"/>
                      <w:highlight w:val="none"/>
                    </w:rPr>
                    <w:t>废润滑油</w:t>
                  </w:r>
                  <w:r>
                    <w:rPr>
                      <w:rFonts w:hint="eastAsia" w:ascii="Times New Roman" w:hAnsi="Times New Roman" w:eastAsia="宋体" w:cs="Times New Roman"/>
                      <w:color w:val="auto"/>
                      <w:szCs w:val="21"/>
                      <w:highlight w:val="none"/>
                      <w:lang w:val="en-US" w:eastAsia="zh-CN"/>
                    </w:rPr>
                    <w:t>0.5</w:t>
                  </w:r>
                  <w:r>
                    <w:rPr>
                      <w:rFonts w:ascii="Times New Roman" w:hAnsi="Times New Roman" w:eastAsia="宋体" w:cs="Times New Roman"/>
                      <w:color w:val="auto"/>
                      <w:szCs w:val="21"/>
                      <w:highlight w:val="none"/>
                    </w:rPr>
                    <w:t>t</w:t>
                  </w:r>
                  <w:r>
                    <w:rPr>
                      <w:rFonts w:hint="eastAsia" w:ascii="Times New Roman" w:hAnsi="Times New Roman" w:eastAsia="宋体" w:cs="Times New Roman"/>
                      <w:color w:val="auto"/>
                      <w:szCs w:val="21"/>
                      <w:highlight w:val="none"/>
                      <w:lang w:eastAsia="zh-CN"/>
                    </w:rPr>
                    <w:t>、</w:t>
                  </w:r>
                  <w:r>
                    <w:rPr>
                      <w:rFonts w:ascii="Times New Roman" w:hAnsi="Times New Roman" w:eastAsia="宋体" w:cs="Times New Roman"/>
                      <w:color w:val="auto"/>
                      <w:szCs w:val="21"/>
                      <w:highlight w:val="none"/>
                    </w:rPr>
                    <w:t>废</w:t>
                  </w:r>
                  <w:r>
                    <w:rPr>
                      <w:rFonts w:hint="eastAsia" w:ascii="Times New Roman" w:hAnsi="Times New Roman" w:eastAsia="宋体" w:cs="Times New Roman"/>
                      <w:color w:val="auto"/>
                      <w:szCs w:val="21"/>
                      <w:highlight w:val="none"/>
                      <w:lang w:eastAsia="zh-CN"/>
                    </w:rPr>
                    <w:t>机</w:t>
                  </w:r>
                  <w:r>
                    <w:rPr>
                      <w:rFonts w:ascii="Times New Roman" w:hAnsi="Times New Roman" w:eastAsia="宋体" w:cs="Times New Roman"/>
                      <w:color w:val="auto"/>
                      <w:szCs w:val="21"/>
                      <w:highlight w:val="none"/>
                    </w:rPr>
                    <w:t>油</w:t>
                  </w:r>
                  <w:r>
                    <w:rPr>
                      <w:rFonts w:hint="eastAsia" w:ascii="Times New Roman" w:hAnsi="Times New Roman" w:eastAsia="宋体" w:cs="Times New Roman"/>
                      <w:color w:val="auto"/>
                      <w:szCs w:val="21"/>
                      <w:highlight w:val="none"/>
                      <w:lang w:val="en-US" w:eastAsia="zh-CN"/>
                    </w:rPr>
                    <w:t>0.5</w:t>
                  </w:r>
                  <w:r>
                    <w:rPr>
                      <w:rFonts w:ascii="Times New Roman" w:hAnsi="Times New Roman" w:eastAsia="宋体" w:cs="Times New Roman"/>
                      <w:color w:val="auto"/>
                      <w:szCs w:val="21"/>
                      <w:highlight w:val="none"/>
                    </w:rPr>
                    <w:t>t</w:t>
                  </w:r>
                </w:p>
              </w:tc>
              <w:tc>
                <w:tcPr>
                  <w:tcW w:w="887"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hint="eastAsia" w:ascii="Times New Roman" w:hAnsi="Times New Roman" w:eastAsia="宋体" w:cs="Times New Roman"/>
                      <w:color w:val="auto"/>
                      <w:szCs w:val="21"/>
                      <w:highlight w:val="none"/>
                      <w:lang w:eastAsia="zh-CN"/>
                    </w:rPr>
                  </w:pPr>
                  <w:r>
                    <w:rPr>
                      <w:rFonts w:hint="eastAsia" w:ascii="Times New Roman" w:hAnsi="Times New Roman" w:eastAsia="宋体" w:cs="Times New Roman"/>
                      <w:color w:val="auto"/>
                      <w:szCs w:val="21"/>
                      <w:highlight w:val="none"/>
                      <w:lang w:eastAsia="zh-CN"/>
                    </w:rPr>
                    <w:t>泄漏</w:t>
                  </w:r>
                </w:p>
              </w:tc>
              <w:tc>
                <w:tcPr>
                  <w:tcW w:w="1136"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color w:val="auto"/>
                      <w:szCs w:val="21"/>
                      <w:highlight w:val="none"/>
                    </w:rPr>
                  </w:pPr>
                  <w:r>
                    <w:rPr>
                      <w:rFonts w:ascii="Times New Roman" w:hAnsi="Times New Roman" w:eastAsia="宋体" w:cs="Times New Roman"/>
                      <w:color w:val="auto"/>
                      <w:szCs w:val="21"/>
                      <w:highlight w:val="none"/>
                    </w:rPr>
                    <w:t>物料装卸误操作、原料桶破裂等</w:t>
                  </w:r>
                </w:p>
              </w:tc>
              <w:tc>
                <w:tcPr>
                  <w:tcW w:w="1382" w:type="dxa"/>
                  <w:noWrap w:val="0"/>
                  <w:vAlign w:val="center"/>
                </w:tcPr>
                <w:p>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ascii="Times New Roman" w:hAnsi="Times New Roman" w:eastAsia="宋体" w:cs="Times New Roman"/>
                      <w:color w:val="auto"/>
                      <w:szCs w:val="21"/>
                      <w:highlight w:val="none"/>
                    </w:rPr>
                  </w:pPr>
                  <w:r>
                    <w:rPr>
                      <w:rFonts w:hint="eastAsia" w:ascii="Times New Roman" w:hAnsi="Times New Roman" w:eastAsia="宋体" w:cs="Times New Roman"/>
                      <w:color w:val="auto"/>
                      <w:szCs w:val="21"/>
                      <w:highlight w:val="none"/>
                      <w:lang w:eastAsia="zh-CN"/>
                    </w:rPr>
                    <w:t>泄漏</w:t>
                  </w:r>
                  <w:r>
                    <w:rPr>
                      <w:rFonts w:ascii="Times New Roman" w:hAnsi="Times New Roman" w:eastAsia="宋体" w:cs="Times New Roman"/>
                      <w:color w:val="auto"/>
                      <w:szCs w:val="21"/>
                      <w:highlight w:val="none"/>
                    </w:rPr>
                    <w:t>的物料挥发或燃烧产物无组织扩散</w:t>
                  </w:r>
                </w:p>
              </w:tc>
            </w:tr>
          </w:tbl>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（2）风险防范措施及应急要求</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风险防范措施要求</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①设计中严格执行国家、行业有关劳动安全卫生的法规和标准规范</w:t>
            </w:r>
            <w:r>
              <w:rPr>
                <w:rFonts w:hint="eastAsia" w:cs="Times New Roman"/>
                <w:color w:val="auto"/>
                <w:sz w:val="24"/>
                <w:szCs w:val="24"/>
                <w:highlight w:val="none"/>
                <w:lang w:val="en-US" w:eastAsia="zh-CN"/>
              </w:rPr>
              <w:t>。</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②配备相应品种和数量的泄漏应急处理设备，厂区制定风险应急措施，一旦发生矿物油泄漏时，及时采取措施。</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③制定储存区的日常巡查制度，定期巡查。</w:t>
            </w:r>
            <w:r>
              <w:rPr>
                <w:rFonts w:hint="default" w:ascii="Times New Roman" w:hAnsi="Times New Roman" w:eastAsia="宋体" w:cs="Times New Roman"/>
                <w:color w:val="auto"/>
                <w:sz w:val="24"/>
                <w:szCs w:val="24"/>
                <w:highlight w:val="none"/>
                <w:lang w:val="en-US" w:eastAsia="zh-CN"/>
              </w:rPr>
              <w:t>严格遵守动火制度，</w:t>
            </w:r>
            <w:r>
              <w:rPr>
                <w:rFonts w:hint="eastAsia" w:ascii="Times New Roman" w:hAnsi="Times New Roman" w:eastAsia="宋体" w:cs="Times New Roman"/>
                <w:color w:val="auto"/>
                <w:sz w:val="24"/>
                <w:szCs w:val="24"/>
                <w:highlight w:val="none"/>
                <w:lang w:val="en-US" w:eastAsia="zh-CN"/>
              </w:rPr>
              <w:t>危废间</w:t>
            </w:r>
            <w:r>
              <w:rPr>
                <w:rFonts w:hint="default" w:ascii="Times New Roman" w:hAnsi="Times New Roman" w:eastAsia="宋体" w:cs="Times New Roman"/>
                <w:color w:val="auto"/>
                <w:sz w:val="24"/>
                <w:szCs w:val="24"/>
                <w:highlight w:val="none"/>
                <w:lang w:val="en-US" w:eastAsia="zh-CN"/>
              </w:rPr>
              <w:t>附近严禁火源，设置明显的禁火标志牌</w:t>
            </w:r>
            <w:r>
              <w:rPr>
                <w:rFonts w:hint="eastAsia" w:ascii="Times New Roman" w:hAnsi="Times New Roman" w:eastAsia="宋体" w:cs="Times New Roman"/>
                <w:color w:val="auto"/>
                <w:sz w:val="24"/>
                <w:szCs w:val="24"/>
                <w:highlight w:val="none"/>
                <w:lang w:val="en-US" w:eastAsia="zh-CN"/>
              </w:rPr>
              <w:t>。</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④项目营运期间要加强管理，制定相应的规章制度。</w:t>
            </w:r>
            <w:r>
              <w:rPr>
                <w:rFonts w:hint="default" w:ascii="Times New Roman" w:hAnsi="Times New Roman" w:eastAsia="宋体" w:cs="Times New Roman"/>
                <w:color w:val="auto"/>
                <w:sz w:val="24"/>
                <w:szCs w:val="24"/>
                <w:highlight w:val="none"/>
                <w:lang w:val="en-US" w:eastAsia="zh-CN"/>
              </w:rPr>
              <w:t>定期检修，</w:t>
            </w:r>
            <w:r>
              <w:rPr>
                <w:rFonts w:hint="eastAsia" w:ascii="Times New Roman" w:hAnsi="Times New Roman" w:eastAsia="宋体" w:cs="Times New Roman"/>
                <w:color w:val="auto"/>
                <w:sz w:val="24"/>
                <w:szCs w:val="24"/>
                <w:highlight w:val="none"/>
                <w:lang w:val="en-US" w:eastAsia="zh-CN"/>
              </w:rPr>
              <w:t>营运期严格杜绝风险物质的跑、冒、滴、漏现象的发生，同时要防火、防爆、防雷击，注意安全，杜绝一切不安全因素造成的对周围环境的影响。</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⑤</w:t>
            </w:r>
            <w:r>
              <w:rPr>
                <w:rFonts w:hint="default" w:ascii="Times New Roman" w:hAnsi="Times New Roman" w:eastAsia="宋体" w:cs="Times New Roman"/>
                <w:color w:val="auto"/>
                <w:sz w:val="24"/>
                <w:szCs w:val="24"/>
                <w:highlight w:val="none"/>
                <w:lang w:val="en-US" w:eastAsia="zh-CN"/>
              </w:rPr>
              <w:t>润滑油、</w:t>
            </w:r>
            <w:r>
              <w:rPr>
                <w:rFonts w:hint="eastAsia" w:ascii="Times New Roman" w:hAnsi="Times New Roman" w:eastAsia="宋体" w:cs="Times New Roman"/>
                <w:color w:val="auto"/>
                <w:sz w:val="24"/>
                <w:szCs w:val="24"/>
                <w:highlight w:val="none"/>
                <w:lang w:val="en-US" w:eastAsia="zh-CN"/>
              </w:rPr>
              <w:t>机</w:t>
            </w:r>
            <w:r>
              <w:rPr>
                <w:rFonts w:hint="default" w:ascii="Times New Roman" w:hAnsi="Times New Roman" w:eastAsia="宋体" w:cs="Times New Roman"/>
                <w:color w:val="auto"/>
                <w:sz w:val="24"/>
                <w:szCs w:val="24"/>
                <w:highlight w:val="none"/>
                <w:lang w:val="en-US" w:eastAsia="zh-CN"/>
              </w:rPr>
              <w:t>油</w:t>
            </w:r>
            <w:r>
              <w:rPr>
                <w:rFonts w:hint="eastAsia" w:cs="Times New Roman"/>
                <w:color w:val="auto"/>
                <w:sz w:val="24"/>
                <w:szCs w:val="24"/>
                <w:highlight w:val="none"/>
                <w:lang w:val="en-US" w:eastAsia="zh-CN"/>
              </w:rPr>
              <w:t>依</w:t>
            </w:r>
            <w:r>
              <w:rPr>
                <w:rFonts w:hint="eastAsia" w:ascii="Times New Roman" w:hAnsi="Times New Roman" w:eastAsia="宋体" w:cs="Times New Roman"/>
                <w:color w:val="auto"/>
                <w:sz w:val="24"/>
                <w:szCs w:val="24"/>
                <w:highlight w:val="none"/>
                <w:lang w:val="en-US" w:eastAsia="zh-CN"/>
              </w:rPr>
              <w:t>托管廊项目</w:t>
            </w:r>
            <w:r>
              <w:rPr>
                <w:rFonts w:hint="default" w:ascii="Times New Roman" w:hAnsi="Times New Roman" w:eastAsia="宋体" w:cs="Times New Roman"/>
                <w:color w:val="auto"/>
                <w:sz w:val="24"/>
                <w:szCs w:val="24"/>
                <w:highlight w:val="none"/>
                <w:lang w:val="en-US" w:eastAsia="zh-CN"/>
              </w:rPr>
              <w:t>储存区均采取防渗措施，同时设置</w:t>
            </w:r>
            <w:r>
              <w:rPr>
                <w:rFonts w:hint="eastAsia" w:ascii="Times New Roman" w:hAnsi="Times New Roman" w:eastAsia="宋体" w:cs="Times New Roman"/>
                <w:color w:val="auto"/>
                <w:sz w:val="24"/>
                <w:szCs w:val="24"/>
                <w:highlight w:val="none"/>
                <w:lang w:val="en-US" w:eastAsia="zh-CN"/>
              </w:rPr>
              <w:t>泄漏</w:t>
            </w:r>
            <w:r>
              <w:rPr>
                <w:rFonts w:hint="default" w:ascii="Times New Roman" w:hAnsi="Times New Roman" w:eastAsia="宋体" w:cs="Times New Roman"/>
                <w:color w:val="auto"/>
                <w:sz w:val="24"/>
                <w:szCs w:val="24"/>
                <w:highlight w:val="none"/>
                <w:lang w:val="en-US" w:eastAsia="zh-CN"/>
              </w:rPr>
              <w:t>液体的收集装置；</w:t>
            </w:r>
            <w:r>
              <w:rPr>
                <w:rFonts w:hint="eastAsia" w:ascii="Times New Roman" w:hAnsi="Times New Roman" w:eastAsia="宋体" w:cs="Times New Roman"/>
                <w:color w:val="auto"/>
                <w:sz w:val="24"/>
                <w:szCs w:val="24"/>
                <w:highlight w:val="none"/>
                <w:lang w:val="en-US" w:eastAsia="zh-CN"/>
              </w:rPr>
              <w:t>储存区</w:t>
            </w:r>
            <w:r>
              <w:rPr>
                <w:rFonts w:hint="default" w:ascii="Times New Roman" w:hAnsi="Times New Roman" w:eastAsia="宋体" w:cs="Times New Roman"/>
                <w:color w:val="auto"/>
                <w:sz w:val="24"/>
                <w:szCs w:val="24"/>
                <w:highlight w:val="none"/>
                <w:lang w:val="en-US" w:eastAsia="zh-CN"/>
              </w:rPr>
              <w:t>内风险物质储存区地面进行防渗处理，防渗系数≤10</w:t>
            </w:r>
            <w:r>
              <w:rPr>
                <w:rFonts w:hint="default" w:ascii="Times New Roman" w:hAnsi="Times New Roman" w:eastAsia="宋体" w:cs="Times New Roman"/>
                <w:color w:val="auto"/>
                <w:sz w:val="24"/>
                <w:szCs w:val="24"/>
                <w:highlight w:val="none"/>
                <w:vertAlign w:val="superscript"/>
                <w:lang w:val="en-US" w:eastAsia="zh-CN"/>
              </w:rPr>
              <w:t>-7</w:t>
            </w:r>
            <w:r>
              <w:rPr>
                <w:rFonts w:hint="default" w:ascii="Times New Roman" w:hAnsi="Times New Roman" w:eastAsia="宋体" w:cs="Times New Roman"/>
                <w:color w:val="auto"/>
                <w:sz w:val="24"/>
                <w:szCs w:val="24"/>
                <w:highlight w:val="none"/>
                <w:lang w:val="en-US" w:eastAsia="zh-CN"/>
              </w:rPr>
              <w:t>cm/s。</w:t>
            </w:r>
            <w:r>
              <w:rPr>
                <w:rFonts w:hint="eastAsia" w:ascii="Times New Roman" w:hAnsi="Times New Roman" w:eastAsia="宋体" w:cs="Times New Roman"/>
                <w:color w:val="auto"/>
                <w:sz w:val="24"/>
                <w:szCs w:val="24"/>
                <w:highlight w:val="none"/>
                <w:lang w:val="en-US" w:eastAsia="zh-CN"/>
              </w:rPr>
              <w:t>危废间地面和裙角用坚固、防渗且与所贮存危废相容材料建造，并用2mm厚高密度聚乙烯或其它人工材料进行防渗处理，渗透系数≤10</w:t>
            </w:r>
            <w:r>
              <w:rPr>
                <w:rFonts w:hint="eastAsia" w:ascii="Times New Roman" w:hAnsi="Times New Roman" w:eastAsia="宋体" w:cs="Times New Roman"/>
                <w:color w:val="auto"/>
                <w:sz w:val="24"/>
                <w:szCs w:val="24"/>
                <w:highlight w:val="none"/>
                <w:vertAlign w:val="superscript"/>
                <w:lang w:val="en-US" w:eastAsia="zh-CN"/>
              </w:rPr>
              <w:t>-10</w:t>
            </w:r>
            <w:r>
              <w:rPr>
                <w:rFonts w:hint="eastAsia" w:ascii="Times New Roman" w:hAnsi="Times New Roman" w:eastAsia="宋体" w:cs="Times New Roman"/>
                <w:color w:val="auto"/>
                <w:sz w:val="24"/>
                <w:szCs w:val="24"/>
                <w:highlight w:val="none"/>
                <w:lang w:val="en-US" w:eastAsia="zh-CN"/>
              </w:rPr>
              <w:t>cm/s。</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⑥企业要建立健全的环境风险事故应急预案，有效应对突发环境事件。</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（3）环境风险分析结论</w:t>
            </w:r>
          </w:p>
          <w:p>
            <w:pPr>
              <w:keepNext w:val="0"/>
              <w:keepLines w:val="0"/>
              <w:pageBreakBefore w:val="0"/>
              <w:suppressLineNumbers w:val="0"/>
              <w:kinsoku/>
              <w:wordWrap/>
              <w:overflowPunct/>
              <w:topLinePunct w:val="0"/>
              <w:autoSpaceDE/>
              <w:autoSpaceDN/>
              <w:bidi w:val="0"/>
              <w:spacing w:before="0" w:beforeAutospacing="0" w:after="0" w:afterAutospacing="0" w:line="500" w:lineRule="exact"/>
              <w:ind w:left="0" w:right="0" w:firstLine="480" w:firstLineChars="200"/>
              <w:textAlignment w:val="auto"/>
              <w:rPr>
                <w:rFonts w:hint="eastAsia" w:ascii="Times New Roman" w:hAnsi="Times New Roman" w:eastAsia="宋体" w:cs="Times New Roman"/>
                <w:color w:val="auto"/>
                <w:sz w:val="24"/>
                <w:szCs w:val="24"/>
                <w:highlight w:val="none"/>
                <w:lang w:val="en-US" w:eastAsia="zh-CN"/>
              </w:rPr>
            </w:pPr>
            <w:r>
              <w:rPr>
                <w:rFonts w:hint="eastAsia" w:ascii="Times New Roman" w:hAnsi="Times New Roman" w:eastAsia="宋体" w:cs="Times New Roman"/>
                <w:color w:val="auto"/>
                <w:sz w:val="24"/>
                <w:szCs w:val="24"/>
                <w:highlight w:val="none"/>
                <w:lang w:val="en-US" w:eastAsia="zh-CN"/>
              </w:rPr>
              <w:t>采取以上措施后，可将该项目发生泄漏、火灾的概率降至最小，对外环境的影响降至最低，使该项目的建设从环境风险的角度可以达到可接受的程度。</w:t>
            </w:r>
          </w:p>
          <w:p>
            <w:pPr>
              <w:pStyle w:val="23"/>
              <w:keepNext w:val="0"/>
              <w:keepLines w:val="0"/>
              <w:widowControl w:val="0"/>
              <w:suppressLineNumbers w:val="0"/>
              <w:adjustRightInd w:val="0"/>
              <w:snapToGrid w:val="0"/>
              <w:spacing w:before="0" w:beforeAutospacing="0" w:after="0" w:afterAutospacing="0" w:line="480" w:lineRule="exact"/>
              <w:ind w:left="0" w:right="0" w:firstLine="482" w:firstLineChars="200"/>
              <w:jc w:val="both"/>
              <w:rPr>
                <w:rFonts w:hint="default" w:ascii="Times New Roman" w:hAnsi="Times New Roman"/>
                <w:b/>
                <w:bCs/>
                <w:color w:val="auto"/>
                <w:kern w:val="2"/>
                <w:sz w:val="24"/>
                <w:szCs w:val="24"/>
                <w:highlight w:val="none"/>
              </w:rPr>
            </w:pPr>
            <w:r>
              <w:rPr>
                <w:rFonts w:hint="default" w:ascii="Times New Roman" w:hAnsi="Times New Roman"/>
                <w:b/>
                <w:bCs/>
                <w:color w:val="auto"/>
                <w:kern w:val="2"/>
                <w:sz w:val="24"/>
                <w:szCs w:val="24"/>
                <w:highlight w:val="none"/>
                <w:lang w:val="en-US" w:eastAsia="zh-CN"/>
              </w:rPr>
              <w:t xml:space="preserve">8、环境效益分析 </w:t>
            </w:r>
          </w:p>
          <w:p>
            <w:pPr>
              <w:pStyle w:val="23"/>
              <w:keepNext w:val="0"/>
              <w:keepLines w:val="0"/>
              <w:widowControl w:val="0"/>
              <w:suppressLineNumbers w:val="0"/>
              <w:adjustRightInd w:val="0"/>
              <w:snapToGrid w:val="0"/>
              <w:spacing w:before="0" w:beforeAutospacing="0" w:after="0" w:afterAutospacing="0" w:line="480" w:lineRule="exact"/>
              <w:ind w:left="0" w:right="0" w:firstLine="480" w:firstLineChars="200"/>
              <w:jc w:val="both"/>
              <w:rPr>
                <w:rFonts w:hint="default" w:ascii="Times New Roman" w:hAnsi="Times New Roman"/>
                <w:color w:val="auto"/>
                <w:kern w:val="2"/>
                <w:sz w:val="24"/>
                <w:szCs w:val="24"/>
                <w:highlight w:val="none"/>
              </w:rPr>
            </w:pPr>
            <w:r>
              <w:rPr>
                <w:rFonts w:hint="default" w:ascii="Times New Roman" w:hAnsi="Times New Roman"/>
                <w:color w:val="auto"/>
                <w:kern w:val="2"/>
                <w:sz w:val="24"/>
                <w:szCs w:val="24"/>
                <w:highlight w:val="none"/>
                <w:lang w:val="en-US" w:eastAsia="zh-CN"/>
              </w:rPr>
              <w:t xml:space="preserve">本项目实施后物料将采用管带机运输，可有效减少汽车运输、装卸等过程中污染物的产生。项目具有较好的环境效益。 </w:t>
            </w:r>
          </w:p>
          <w:p>
            <w:pPr>
              <w:pStyle w:val="23"/>
              <w:keepNext w:val="0"/>
              <w:keepLines w:val="0"/>
              <w:widowControl w:val="0"/>
              <w:suppressLineNumbers w:val="0"/>
              <w:adjustRightInd w:val="0"/>
              <w:snapToGrid w:val="0"/>
              <w:spacing w:before="0" w:beforeAutospacing="0" w:after="0" w:afterAutospacing="0" w:line="480" w:lineRule="exact"/>
              <w:ind w:left="0" w:right="0" w:firstLine="482" w:firstLineChars="200"/>
              <w:jc w:val="both"/>
              <w:rPr>
                <w:rFonts w:hint="default" w:ascii="Times New Roman" w:hAnsi="Times New Roman"/>
                <w:b/>
                <w:bCs/>
                <w:color w:val="auto"/>
                <w:kern w:val="2"/>
                <w:sz w:val="24"/>
                <w:szCs w:val="24"/>
                <w:highlight w:val="none"/>
              </w:rPr>
            </w:pPr>
            <w:r>
              <w:rPr>
                <w:rFonts w:hint="default" w:ascii="Times New Roman" w:hAnsi="Times New Roman"/>
                <w:b/>
                <w:bCs/>
                <w:color w:val="auto"/>
                <w:kern w:val="2"/>
                <w:sz w:val="24"/>
                <w:szCs w:val="24"/>
                <w:highlight w:val="none"/>
                <w:lang w:val="en-US" w:eastAsia="zh-CN"/>
              </w:rPr>
              <w:t xml:space="preserve">9、社会效益分析 </w:t>
            </w:r>
          </w:p>
          <w:p>
            <w:pPr>
              <w:pStyle w:val="23"/>
              <w:keepNext w:val="0"/>
              <w:keepLines w:val="0"/>
              <w:widowControl w:val="0"/>
              <w:suppressLineNumbers w:val="0"/>
              <w:adjustRightInd w:val="0"/>
              <w:snapToGrid w:val="0"/>
              <w:spacing w:before="0" w:beforeAutospacing="0" w:after="0" w:afterAutospacing="0" w:line="480" w:lineRule="exact"/>
              <w:ind w:left="0" w:right="0" w:firstLine="480" w:firstLineChars="200"/>
              <w:jc w:val="both"/>
              <w:rPr>
                <w:rFonts w:hint="eastAsia" w:ascii="Times New Roman" w:hAnsi="Times New Roman" w:eastAsia="宋体"/>
                <w:bCs/>
                <w:color w:val="auto"/>
                <w:szCs w:val="21"/>
                <w:highlight w:val="none"/>
                <w:lang w:eastAsia="zh-CN"/>
              </w:rPr>
            </w:pPr>
            <w:r>
              <w:rPr>
                <w:rFonts w:hint="default" w:ascii="Times New Roman" w:hAnsi="Times New Roman"/>
                <w:color w:val="auto"/>
                <w:kern w:val="2"/>
                <w:sz w:val="24"/>
                <w:szCs w:val="24"/>
                <w:highlight w:val="none"/>
                <w:lang w:val="en-US" w:eastAsia="zh-CN"/>
              </w:rPr>
              <w:t>该项目的建设符合国家产业政策要求，满足了开发区钢铁焦化企业对煤炭、矿石等原料的需求，加快了海港开发区的发展步伐，具有良好的社会效果，项目建成后，将交纳各种税收，增加社会财富，并提供就业岗位</w:t>
            </w:r>
            <w:r>
              <w:rPr>
                <w:rFonts w:hint="eastAsia" w:ascii="Times New Roman" w:hAnsi="Times New Roman"/>
                <w:color w:val="auto"/>
                <w:kern w:val="2"/>
                <w:sz w:val="24"/>
                <w:szCs w:val="24"/>
                <w:highlight w:val="none"/>
                <w:lang w:val="en-US" w:eastAsia="zh-CN"/>
              </w:rPr>
              <w:t>，有</w:t>
            </w:r>
            <w:r>
              <w:rPr>
                <w:rFonts w:hint="default" w:ascii="Times New Roman" w:hAnsi="Times New Roman"/>
                <w:color w:val="auto"/>
                <w:kern w:val="2"/>
                <w:sz w:val="24"/>
                <w:szCs w:val="24"/>
                <w:highlight w:val="none"/>
                <w:lang w:val="en-US" w:eastAsia="zh-CN"/>
              </w:rPr>
              <w:t>利于社会稳定和人民生活水平提高</w:t>
            </w:r>
            <w:r>
              <w:rPr>
                <w:rFonts w:hint="eastAsia" w:ascii="Times New Roman" w:hAnsi="Times New Roman"/>
                <w:color w:val="auto"/>
                <w:kern w:val="2"/>
                <w:sz w:val="24"/>
                <w:szCs w:val="24"/>
                <w:highlight w:val="none"/>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264" w:type="dxa"/>
            <w:noWrap w:val="0"/>
            <w:tcMar>
              <w:left w:w="28" w:type="dxa"/>
              <w:right w:w="28" w:type="dxa"/>
            </w:tcMar>
            <w:vAlign w:val="center"/>
          </w:tcPr>
          <w:p>
            <w:pPr>
              <w:keepNext w:val="0"/>
              <w:keepLines w:val="0"/>
              <w:suppressLineNumbers w:val="0"/>
              <w:spacing w:before="0" w:beforeAutospacing="0" w:after="0" w:afterAutospacing="0"/>
              <w:ind w:left="0" w:right="0"/>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选址选线环境合理性分析</w:t>
            </w:r>
          </w:p>
        </w:tc>
        <w:tc>
          <w:tcPr>
            <w:tcW w:w="8715" w:type="dxa"/>
            <w:noWrap w:val="0"/>
            <w:vAlign w:val="top"/>
          </w:tcPr>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 xml:space="preserve">（1）选址合理性分析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项目位于海港经济开发区，选址区域内无饮用水水源地、风景名胜区、自然保护区、重点保护文物单位等环境敏感区，项目</w:t>
            </w:r>
            <w:r>
              <w:rPr>
                <w:rFonts w:hint="eastAsia" w:cs="Times New Roman"/>
                <w:color w:val="auto"/>
                <w:kern w:val="2"/>
                <w:sz w:val="24"/>
                <w:szCs w:val="24"/>
                <w:highlight w:val="none"/>
                <w:lang w:val="en-US" w:eastAsia="zh-CN" w:bidi="ar-SA"/>
              </w:rPr>
              <w:t>500</w:t>
            </w:r>
            <w:r>
              <w:rPr>
                <w:rFonts w:hint="eastAsia" w:ascii="Times New Roman" w:hAnsi="Times New Roman" w:eastAsia="宋体" w:cs="Times New Roman"/>
                <w:color w:val="auto"/>
                <w:kern w:val="2"/>
                <w:sz w:val="24"/>
                <w:szCs w:val="24"/>
                <w:highlight w:val="none"/>
                <w:lang w:val="en-US" w:eastAsia="zh-CN" w:bidi="ar-SA"/>
              </w:rPr>
              <w:t xml:space="preserve">m内没有居民居住。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综合以上分析，本项目选址合理。</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 xml:space="preserve">（2）选线合理性分析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color w:val="auto"/>
                <w:kern w:val="2"/>
                <w:sz w:val="24"/>
                <w:szCs w:val="24"/>
                <w:highlight w:val="none"/>
                <w:lang w:val="en-US" w:eastAsia="zh-CN" w:bidi="ar-SA"/>
              </w:rPr>
            </w:pPr>
            <w:r>
              <w:rPr>
                <w:rFonts w:hint="eastAsia" w:ascii="Times New Roman" w:hAnsi="Times New Roman" w:eastAsia="宋体" w:cs="Times New Roman"/>
                <w:color w:val="auto"/>
                <w:kern w:val="2"/>
                <w:sz w:val="24"/>
                <w:szCs w:val="24"/>
                <w:highlight w:val="none"/>
                <w:lang w:val="en-US" w:eastAsia="zh-CN" w:bidi="ar-SA"/>
              </w:rPr>
              <w:t>本项目为大宗散货长距离输送项目，输送线路线复杂，经综合分析港口来料方向、沿途市政道路布置等因素，确定输送线沿唐港铁路向北至疏港公路处向北转弯至管廊项目为最优路线，整个输送线路需经过多次爬升、下落，部分线路沿道路布设，可最大程度减少项目施工对生态环境的破坏。本项目输送线明确采用美观、环保又能够通过空间转弯躲避障碍物的管带机，故设计单位未进行方案比选。</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20" w:firstLineChars="200"/>
              <w:jc w:val="both"/>
              <w:textAlignment w:val="auto"/>
              <w:rPr>
                <w:rFonts w:hint="eastAsia" w:ascii="Times New Roman" w:hAnsi="Times New Roman" w:eastAsia="宋体" w:cs="Times New Roman"/>
                <w:bCs/>
                <w:color w:val="auto"/>
                <w:szCs w:val="21"/>
                <w:highlight w:val="none"/>
                <w:lang w:eastAsia="zh-CN"/>
              </w:rPr>
            </w:pPr>
          </w:p>
        </w:tc>
      </w:tr>
    </w:tbl>
    <w:p>
      <w:pPr>
        <w:sectPr>
          <w:pgSz w:w="11905" w:h="16838"/>
          <w:pgMar w:top="1701" w:right="1531" w:bottom="1701" w:left="1531" w:header="851" w:footer="1077" w:gutter="0"/>
          <w:pgBorders>
            <w:top w:val="none" w:sz="0" w:space="0"/>
            <w:left w:val="none" w:sz="0" w:space="0"/>
            <w:bottom w:val="none" w:sz="0" w:space="0"/>
            <w:right w:val="none" w:sz="0" w:space="0"/>
          </w:pgBorders>
          <w:pgNumType w:fmt="decimal"/>
          <w:cols w:space="720" w:num="1"/>
          <w:rtlGutter w:val="0"/>
          <w:docGrid w:linePitch="312" w:charSpace="0"/>
        </w:sectPr>
      </w:pPr>
    </w:p>
    <w:p>
      <w:pPr>
        <w:pStyle w:val="2"/>
        <w:keepNext w:val="0"/>
        <w:keepLines w:val="0"/>
        <w:pageBreakBefore w:val="0"/>
        <w:widowControl w:val="0"/>
        <w:kinsoku/>
        <w:wordWrap/>
        <w:overflowPunct/>
        <w:topLinePunct w:val="0"/>
        <w:autoSpaceDE/>
        <w:autoSpaceDN/>
        <w:bidi w:val="0"/>
        <w:adjustRightInd/>
        <w:snapToGrid/>
        <w:spacing w:before="100" w:beforeAutospacing="1" w:after="100" w:afterAutospacing="1"/>
        <w:ind w:left="0" w:leftChars="0" w:right="0" w:rightChars="0" w:firstLine="0" w:firstLineChars="0"/>
        <w:jc w:val="center"/>
        <w:textAlignment w:val="auto"/>
        <w:outlineLvl w:val="0"/>
        <w:rPr>
          <w:rFonts w:hint="eastAsia" w:ascii="黑体" w:hAnsi="黑体" w:eastAsia="黑体" w:cs="Times New Roman"/>
          <w:snapToGrid w:val="0"/>
          <w:color w:val="auto"/>
          <w:kern w:val="0"/>
          <w:sz w:val="30"/>
          <w:szCs w:val="30"/>
          <w:lang w:val="en-US" w:eastAsia="zh-CN" w:bidi="ar-SA"/>
        </w:rPr>
      </w:pPr>
      <w:bookmarkStart w:id="6" w:name="_Toc20980"/>
      <w:r>
        <w:rPr>
          <w:rFonts w:hint="eastAsia" w:ascii="黑体" w:hAnsi="黑体" w:eastAsia="黑体" w:cs="Times New Roman"/>
          <w:snapToGrid w:val="0"/>
          <w:color w:val="auto"/>
          <w:kern w:val="0"/>
          <w:sz w:val="30"/>
          <w:szCs w:val="30"/>
          <w:lang w:val="en-US" w:eastAsia="zh-CN" w:bidi="ar-SA"/>
        </w:rPr>
        <w:t>五、主要生态环境保护措施</w:t>
      </w:r>
      <w:bookmarkEnd w:id="6"/>
    </w:p>
    <w:tbl>
      <w:tblPr>
        <w:tblStyle w:val="27"/>
        <w:tblW w:w="897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64"/>
        <w:gridCol w:w="871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264" w:type="dxa"/>
            <w:noWrap w:val="0"/>
            <w:tcMar>
              <w:left w:w="28" w:type="dxa"/>
              <w:right w:w="28"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施工期生态环境保护措施</w:t>
            </w:r>
          </w:p>
        </w:tc>
        <w:tc>
          <w:tcPr>
            <w:tcW w:w="8715" w:type="dxa"/>
            <w:noWrap w:val="0"/>
            <w:vAlign w:val="top"/>
          </w:tcPr>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eastAsia" w:ascii="Times New Roman" w:hAnsi="Times New Roman" w:eastAsia="宋体" w:cs="Times New Roman"/>
                <w:b/>
                <w:bCs w:val="0"/>
                <w:color w:val="auto"/>
                <w:sz w:val="24"/>
                <w:szCs w:val="24"/>
                <w:highlight w:val="none"/>
                <w:lang w:eastAsia="zh-CN"/>
              </w:rPr>
            </w:pPr>
            <w:r>
              <w:rPr>
                <w:rFonts w:hint="eastAsia" w:ascii="Times New Roman" w:hAnsi="Times New Roman" w:eastAsia="宋体" w:cs="Times New Roman"/>
                <w:b/>
                <w:bCs w:val="0"/>
                <w:color w:val="auto"/>
                <w:sz w:val="24"/>
                <w:szCs w:val="24"/>
                <w:highlight w:val="none"/>
                <w:lang w:val="en-US" w:eastAsia="zh-CN"/>
              </w:rPr>
              <w:t>1、生态</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本项目占地现状主要包括空地及绿化带，由于项目在建设过程中项目部、施工生产区、施工便道为临时占地，会对土地造成一定损毁，损毁类型全为压占，环评根据施工进程提出土地复垦计划，表土剥离，表土养护，生产区硬化面拆除外运，临时路山皮石外运，表土回填，土地平整。土地复垦方案实施后，可以最大程度的减少项目工程建设过程中对土地的损毁，保证损毁土地及时复垦，减少水土流失。</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同时，施工期清理地表、场地平整、地基开挖、结构施工扰动表土结构，土壤抗蚀能力降低，地表裸露，在地表径流的作用下可能造成水土流失，且施工期破坏了地表植被，改变原地貌、景观等。为减轻施工期影响，本评价提出如下要求：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①清除施工多余的建筑材料，严禁就地倾倒覆压植被；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②划定施工作业范围和路线，不得随意扩大。尽量缩小施工作业范围；合理设置施工便道，尽可能减少占地，严格限制车辆、机械行驶路线。严格限制施工作业及车辆、机械通行范围，保护施工作业范围以外的植被不被破坏，尽可能减少对生态系统的扰动和破坏。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③项目施工结束的部分进行场地平整，按土地复垦方案进行土地复垦，项目建成后在管带机廊道下做好用地内的绿化恢复，做到边施工边治理。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综上所述，通过以上措施，施工期对生态环境的影响可接受。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2、施工期扬尘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为有效控制扬尘污染，本评价要求项目建设及施工单位严格执行《河北省扬尘污染防治办法》（河北省人民政府令〔2020〕第1号）、《河北省人民政府关于印发河北省打赢蓝天保卫战三年行动方案的通知》（冀政发〔2018〕18号）、《河北省大气污染防治条例》（2016年1月13日）、《中共河北省委河北省人民政府关于强化推进大气污染综合治理的意见》（冀发〔2017〕7号）、《关于印发&lt;河北省2018年建筑施工与城市道路扬尘整治工作方案&gt;的通知》（冀建安〔2018〕8 号）、《关于&lt;进一步加强建筑施工与城市道路扬尘整治工作&gt;的通知》（冀建安〔2018〕19号）、《唐山市重污染天气预警应急预案》及修订的通知（唐政办字〔2019〕90 号），同时结合《防治城市扬尘污染技术规范》（HJ/T393-2007）、《施工场地扬尘排放标准》（DB13/2934-2019）及同类施工场地采取的抑尘措施，对项目施工提出以下扬尘控制要求。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通过采取以下抑尘措施后，可较大限度的降低施工扬尘对周围环境的影响</w:t>
            </w:r>
          </w:p>
          <w:p>
            <w:pPr>
              <w:keepNext w:val="0"/>
              <w:keepLines w:val="0"/>
              <w:pageBreakBefore w:val="0"/>
              <w:widowControl/>
              <w:suppressLineNumbers w:val="0"/>
              <w:kinsoku/>
              <w:wordWrap/>
              <w:overflowPunct/>
              <w:topLinePunct w:val="0"/>
              <w:autoSpaceDE/>
              <w:autoSpaceDN/>
              <w:bidi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bCs w:val="0"/>
                <w:color w:val="auto"/>
                <w:sz w:val="21"/>
                <w:szCs w:val="21"/>
                <w:highlight w:val="none"/>
                <w:lang w:val="en-US" w:eastAsia="zh-CN"/>
              </w:rPr>
            </w:pPr>
            <w:r>
              <w:rPr>
                <w:rFonts w:hint="eastAsia" w:ascii="Times New Roman" w:hAnsi="Times New Roman" w:eastAsia="宋体" w:cs="Times New Roman"/>
                <w:b/>
                <w:bCs w:val="0"/>
                <w:color w:val="auto"/>
                <w:sz w:val="21"/>
                <w:szCs w:val="21"/>
                <w:highlight w:val="none"/>
                <w:lang w:val="en-US" w:eastAsia="zh-CN"/>
              </w:rPr>
              <w:t>表5-1  施工期扬尘污染防治措施一览表</w:t>
            </w:r>
          </w:p>
          <w:tbl>
            <w:tblPr>
              <w:tblStyle w:val="2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24"/>
              <w:gridCol w:w="424"/>
              <w:gridCol w:w="424"/>
              <w:gridCol w:w="2538"/>
              <w:gridCol w:w="2550"/>
              <w:gridCol w:w="210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t>序号</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t>施工区域</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t>防治措施</w:t>
                  </w: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t>具体要求</w:t>
                  </w:r>
                </w:p>
              </w:tc>
              <w:tc>
                <w:tcPr>
                  <w:tcW w:w="1504"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t>依据</w:t>
                  </w:r>
                </w:p>
              </w:tc>
              <w:tc>
                <w:tcPr>
                  <w:tcW w:w="1244"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b/>
                      <w:bCs/>
                      <w:vertAlign w:val="baseline"/>
                      <w:lang w:val="en-US" w:eastAsia="zh-CN"/>
                    </w:rPr>
                  </w:pPr>
                  <w:r>
                    <w:rPr>
                      <w:rFonts w:hint="default" w:ascii="Times New Roman" w:hAnsi="Times New Roman" w:eastAsia="宋体" w:cs="Times New Roman"/>
                      <w:b/>
                      <w:bCs/>
                      <w:vertAlign w:val="baseline"/>
                      <w:lang w:val="en-US" w:eastAsia="zh-CN"/>
                    </w:rPr>
                    <w:t>执行标准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1</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设置围挡</w:t>
                  </w:r>
                </w:p>
              </w:tc>
              <w:tc>
                <w:tcPr>
                  <w:tcW w:w="1497"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施工现场按规定连续设置硬质围挡（围墙），实施全封闭管理。高度不低于1.8m，并在围挡地段设置不低于0.2 米的防溢座。</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《关于印发&lt;河北省2018年建筑施工与城市道路扬尘整治工作方案&gt;的通知》（冀建安〔2018〕8 号）、《河北省扬尘污染防治办法》（河北省人民政府令〔2020〕第1号）</w:t>
                  </w:r>
                </w:p>
              </w:tc>
              <w:tc>
                <w:tcPr>
                  <w:tcW w:w="124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《施工场地扬尘排放标准》（DB13/2934-2019）表1扬尘排放浓度限值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2</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施工场地硬化</w:t>
                  </w: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施工现场出入口地面必须采用混凝土或硬质砌块铺设，严禁使用其他软质材料铺设。</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rPr>
                    <w:t>《河北省大气污染防治条例》（2016年1月13日）、《关于印发&lt;河北省2018 年建筑施工与城市道路扬尘整治工作方案&gt;的通知》（冀建安〔2018〕8号）、《河北省扬尘污染防治办法》（河北省人民政府令〔2020〕第1号）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向线路工程主体作业区运输材料的道路应当硬化并采取洒水等防尘措施。</w:t>
                  </w: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3</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各转接区</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施工车辆冲洗设施</w:t>
                  </w:r>
                </w:p>
              </w:tc>
              <w:tc>
                <w:tcPr>
                  <w:tcW w:w="1497"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在施工现场出口处设置车辆冲洗设施并配套设置排水、泥浆沉淀设施，配备专职人员负责对进出的所有车辆进行冲洗保洁，施工车辆不得带泥上路行驶，施工现场道路以及出口周边的道路不得存留建筑垃圾和泥土。</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《河北省大气污染防治条例》（2016年1月13日）、《关于印发&lt;河北省2018 年建筑施工与城市道路扬尘整治工作方案&gt;的通知》（冀建安〔2018〕8号）、《河北省扬尘污染防治办法》（河北省人民政府令〔2020〕第 1 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廊道运输区</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4</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密闭苫盖措施</w:t>
                  </w: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①建筑材料采用密闭存储、设置围挡或堆砌围墙、采用防尘布苫盖等措施；②建筑垃圾采用覆盖防尘布、防尘网、定期喷洒抑尘剂、定期喷水压尘等措施，生活垃圾应用封闭式容器存放，日产日清，严禁随意丢弃；③施工现场易飞扬的细颗粒建筑材料必须密闭存放或严密覆盖，严禁露天放置；搬运时应有降尘措施，余料及时回收。</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《河北省大气污染防治条例》（2016年1月13日）、《关于印发&lt;河北省2018 年建筑施工与城市道路扬尘整治工作方案&gt;的通知》（冀建安〔2018〕8号）、《河北省扬尘污染防治办法》（河北省人民政府令〔2020〕第 1 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施工导致的裸露地表必须采取覆盖等降尘措施，严禁裸露。</w:t>
                  </w: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5</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物料运输车辆密闭措施</w:t>
                  </w: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①出工地的物料、渣土、垃圾运输车辆，应尽可能采用密闭车斗，并保证物料不遗撒外漏。若无密闭车斗，物料、垃圾、渣土的装载高度不得超过车辆槽帮上沿，车斗应用苫布遮盖严实；②装卸和运输渣土、砂石、建筑垃圾等易产生扬尘污染物料的，应当采取完全密闭措施。</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《河北省大气污染防治条例》（2016年1月13日）、《河北省扬尘污染防治办法》（河北省人民政府令〔2020〕第1号）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装卸运输建材的车辆，采用密闭车斗</w:t>
                  </w: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6</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洒水抑尘措施</w:t>
                  </w: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①到干燥、易起尘的土方工程作业时，应辅以洒水压尘，尽量缩短起尘操作时间，遇到四级及四级以上大风天气，应停止土方作业，同时作业处覆以防尘网；②施工现场必须建立洒水清扫抑尘制度，配备洒水设备。非冰冻期每天洒水不少于2次，并有专人负责。重污染天气时相应增加洒水频次。</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《关于印发&lt;河北省2018 年建筑施工与城市道路扬尘整治工作方案&gt;的通知》（冀建安〔2018〕8号）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71" w:hRule="atLeast"/>
              </w:trPr>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合理控制廊道沿线土方开挖和留存时间，作业面采取洒水、喷雾等抑尘措施。</w:t>
                  </w: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7</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拌和</w:t>
                  </w:r>
                </w:p>
              </w:tc>
              <w:tc>
                <w:tcPr>
                  <w:tcW w:w="1497"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施工现场必须使用商品混凝土、预拌砂浆，严禁现场搅拌。</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《关于印发&lt;河北省2018 年建筑施工与城市道路扬尘整治工作方案&gt;的通知》（冀建安〔2018〕8号）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8</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建筑垃圾</w:t>
                  </w:r>
                </w:p>
              </w:tc>
              <w:tc>
                <w:tcPr>
                  <w:tcW w:w="1497"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施工现场必须设置垃圾存放点，集中堆放并严密覆盖，及时清运。生活垃圾应用封闭式容器存放，日产日清，严禁随意丢弃。</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《关于印发&lt;河北省2018 年建筑施工与城市道路扬尘整治工作方案&gt;的通知》（冀建安〔2018〕8号）、《河北省扬尘污染防治办法》（河北省人民政府令〔2020〕第1号）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kern w:val="2"/>
                      <w:sz w:val="21"/>
                      <w:szCs w:val="24"/>
                      <w:vertAlign w:val="baseline"/>
                      <w:lang w:val="en-US" w:eastAsia="zh-CN" w:bidi="ar-SA"/>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9</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default" w:ascii="Times New Roman" w:hAnsi="Times New Roman" w:eastAsia="宋体" w:cs="Times New Roman"/>
                      <w:sz w:val="21"/>
                      <w:szCs w:val="21"/>
                      <w:vertAlign w:val="baseline"/>
                      <w:lang w:val="en-US" w:eastAsia="zh-CN"/>
                    </w:rPr>
                  </w:pPr>
                  <w:r>
                    <w:rPr>
                      <w:rFonts w:hint="default" w:ascii="Times New Roman" w:hAnsi="Times New Roman" w:eastAsia="宋体" w:cs="Times New Roman"/>
                      <w:color w:val="000000"/>
                      <w:kern w:val="0"/>
                      <w:sz w:val="21"/>
                      <w:szCs w:val="21"/>
                      <w:lang w:val="en-US" w:eastAsia="zh-CN" w:bidi="ar"/>
                    </w:rPr>
                    <w:t>施工现场视频监控和监测</w:t>
                  </w: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①各转接区出入口安装远程视频监控，与住建部门联网；按规定安装在线监测系统，与环保部门联网，对施工扬尘实时监控；②在施工现场设置施工扬尘监测点，监测点优先设置于不轻易变动的车辆进出口。</w:t>
                  </w:r>
                </w:p>
              </w:tc>
              <w:tc>
                <w:tcPr>
                  <w:tcW w:w="1504"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《关于印发&lt;河北省2018年建筑施工与城市道路扬尘整治工作方案&gt;的通知》（冀建安〔2018〕8号）、《河北省扬尘污染防治办法》（河北省人民政府令〔2020〕第1 号）、《施工场地扬尘排放标准》(DB13/2934-2019）表1扬尘排放浓度限值</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在主作业区安装监控设备与扬尘在线监测设备，每个标段宜设置1～2个监测点位</w:t>
                  </w:r>
                </w:p>
              </w:tc>
              <w:tc>
                <w:tcPr>
                  <w:tcW w:w="1504"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关于印发《&lt;河北省2019年大气污染综合治理工作方案&gt;的通知》</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10</w:t>
                  </w: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各转接区</w:t>
                  </w:r>
                </w:p>
              </w:tc>
              <w:tc>
                <w:tcPr>
                  <w:tcW w:w="250"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重污染天气应急预案</w:t>
                  </w:r>
                </w:p>
              </w:tc>
              <w:tc>
                <w:tcPr>
                  <w:tcW w:w="1497"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①停止室外喷涂、粉刷、切割、护坡喷浆作业；②禁止建筑垃圾和渣土运输车、砂石运输车辆上路行驶。</w:t>
                  </w:r>
                </w:p>
              </w:tc>
              <w:tc>
                <w:tcPr>
                  <w:tcW w:w="1504" w:type="pct"/>
                  <w:vMerge w:val="restar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《唐山市重污染天气应急预案》（唐政办字〔2020〕90号）</w:t>
                  </w: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250" w:type="pct"/>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r>
                    <w:rPr>
                      <w:rFonts w:hint="default" w:ascii="Times New Roman" w:hAnsi="Times New Roman" w:eastAsia="宋体" w:cs="Times New Roman"/>
                      <w:vertAlign w:val="baseline"/>
                      <w:lang w:val="en-US" w:eastAsia="zh-CN"/>
                    </w:rPr>
                    <w:t>廊道运输区</w:t>
                  </w:r>
                </w:p>
              </w:tc>
              <w:tc>
                <w:tcPr>
                  <w:tcW w:w="250"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497"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50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c>
                <w:tcPr>
                  <w:tcW w:w="1244" w:type="pct"/>
                  <w:vMerge w:val="continue"/>
                  <w:tcBorders>
                    <w:tl2br w:val="nil"/>
                    <w:tr2bl w:val="nil"/>
                  </w:tcBorders>
                  <w:noWrap w:val="0"/>
                  <w:vAlign w:val="center"/>
                </w:tcPr>
                <w:p>
                  <w:pPr>
                    <w:pStyle w:val="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leftChars="0" w:right="0" w:rightChars="0"/>
                    <w:jc w:val="center"/>
                    <w:textAlignment w:val="auto"/>
                    <w:rPr>
                      <w:rFonts w:hint="default" w:ascii="Times New Roman" w:hAnsi="Times New Roman" w:eastAsia="宋体" w:cs="Times New Roman"/>
                      <w:vertAlign w:val="baseline"/>
                      <w:lang w:val="en-US" w:eastAsia="zh-CN"/>
                    </w:rPr>
                  </w:pPr>
                </w:p>
              </w:tc>
            </w:tr>
          </w:tbl>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通过采取上述抑尘措施后，可最大限度的降低施工扬尘对周围环境及廊道沿线的影响，随着施工期的结束，施工扬尘的影响也将结束。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3、施工期废水</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本项目施工期废水主要是混凝土养护废水、设备清洗废水和施工人员的生活污水。由于混凝土养护废水与设备清洗产生的废水量较小，且主要污染物为泥沙，施工过程中在临时施工区设置沉淀池，设备清洗废水经沉淀池处理后，回用于施工场地洒水抑尘，不外排，不会对周围环境产生明显影响。</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施工现场厕所采用防渗旱厕，定期清掏。施工生活污水主要为施工人员的盥洗废水，废水产生量较少，可用于场地泼洒抑尘。</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因此，本项目施工期不会对地表水体产生明显影响。</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4、施工期噪声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施工期声环境影响防治措施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为最大限度避免和减轻施工及运输噪声对周围声环境的不利影响，本评价提出如下要求：</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①建设单位与施工单位签订合同时，应要求其使用低噪声机械设备，同时在施工过程中应设置专人对设备进行定期保养和维护，并负责对现场工作人员进行培训，严格按操作规范使用各类机械。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②利用距离衰减措施，在不影响施工情况下将强噪声设备尽量分散布置使用。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③施工单位合理安排施工时间，尽量避免夜间施工，减轻对周围声环境的影响。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④在结构施工阶段和建筑物的外部采用围挡，减轻施工噪声对外环境的影响。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⑤施工运输车辆在经过声环境敏感点时应控制车速、禁鸣，加强车辆维护，来减轻噪声对周围声环境的影响。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通过采取以上降噪措施后，可最大限度的降低施工噪声对周围环境的影响。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5、施工期固体废物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为避免施工期建筑垃圾对周围环境产生不利影响，本评价要求建设单位按照《城市建筑垃圾管理规定》（建设部139号令）、《河北省住房和城乡建设厅关于进一步加强建设工程文明施工管理的意见》（冀建安〔2012〕385号）和《唐山建筑垃圾管理规定（草案）》（唐政法办通〔2011〕1号）中的有关规定采取以下防范措施：</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①施工现场设置的垃圾站应为密闭式，建筑垃圾、生活垃圾应分类存放，运输消纳应符合相关规定；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 xml:space="preserve">②建筑物内的施工垃圾清运必须采用密闭式专用垃圾道或封闭式容器吊运，严禁凌空抛撒，安全网内垃圾应及时清理；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 w:val="24"/>
                <w:szCs w:val="24"/>
                <w:highlight w:val="none"/>
                <w:lang w:val="en-US" w:eastAsia="zh-CN"/>
              </w:rPr>
            </w:pPr>
            <w:r>
              <w:rPr>
                <w:rFonts w:hint="eastAsia" w:ascii="Times New Roman" w:hAnsi="Times New Roman" w:eastAsia="宋体" w:cs="Times New Roman"/>
                <w:bCs/>
                <w:color w:val="auto"/>
                <w:sz w:val="24"/>
                <w:szCs w:val="24"/>
                <w:highlight w:val="none"/>
                <w:lang w:val="en-US" w:eastAsia="zh-CN"/>
              </w:rPr>
              <w:t>③施工垃圾清运时应提前适量洒水，并按规定及时清运。</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Cs/>
                <w:color w:val="auto"/>
                <w:szCs w:val="21"/>
                <w:highlight w:val="none"/>
                <w:lang w:eastAsia="zh-CN"/>
              </w:rPr>
            </w:pPr>
            <w:r>
              <w:rPr>
                <w:rFonts w:hint="eastAsia" w:ascii="Times New Roman" w:hAnsi="Times New Roman" w:eastAsia="宋体" w:cs="Times New Roman"/>
                <w:bCs/>
                <w:color w:val="auto"/>
                <w:sz w:val="24"/>
                <w:szCs w:val="24"/>
                <w:highlight w:val="none"/>
                <w:lang w:val="en-US" w:eastAsia="zh-CN"/>
              </w:rPr>
              <w:t>本项目施工期固体废物全部妥善处置，不会对周边环境产生明显影响。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264" w:type="dxa"/>
            <w:noWrap w:val="0"/>
            <w:tcMar>
              <w:left w:w="28" w:type="dxa"/>
              <w:right w:w="28"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运营期生态环境保护措施</w:t>
            </w:r>
          </w:p>
        </w:tc>
        <w:tc>
          <w:tcPr>
            <w:tcW w:w="8715" w:type="dxa"/>
            <w:noWrap w:val="0"/>
            <w:vAlign w:val="top"/>
          </w:tcPr>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eastAsia" w:ascii="Times New Roman" w:hAnsi="Times New Roman" w:eastAsia="宋体" w:cs="Times New Roman"/>
                <w:b/>
                <w:bCs w:val="0"/>
                <w:color w:val="auto"/>
                <w:sz w:val="24"/>
                <w:szCs w:val="24"/>
                <w:highlight w:val="none"/>
                <w:lang w:val="en-US" w:eastAsia="zh-CN"/>
              </w:rPr>
            </w:pPr>
            <w:r>
              <w:rPr>
                <w:rFonts w:hint="eastAsia" w:ascii="Times New Roman" w:hAnsi="Times New Roman" w:eastAsia="宋体" w:cs="Times New Roman"/>
                <w:b/>
                <w:bCs w:val="0"/>
                <w:color w:val="auto"/>
                <w:sz w:val="24"/>
                <w:szCs w:val="24"/>
                <w:highlight w:val="none"/>
                <w:lang w:val="en-US" w:eastAsia="zh-CN"/>
              </w:rPr>
              <w:t>1、生态</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为减轻对廊道沿线植被造成破坏，避免对廊道沿线生态环境造成不良影响，本项目对建设单位提出以下要求：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①要求管护人员在巡视和维护过程中，尽可能利用现有道路进行巡视和维护；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②加强对管护人员的日常工作教育，让工作人员认识到保护生态环境的重要性。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综上所述，项目的建设不会对区域生态环境产生明显影响。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eastAsia" w:ascii="Times New Roman" w:hAnsi="Times New Roman" w:eastAsia="宋体" w:cs="Times New Roman"/>
                <w:b/>
                <w:bCs w:val="0"/>
                <w:color w:val="auto"/>
                <w:sz w:val="24"/>
                <w:szCs w:val="24"/>
                <w:highlight w:val="none"/>
                <w:lang w:val="en-US" w:eastAsia="zh-CN"/>
              </w:rPr>
            </w:pPr>
            <w:r>
              <w:rPr>
                <w:rFonts w:hint="eastAsia" w:ascii="Times New Roman" w:hAnsi="Times New Roman" w:eastAsia="宋体" w:cs="Times New Roman"/>
                <w:b/>
                <w:bCs w:val="0"/>
                <w:color w:val="auto"/>
                <w:sz w:val="24"/>
                <w:szCs w:val="24"/>
                <w:highlight w:val="none"/>
                <w:lang w:val="en-US" w:eastAsia="zh-CN"/>
              </w:rPr>
              <w:t>2、废气</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物料在转接机房</w:t>
            </w:r>
            <w:r>
              <w:rPr>
                <w:rFonts w:hint="eastAsia" w:cs="Times New Roman"/>
                <w:b w:val="0"/>
                <w:bCs/>
                <w:color w:val="auto"/>
                <w:sz w:val="24"/>
                <w:szCs w:val="24"/>
                <w:highlight w:val="none"/>
                <w:lang w:val="en-US" w:eastAsia="zh-CN"/>
              </w:rPr>
              <w:t>上料、转运</w:t>
            </w:r>
            <w:r>
              <w:rPr>
                <w:rFonts w:hint="eastAsia" w:ascii="Times New Roman" w:hAnsi="Times New Roman" w:eastAsia="宋体" w:cs="Times New Roman"/>
                <w:b w:val="0"/>
                <w:bCs/>
                <w:color w:val="auto"/>
                <w:sz w:val="24"/>
                <w:szCs w:val="24"/>
                <w:highlight w:val="none"/>
                <w:lang w:val="en-US" w:eastAsia="zh-CN"/>
              </w:rPr>
              <w:t>过程中会产生一定量的</w:t>
            </w:r>
            <w:r>
              <w:rPr>
                <w:rFonts w:hint="eastAsia" w:cs="Times New Roman"/>
                <w:b w:val="0"/>
                <w:bCs/>
                <w:color w:val="auto"/>
                <w:sz w:val="24"/>
                <w:szCs w:val="24"/>
                <w:highlight w:val="none"/>
                <w:lang w:val="en-US" w:eastAsia="zh-CN"/>
              </w:rPr>
              <w:t>上料、转运</w:t>
            </w:r>
            <w:r>
              <w:rPr>
                <w:rFonts w:hint="eastAsia" w:ascii="Times New Roman" w:hAnsi="Times New Roman" w:eastAsia="宋体" w:cs="Times New Roman"/>
                <w:b w:val="0"/>
                <w:bCs/>
                <w:color w:val="auto"/>
                <w:sz w:val="24"/>
                <w:szCs w:val="24"/>
                <w:highlight w:val="none"/>
                <w:lang w:val="en-US" w:eastAsia="zh-CN"/>
              </w:rPr>
              <w:t>废气，工程采取将转接机房封闭、导料槽及溜筒均密闭，机房内部采用微干雾抑尘系统，处理后无组织排放。</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center"/>
              <w:textAlignment w:val="auto"/>
              <w:rPr>
                <w:rFonts w:hint="eastAsia" w:ascii="Calibri" w:hAnsi="Calibri" w:eastAsia="宋体" w:cs="Times New Roman"/>
                <w:lang w:val="en-US" w:eastAsia="zh-CN"/>
              </w:rPr>
            </w:pPr>
            <w:r>
              <w:rPr>
                <w:rFonts w:ascii="Times New Roman" w:hAnsi="Times New Roman" w:eastAsia="宋体" w:cs="黑体"/>
                <w:b/>
                <w:bCs/>
                <w:color w:val="000000"/>
                <w:kern w:val="0"/>
                <w:sz w:val="21"/>
                <w:szCs w:val="24"/>
                <w:lang w:val="en-US" w:eastAsia="zh-CN" w:bidi="ar"/>
              </w:rPr>
              <w:t>表</w:t>
            </w:r>
            <w:r>
              <w:rPr>
                <w:rFonts w:hint="eastAsia" w:ascii="Times New Roman" w:hAnsi="Times New Roman" w:eastAsia="宋体" w:cs="黑体"/>
                <w:b/>
                <w:bCs/>
                <w:color w:val="000000"/>
                <w:kern w:val="0"/>
                <w:sz w:val="21"/>
                <w:szCs w:val="24"/>
                <w:lang w:val="en-US" w:eastAsia="zh-CN" w:bidi="ar"/>
              </w:rPr>
              <w:t>5-2</w:t>
            </w:r>
            <w:r>
              <w:rPr>
                <w:rFonts w:hint="default" w:ascii="Times New Roman" w:hAnsi="Times New Roman" w:eastAsia="宋体" w:cs="Times New Roman"/>
                <w:b/>
                <w:bCs/>
                <w:color w:val="000000"/>
                <w:kern w:val="0"/>
                <w:sz w:val="21"/>
                <w:szCs w:val="24"/>
                <w:lang w:val="en-US" w:eastAsia="zh-CN" w:bidi="ar"/>
              </w:rPr>
              <w:t xml:space="preserve"> </w:t>
            </w:r>
            <w:r>
              <w:rPr>
                <w:rFonts w:hint="eastAsia" w:ascii="Times New Roman" w:hAnsi="Times New Roman" w:eastAsia="宋体" w:cs="Times New Roman"/>
                <w:b/>
                <w:bCs/>
                <w:color w:val="000000"/>
                <w:kern w:val="0"/>
                <w:sz w:val="21"/>
                <w:szCs w:val="24"/>
                <w:lang w:val="en-US" w:eastAsia="zh-CN" w:bidi="ar"/>
              </w:rPr>
              <w:t xml:space="preserve"> </w:t>
            </w:r>
            <w:r>
              <w:rPr>
                <w:rFonts w:hint="eastAsia" w:ascii="Times New Roman" w:hAnsi="Times New Roman" w:eastAsia="宋体" w:cs="黑体"/>
                <w:b/>
                <w:bCs/>
                <w:color w:val="000000"/>
                <w:kern w:val="0"/>
                <w:sz w:val="21"/>
                <w:szCs w:val="24"/>
                <w:lang w:val="en-US" w:eastAsia="zh-CN" w:bidi="ar"/>
              </w:rPr>
              <w:t>项目废气处理方式一览表</w:t>
            </w:r>
          </w:p>
          <w:tbl>
            <w:tblPr>
              <w:tblStyle w:val="28"/>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3721"/>
              <w:gridCol w:w="2872"/>
              <w:gridCol w:w="187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197"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val="en-US" w:eastAsia="zh-CN"/>
                    </w:rPr>
                  </w:pPr>
                  <w:r>
                    <w:rPr>
                      <w:rFonts w:hint="eastAsia" w:ascii="Times New Roman" w:hAnsi="Times New Roman" w:eastAsia="宋体" w:cs="Times New Roman"/>
                      <w:b/>
                      <w:bCs w:val="0"/>
                      <w:color w:val="auto"/>
                      <w:sz w:val="21"/>
                      <w:szCs w:val="24"/>
                      <w:highlight w:val="none"/>
                      <w:vertAlign w:val="baseline"/>
                      <w:lang w:val="en-US" w:eastAsia="zh-CN"/>
                    </w:rPr>
                    <w:t>废气污染源</w:t>
                  </w:r>
                </w:p>
              </w:tc>
              <w:tc>
                <w:tcPr>
                  <w:tcW w:w="169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val="en-US" w:eastAsia="zh-CN"/>
                    </w:rPr>
                  </w:pPr>
                  <w:r>
                    <w:rPr>
                      <w:rFonts w:hint="eastAsia" w:ascii="Times New Roman" w:hAnsi="Times New Roman" w:eastAsia="宋体" w:cs="Times New Roman"/>
                      <w:b/>
                      <w:bCs w:val="0"/>
                      <w:color w:val="auto"/>
                      <w:sz w:val="21"/>
                      <w:szCs w:val="24"/>
                      <w:highlight w:val="none"/>
                      <w:vertAlign w:val="baseline"/>
                      <w:lang w:val="en-US" w:eastAsia="zh-CN"/>
                    </w:rPr>
                    <w:t>采取措施</w:t>
                  </w:r>
                </w:p>
              </w:tc>
              <w:tc>
                <w:tcPr>
                  <w:tcW w:w="11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4"/>
                      <w:highlight w:val="none"/>
                      <w:vertAlign w:val="baseline"/>
                      <w:lang w:val="en-US" w:eastAsia="zh-CN"/>
                    </w:rPr>
                  </w:pPr>
                  <w:r>
                    <w:rPr>
                      <w:rFonts w:hint="eastAsia" w:ascii="Times New Roman" w:hAnsi="Times New Roman" w:eastAsia="宋体" w:cs="Times New Roman"/>
                      <w:b/>
                      <w:bCs w:val="0"/>
                      <w:color w:val="auto"/>
                      <w:sz w:val="21"/>
                      <w:szCs w:val="24"/>
                      <w:highlight w:val="none"/>
                      <w:vertAlign w:val="baseline"/>
                      <w:lang w:val="en-US" w:eastAsia="zh-CN"/>
                    </w:rPr>
                    <w:t>排放限值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197"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4"/>
                      <w:highlight w:val="none"/>
                      <w:vertAlign w:val="baseline"/>
                      <w:lang w:val="en-US" w:eastAsia="zh-CN"/>
                    </w:rPr>
                  </w:pPr>
                  <w:r>
                    <w:rPr>
                      <w:rFonts w:hint="default" w:ascii="Times New Roman" w:hAnsi="Times New Roman" w:eastAsia="宋体" w:cs="Times New Roman"/>
                      <w:color w:val="000000"/>
                      <w:kern w:val="0"/>
                      <w:sz w:val="20"/>
                      <w:szCs w:val="20"/>
                      <w:lang w:val="en-US" w:eastAsia="zh-CN" w:bidi="ar"/>
                    </w:rPr>
                    <w:t>T</w:t>
                  </w:r>
                  <w:r>
                    <w:rPr>
                      <w:rFonts w:hint="eastAsia" w:ascii="Times New Roman" w:hAnsi="Times New Roman" w:eastAsia="宋体" w:cs="Times New Roman"/>
                      <w:color w:val="000000"/>
                      <w:kern w:val="0"/>
                      <w:sz w:val="20"/>
                      <w:szCs w:val="20"/>
                      <w:lang w:val="en-US" w:eastAsia="zh-CN" w:bidi="ar"/>
                    </w:rPr>
                    <w:t>H1</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color w:val="000000"/>
                      <w:kern w:val="0"/>
                      <w:sz w:val="20"/>
                      <w:szCs w:val="20"/>
                      <w:lang w:val="en-US" w:eastAsia="zh-CN" w:bidi="ar"/>
                    </w:rPr>
                    <w:t>T</w:t>
                  </w:r>
                  <w:r>
                    <w:rPr>
                      <w:rFonts w:hint="eastAsia" w:ascii="Times New Roman" w:hAnsi="Times New Roman" w:eastAsia="宋体" w:cs="Times New Roman"/>
                      <w:color w:val="000000"/>
                      <w:kern w:val="0"/>
                      <w:sz w:val="20"/>
                      <w:szCs w:val="20"/>
                      <w:lang w:val="en-US" w:eastAsia="zh-CN" w:bidi="ar"/>
                    </w:rPr>
                    <w:t>H2</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color w:val="000000"/>
                      <w:kern w:val="0"/>
                      <w:sz w:val="20"/>
                      <w:szCs w:val="20"/>
                      <w:lang w:val="en-US" w:eastAsia="zh-CN" w:bidi="ar"/>
                    </w:rPr>
                    <w:t>T</w:t>
                  </w:r>
                  <w:r>
                    <w:rPr>
                      <w:rFonts w:hint="eastAsia" w:ascii="Times New Roman" w:hAnsi="Times New Roman" w:eastAsia="宋体" w:cs="Times New Roman"/>
                      <w:color w:val="000000"/>
                      <w:kern w:val="0"/>
                      <w:sz w:val="20"/>
                      <w:szCs w:val="20"/>
                      <w:lang w:val="en-US" w:eastAsia="zh-CN" w:bidi="ar"/>
                    </w:rPr>
                    <w:t>H3</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color w:val="000000"/>
                      <w:kern w:val="0"/>
                      <w:sz w:val="20"/>
                      <w:szCs w:val="20"/>
                      <w:lang w:val="en-US" w:eastAsia="zh-CN" w:bidi="ar"/>
                    </w:rPr>
                    <w:t>T</w:t>
                  </w:r>
                  <w:r>
                    <w:rPr>
                      <w:rFonts w:hint="eastAsia" w:ascii="Times New Roman" w:hAnsi="Times New Roman" w:eastAsia="宋体" w:cs="Times New Roman"/>
                      <w:color w:val="000000"/>
                      <w:kern w:val="0"/>
                      <w:sz w:val="20"/>
                      <w:szCs w:val="20"/>
                      <w:lang w:val="en-US" w:eastAsia="zh-CN" w:bidi="ar"/>
                    </w:rPr>
                    <w:t>H4</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color w:val="000000"/>
                      <w:kern w:val="0"/>
                      <w:sz w:val="20"/>
                      <w:szCs w:val="20"/>
                      <w:lang w:val="en-US" w:eastAsia="zh-CN" w:bidi="ar"/>
                    </w:rPr>
                    <w:t>TG</w:t>
                  </w:r>
                  <w:r>
                    <w:rPr>
                      <w:rFonts w:hint="eastAsia" w:ascii="Times New Roman" w:hAnsi="Times New Roman" w:eastAsia="宋体" w:cs="Times New Roman"/>
                      <w:color w:val="000000"/>
                      <w:kern w:val="0"/>
                      <w:sz w:val="20"/>
                      <w:szCs w:val="20"/>
                      <w:lang w:val="en-US" w:eastAsia="zh-CN" w:bidi="ar"/>
                    </w:rPr>
                    <w:t>1</w:t>
                  </w:r>
                  <w:r>
                    <w:rPr>
                      <w:rFonts w:hint="eastAsia" w:ascii="宋体" w:hAnsi="宋体" w:eastAsia="宋体" w:cs="宋体"/>
                      <w:color w:val="000000"/>
                      <w:kern w:val="0"/>
                      <w:sz w:val="20"/>
                      <w:szCs w:val="20"/>
                      <w:lang w:val="en-US" w:eastAsia="zh-CN" w:bidi="ar"/>
                    </w:rPr>
                    <w:t>、</w:t>
                  </w:r>
                  <w:r>
                    <w:rPr>
                      <w:rFonts w:hint="default" w:ascii="Times New Roman" w:hAnsi="Times New Roman" w:eastAsia="宋体" w:cs="Times New Roman"/>
                      <w:color w:val="000000"/>
                      <w:kern w:val="0"/>
                      <w:sz w:val="20"/>
                      <w:szCs w:val="20"/>
                      <w:lang w:val="en-US" w:eastAsia="zh-CN" w:bidi="ar"/>
                    </w:rPr>
                    <w:t>T</w:t>
                  </w:r>
                  <w:r>
                    <w:rPr>
                      <w:rFonts w:hint="eastAsia" w:ascii="Times New Roman" w:hAnsi="Times New Roman" w:eastAsia="宋体" w:cs="Times New Roman"/>
                      <w:color w:val="000000"/>
                      <w:kern w:val="0"/>
                      <w:sz w:val="20"/>
                      <w:szCs w:val="20"/>
                      <w:lang w:val="en-US" w:eastAsia="zh-CN" w:bidi="ar"/>
                    </w:rPr>
                    <w:t>L2</w:t>
                  </w:r>
                  <w:r>
                    <w:rPr>
                      <w:rFonts w:hint="eastAsia" w:ascii="宋体" w:hAnsi="宋体" w:eastAsia="宋体" w:cs="宋体"/>
                      <w:color w:val="000000"/>
                      <w:kern w:val="0"/>
                      <w:sz w:val="20"/>
                      <w:szCs w:val="20"/>
                      <w:lang w:val="en-US" w:eastAsia="zh-CN" w:bidi="ar"/>
                    </w:rPr>
                    <w:t>转接机房无组织废气</w:t>
                  </w:r>
                </w:p>
              </w:tc>
              <w:tc>
                <w:tcPr>
                  <w:tcW w:w="169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4"/>
                      <w:highlight w:val="none"/>
                      <w:vertAlign w:val="baseline"/>
                      <w:lang w:val="en-US" w:eastAsia="zh-CN"/>
                    </w:rPr>
                  </w:pPr>
                  <w:r>
                    <w:rPr>
                      <w:rFonts w:hint="eastAsia" w:ascii="Times New Roman" w:hAnsi="Times New Roman" w:eastAsia="宋体" w:cs="Times New Roman"/>
                      <w:b w:val="0"/>
                      <w:bCs/>
                      <w:color w:val="auto"/>
                      <w:sz w:val="21"/>
                      <w:szCs w:val="24"/>
                      <w:highlight w:val="none"/>
                      <w:vertAlign w:val="baseline"/>
                      <w:lang w:val="en-US" w:eastAsia="zh-CN"/>
                    </w:rPr>
                    <w:t>转接机房封闭、导料槽及溜筒均密闭，机房内部采用微干雾抑尘系统</w:t>
                  </w:r>
                </w:p>
              </w:tc>
              <w:tc>
                <w:tcPr>
                  <w:tcW w:w="11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4"/>
                      <w:highlight w:val="none"/>
                      <w:vertAlign w:val="baseline"/>
                      <w:lang w:val="en-US" w:eastAsia="zh-CN"/>
                    </w:rPr>
                  </w:pPr>
                  <w:r>
                    <w:rPr>
                      <w:rFonts w:hint="eastAsia" w:ascii="Times New Roman" w:hAnsi="Times New Roman" w:eastAsia="宋体" w:cs="Times New Roman"/>
                      <w:b w:val="0"/>
                      <w:bCs/>
                      <w:color w:val="auto"/>
                      <w:sz w:val="21"/>
                      <w:szCs w:val="24"/>
                      <w:highlight w:val="none"/>
                      <w:vertAlign w:val="baseline"/>
                      <w:lang w:val="en-US" w:eastAsia="zh-CN"/>
                    </w:rPr>
                    <w:t>颗粒物边界浓度</w:t>
                  </w:r>
                  <w:r>
                    <w:rPr>
                      <w:rFonts w:hint="default" w:ascii="Times New Roman" w:hAnsi="Times New Roman" w:eastAsia="宋体" w:cs="Times New Roman"/>
                      <w:b w:val="0"/>
                      <w:bCs/>
                      <w:color w:val="auto"/>
                      <w:sz w:val="21"/>
                      <w:szCs w:val="24"/>
                      <w:highlight w:val="none"/>
                      <w:vertAlign w:val="baseline"/>
                      <w:lang w:val="en-US" w:eastAsia="zh-CN"/>
                    </w:rPr>
                    <w:t>≤1</w:t>
                  </w:r>
                  <w:r>
                    <w:rPr>
                      <w:rFonts w:hint="eastAsia" w:ascii="Times New Roman" w:hAnsi="Times New Roman" w:eastAsia="宋体" w:cs="Times New Roman"/>
                      <w:b w:val="0"/>
                      <w:bCs/>
                      <w:color w:val="auto"/>
                      <w:sz w:val="21"/>
                      <w:szCs w:val="24"/>
                      <w:highlight w:val="none"/>
                      <w:vertAlign w:val="baseline"/>
                      <w:lang w:val="en-US" w:eastAsia="zh-CN"/>
                    </w:rPr>
                    <w:t>.0mg/m</w:t>
                  </w:r>
                  <w:r>
                    <w:rPr>
                      <w:rFonts w:hint="eastAsia" w:ascii="Times New Roman" w:hAnsi="Times New Roman" w:eastAsia="宋体" w:cs="Times New Roman"/>
                      <w:b w:val="0"/>
                      <w:bCs/>
                      <w:color w:val="auto"/>
                      <w:sz w:val="21"/>
                      <w:szCs w:val="24"/>
                      <w:highlight w:val="none"/>
                      <w:vertAlign w:val="superscript"/>
                      <w:lang w:val="en-US" w:eastAsia="zh-CN"/>
                    </w:rPr>
                    <w:t>3</w:t>
                  </w:r>
                </w:p>
              </w:tc>
            </w:tr>
          </w:tbl>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经过分析，本项目废气治理措施可行，经处理后污染物可稳定达标排放。</w:t>
            </w:r>
          </w:p>
          <w:p>
            <w:pPr>
              <w:keepNext w:val="0"/>
              <w:keepLines w:val="0"/>
              <w:pageBreakBefore w:val="0"/>
              <w:widowControl/>
              <w:suppressLineNumbers w:val="0"/>
              <w:kinsoku/>
              <w:wordWrap/>
              <w:overflowPunct/>
              <w:topLinePunct w:val="0"/>
              <w:autoSpaceDE/>
              <w:autoSpaceDN/>
              <w:bidi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240" w:lineRule="auto"/>
              <w:ind w:left="0" w:leftChars="0" w:right="0" w:rightChars="0" w:firstLine="0" w:firstLineChars="0"/>
              <w:jc w:val="center"/>
              <w:textAlignment w:val="auto"/>
              <w:rPr>
                <w:rFonts w:hint="eastAsia" w:ascii="Times New Roman" w:hAnsi="Times New Roman" w:eastAsia="宋体" w:cs="Times New Roman"/>
                <w:b w:val="0"/>
                <w:bCs/>
                <w:color w:val="auto"/>
                <w:sz w:val="21"/>
                <w:szCs w:val="21"/>
                <w:highlight w:val="none"/>
                <w:lang w:val="en-US" w:eastAsia="zh-CN"/>
              </w:rPr>
            </w:pPr>
            <w:r>
              <w:rPr>
                <w:rFonts w:hint="eastAsia" w:ascii="Times New Roman" w:hAnsi="Times New Roman" w:eastAsia="宋体" w:cs="Times New Roman"/>
                <w:b/>
                <w:bCs w:val="0"/>
                <w:color w:val="auto"/>
                <w:sz w:val="21"/>
                <w:szCs w:val="21"/>
                <w:highlight w:val="none"/>
                <w:lang w:val="en-US" w:eastAsia="zh-CN"/>
              </w:rPr>
              <w:t>表5-3  废气污染源监测计划</w:t>
            </w:r>
          </w:p>
          <w:tbl>
            <w:tblPr>
              <w:tblStyle w:val="28"/>
              <w:tblW w:w="4997"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25"/>
              <w:gridCol w:w="2720"/>
              <w:gridCol w:w="916"/>
              <w:gridCol w:w="1082"/>
              <w:gridCol w:w="1460"/>
              <w:gridCol w:w="822"/>
              <w:gridCol w:w="103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类别</w:t>
                  </w:r>
                </w:p>
              </w:tc>
              <w:tc>
                <w:tcPr>
                  <w:tcW w:w="16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项目</w:t>
                  </w:r>
                </w:p>
              </w:tc>
              <w:tc>
                <w:tcPr>
                  <w:tcW w:w="54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监测因子</w:t>
                  </w:r>
                </w:p>
              </w:tc>
              <w:tc>
                <w:tcPr>
                  <w:tcW w:w="63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监测频次</w:t>
                  </w:r>
                </w:p>
              </w:tc>
              <w:tc>
                <w:tcPr>
                  <w:tcW w:w="862"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执行排放标准</w:t>
                  </w:r>
                </w:p>
              </w:tc>
              <w:tc>
                <w:tcPr>
                  <w:tcW w:w="48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监测点位</w:t>
                  </w:r>
                </w:p>
              </w:tc>
              <w:tc>
                <w:tcPr>
                  <w:tcW w:w="61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5" w:hRule="atLeast"/>
              </w:trPr>
              <w:tc>
                <w:tcPr>
                  <w:tcW w:w="251"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废气</w:t>
                  </w:r>
                </w:p>
              </w:tc>
              <w:tc>
                <w:tcPr>
                  <w:tcW w:w="16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TH1转接机房无组织废气</w:t>
                  </w:r>
                </w:p>
              </w:tc>
              <w:tc>
                <w:tcPr>
                  <w:tcW w:w="541"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颗粒物</w:t>
                  </w:r>
                </w:p>
              </w:tc>
              <w:tc>
                <w:tcPr>
                  <w:tcW w:w="639"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1次/年</w:t>
                  </w:r>
                </w:p>
              </w:tc>
              <w:tc>
                <w:tcPr>
                  <w:tcW w:w="862"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《钢铁工业大气污染物超低排放标准》(DB13/2169-2018）表5企业厂界无组织排放限值</w:t>
                  </w:r>
                </w:p>
              </w:tc>
              <w:tc>
                <w:tcPr>
                  <w:tcW w:w="485"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各转接区边界</w:t>
                  </w:r>
                </w:p>
              </w:tc>
              <w:tc>
                <w:tcPr>
                  <w:tcW w:w="613"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1.0mg/m</w:t>
                  </w:r>
                  <w:r>
                    <w:rPr>
                      <w:rFonts w:hint="eastAsia" w:ascii="Times New Roman" w:hAnsi="Times New Roman" w:eastAsia="宋体" w:cs="Times New Roman"/>
                      <w:b w:val="0"/>
                      <w:bCs/>
                      <w:color w:val="auto"/>
                      <w:sz w:val="21"/>
                      <w:szCs w:val="21"/>
                      <w:highlight w:val="none"/>
                      <w:vertAlign w:val="superscript"/>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12" w:hRule="atLeast"/>
              </w:trPr>
              <w:tc>
                <w:tcPr>
                  <w:tcW w:w="25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16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TH2转接机房无组织废气</w:t>
                  </w:r>
                </w:p>
              </w:tc>
              <w:tc>
                <w:tcPr>
                  <w:tcW w:w="54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39"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62"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485"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13"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62" w:hRule="atLeast"/>
              </w:trPr>
              <w:tc>
                <w:tcPr>
                  <w:tcW w:w="25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16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TH3转接机房无组织废气</w:t>
                  </w:r>
                </w:p>
              </w:tc>
              <w:tc>
                <w:tcPr>
                  <w:tcW w:w="54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39"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62"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485"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13"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25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16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TH4转接机房无组织废气</w:t>
                  </w:r>
                </w:p>
              </w:tc>
              <w:tc>
                <w:tcPr>
                  <w:tcW w:w="54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39"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62"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485"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13"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95" w:hRule="atLeast"/>
              </w:trPr>
              <w:tc>
                <w:tcPr>
                  <w:tcW w:w="25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16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TG1转接机房无组织废气</w:t>
                  </w:r>
                </w:p>
              </w:tc>
              <w:tc>
                <w:tcPr>
                  <w:tcW w:w="54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39"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62"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485"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13"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72" w:hRule="atLeast"/>
              </w:trPr>
              <w:tc>
                <w:tcPr>
                  <w:tcW w:w="25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160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kern w:val="2"/>
                      <w:sz w:val="21"/>
                      <w:szCs w:val="21"/>
                      <w:highlight w:val="none"/>
                      <w:vertAlign w:val="baseline"/>
                      <w:lang w:val="en-US" w:eastAsia="zh-CN" w:bidi="ar-SA"/>
                    </w:rPr>
                  </w:pPr>
                  <w:r>
                    <w:rPr>
                      <w:rFonts w:hint="eastAsia" w:ascii="Times New Roman" w:hAnsi="Times New Roman" w:eastAsia="宋体" w:cs="Times New Roman"/>
                      <w:b w:val="0"/>
                      <w:bCs/>
                      <w:color w:val="auto"/>
                      <w:sz w:val="21"/>
                      <w:szCs w:val="21"/>
                      <w:highlight w:val="none"/>
                      <w:vertAlign w:val="baseline"/>
                      <w:lang w:val="en-US" w:eastAsia="zh-CN"/>
                    </w:rPr>
                    <w:t>TG2转接机房无组织废气</w:t>
                  </w:r>
                </w:p>
              </w:tc>
              <w:tc>
                <w:tcPr>
                  <w:tcW w:w="541"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39"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62"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485"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13"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bl>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eastAsia" w:ascii="Times New Roman" w:hAnsi="Times New Roman" w:eastAsia="宋体" w:cs="Times New Roman"/>
                <w:b/>
                <w:bCs w:val="0"/>
                <w:color w:val="auto"/>
                <w:sz w:val="24"/>
                <w:szCs w:val="24"/>
                <w:highlight w:val="none"/>
                <w:lang w:val="en-US" w:eastAsia="zh-CN"/>
              </w:rPr>
            </w:pPr>
            <w:r>
              <w:rPr>
                <w:rFonts w:hint="eastAsia" w:ascii="Times New Roman" w:hAnsi="Times New Roman" w:eastAsia="宋体" w:cs="Times New Roman"/>
                <w:b/>
                <w:bCs w:val="0"/>
                <w:color w:val="auto"/>
                <w:sz w:val="24"/>
                <w:szCs w:val="24"/>
                <w:highlight w:val="none"/>
                <w:lang w:val="en-US" w:eastAsia="zh-CN"/>
              </w:rPr>
              <w:t xml:space="preserve">3、地表水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本项目管带机展开段、微干雾抑尘废水及机房冲洗废水经管道收集至沉淀池沉淀后回用于管带机展开段及机房地面冲洗，不外排。</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综上所述，本项目生产废水经沉淀池沉淀后回用，不外排，不会对地表水环境产生影响。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eastAsia" w:ascii="Times New Roman" w:hAnsi="Times New Roman" w:eastAsia="宋体" w:cs="Times New Roman"/>
                <w:b/>
                <w:bCs w:val="0"/>
                <w:color w:val="auto"/>
                <w:sz w:val="24"/>
                <w:szCs w:val="24"/>
                <w:highlight w:val="none"/>
                <w:lang w:val="en-US" w:eastAsia="zh-CN"/>
              </w:rPr>
            </w:pPr>
            <w:r>
              <w:rPr>
                <w:rFonts w:hint="eastAsia" w:ascii="Times New Roman" w:hAnsi="Times New Roman" w:eastAsia="宋体" w:cs="Times New Roman"/>
                <w:b/>
                <w:bCs w:val="0"/>
                <w:color w:val="auto"/>
                <w:sz w:val="24"/>
                <w:szCs w:val="24"/>
                <w:highlight w:val="none"/>
                <w:lang w:val="en-US" w:eastAsia="zh-CN"/>
              </w:rPr>
              <w:t xml:space="preserve">4、噪声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本项目噪声污染源主要为各转接区管带机驱动装置、水泵等设备噪声，产噪声级值为70～90dB(A)。驱动装置、水泵均置于站房内，基础减振。采取措施后，可综合降噪20dB(A)。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经预测，采取措施后，再经过距离衰减，各转接机房的噪声满足《工业企业厂界环境噪声排放标准》(GB12348-2008）中3类标准要求。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本项目位于唐山海港经济开发区，所在区域以工业生产和仓储物流为主，所在区域属《声环境质量标准》(GB3096-2008）中3类功能区。本项目周围</w:t>
            </w:r>
            <w:r>
              <w:rPr>
                <w:rFonts w:hint="eastAsia" w:cs="Times New Roman"/>
                <w:b w:val="0"/>
                <w:bCs/>
                <w:color w:val="auto"/>
                <w:sz w:val="24"/>
                <w:szCs w:val="24"/>
                <w:highlight w:val="none"/>
                <w:lang w:val="en-US" w:eastAsia="zh-CN"/>
              </w:rPr>
              <w:t>50</w:t>
            </w:r>
            <w:r>
              <w:rPr>
                <w:rFonts w:hint="eastAsia" w:ascii="Times New Roman" w:hAnsi="Times New Roman" w:eastAsia="宋体" w:cs="Times New Roman"/>
                <w:b w:val="0"/>
                <w:bCs/>
                <w:color w:val="auto"/>
                <w:sz w:val="24"/>
                <w:szCs w:val="24"/>
                <w:highlight w:val="none"/>
                <w:lang w:val="en-US" w:eastAsia="zh-CN"/>
              </w:rPr>
              <w:t xml:space="preserve">m范围内没有声环境敏感点。因此，本项目实施不会对区域的声环境产生明显影响。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r>
              <w:rPr>
                <w:rFonts w:hint="eastAsia" w:ascii="Times New Roman" w:hAnsi="Times New Roman" w:eastAsia="宋体" w:cs="Times New Roman"/>
                <w:b/>
                <w:bCs w:val="0"/>
                <w:color w:val="auto"/>
                <w:sz w:val="21"/>
                <w:szCs w:val="21"/>
                <w:highlight w:val="none"/>
                <w:lang w:val="en-US" w:eastAsia="zh-CN"/>
              </w:rPr>
              <w:t>表5-4  噪声环境监测计划</w:t>
            </w:r>
          </w:p>
          <w:tbl>
            <w:tblPr>
              <w:tblStyle w:val="28"/>
              <w:tblW w:w="4996" w:type="pct"/>
              <w:tblInd w:w="-1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711"/>
              <w:gridCol w:w="1140"/>
              <w:gridCol w:w="1141"/>
              <w:gridCol w:w="1124"/>
              <w:gridCol w:w="1609"/>
              <w:gridCol w:w="1453"/>
              <w:gridCol w:w="128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0"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类别</w:t>
                  </w:r>
                </w:p>
              </w:tc>
              <w:tc>
                <w:tcPr>
                  <w:tcW w:w="67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项目</w:t>
                  </w:r>
                </w:p>
              </w:tc>
              <w:tc>
                <w:tcPr>
                  <w:tcW w:w="67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监测因子</w:t>
                  </w:r>
                </w:p>
              </w:tc>
              <w:tc>
                <w:tcPr>
                  <w:tcW w:w="66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监测频次</w:t>
                  </w:r>
                </w:p>
              </w:tc>
              <w:tc>
                <w:tcPr>
                  <w:tcW w:w="950"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执行排放标准</w:t>
                  </w:r>
                </w:p>
              </w:tc>
              <w:tc>
                <w:tcPr>
                  <w:tcW w:w="858"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监测点位</w:t>
                  </w:r>
                </w:p>
              </w:tc>
              <w:tc>
                <w:tcPr>
                  <w:tcW w:w="758"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限值</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420"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噪声</w:t>
                  </w:r>
                </w:p>
              </w:tc>
              <w:tc>
                <w:tcPr>
                  <w:tcW w:w="67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TH1转接机房边界</w:t>
                  </w:r>
                </w:p>
              </w:tc>
              <w:tc>
                <w:tcPr>
                  <w:tcW w:w="674"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Leq（A）</w:t>
                  </w:r>
                </w:p>
              </w:tc>
              <w:tc>
                <w:tcPr>
                  <w:tcW w:w="664"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1次/季</w:t>
                  </w:r>
                </w:p>
              </w:tc>
              <w:tc>
                <w:tcPr>
                  <w:tcW w:w="950"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《工业企业厂界环境噪声排放标准》(GB12348-2008)3类标准</w:t>
                  </w:r>
                </w:p>
              </w:tc>
              <w:tc>
                <w:tcPr>
                  <w:tcW w:w="858"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边界外1米处</w:t>
                  </w:r>
                </w:p>
              </w:tc>
              <w:tc>
                <w:tcPr>
                  <w:tcW w:w="758"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昼间</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65d（B）A</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夜间</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55d（B）A</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7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TH2转接机房边界</w:t>
                  </w:r>
                </w:p>
              </w:tc>
              <w:tc>
                <w:tcPr>
                  <w:tcW w:w="67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6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95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7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7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TH3转接机房边界</w:t>
                  </w:r>
                </w:p>
              </w:tc>
              <w:tc>
                <w:tcPr>
                  <w:tcW w:w="67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6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95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7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7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TH4转接机房边界</w:t>
                  </w:r>
                </w:p>
              </w:tc>
              <w:tc>
                <w:tcPr>
                  <w:tcW w:w="67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6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95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7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7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TG1转接机房边界</w:t>
                  </w:r>
                </w:p>
              </w:tc>
              <w:tc>
                <w:tcPr>
                  <w:tcW w:w="67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6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95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7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2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7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TG2转接机房边界</w:t>
                  </w:r>
                </w:p>
              </w:tc>
              <w:tc>
                <w:tcPr>
                  <w:tcW w:w="67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664"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950"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8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758"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r>
          </w:tbl>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default" w:ascii="Times New Roman" w:hAnsi="Times New Roman" w:eastAsia="宋体" w:cs="Times New Roman"/>
                <w:b/>
                <w:bCs w:val="0"/>
                <w:color w:val="auto"/>
                <w:sz w:val="24"/>
                <w:szCs w:val="24"/>
                <w:highlight w:val="none"/>
                <w:lang w:val="en-US" w:eastAsia="zh-CN"/>
              </w:rPr>
            </w:pPr>
            <w:r>
              <w:rPr>
                <w:rFonts w:hint="eastAsia" w:ascii="Times New Roman" w:hAnsi="Times New Roman" w:eastAsia="宋体" w:cs="Times New Roman"/>
                <w:b/>
                <w:bCs w:val="0"/>
                <w:color w:val="auto"/>
                <w:sz w:val="24"/>
                <w:szCs w:val="24"/>
                <w:highlight w:val="none"/>
                <w:lang w:val="en-US" w:eastAsia="zh-CN"/>
              </w:rPr>
              <w:t>5、固体废物</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项目废机油、废润滑油使用各自的废油桶收集，暂存危废间，定期交给有资质单位统一处置；废皮带外售橡胶企业综合利用；沉淀池污泥定期清掏，外售综合利用。</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综上所述，在建设单位严格对项目产生的危险废物进行全过程管理并落实相关要求的条件下，本项目危险废物处理可行、贮存合理，不会对环境造成二次污染。</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由此可见，项目产生的固体废物均得以综合利用，妥善处置，不会对周围环境产生不利影响。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eastAsia" w:ascii="Times New Roman" w:hAnsi="Times New Roman" w:eastAsia="宋体" w:cs="Times New Roman"/>
                <w:b/>
                <w:bCs w:val="0"/>
                <w:color w:val="auto"/>
                <w:sz w:val="24"/>
                <w:szCs w:val="24"/>
                <w:highlight w:val="none"/>
                <w:lang w:val="en-US" w:eastAsia="zh-CN"/>
              </w:rPr>
            </w:pPr>
            <w:r>
              <w:rPr>
                <w:rFonts w:hint="eastAsia" w:ascii="Times New Roman" w:hAnsi="Times New Roman" w:eastAsia="宋体" w:cs="Times New Roman"/>
                <w:b/>
                <w:bCs w:val="0"/>
                <w:color w:val="auto"/>
                <w:sz w:val="24"/>
                <w:szCs w:val="24"/>
                <w:highlight w:val="none"/>
                <w:lang w:val="en-US" w:eastAsia="zh-CN"/>
              </w:rPr>
              <w:t xml:space="preserve">6、地下水、土壤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通过采取分区防渗措施后，可有效防止废水、危废等污染物渗漏对地下水、土壤环境的污染。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2" w:firstLineChars="200"/>
              <w:jc w:val="both"/>
              <w:textAlignment w:val="auto"/>
              <w:rPr>
                <w:rFonts w:hint="eastAsia" w:ascii="Times New Roman" w:hAnsi="Times New Roman" w:eastAsia="宋体" w:cs="Times New Roman"/>
                <w:b/>
                <w:bCs w:val="0"/>
                <w:color w:val="auto"/>
                <w:sz w:val="24"/>
                <w:szCs w:val="24"/>
                <w:highlight w:val="none"/>
                <w:lang w:val="en-US" w:eastAsia="zh-CN"/>
              </w:rPr>
            </w:pPr>
            <w:r>
              <w:rPr>
                <w:rFonts w:hint="eastAsia" w:ascii="Times New Roman" w:hAnsi="Times New Roman" w:eastAsia="宋体" w:cs="Times New Roman"/>
                <w:b/>
                <w:bCs w:val="0"/>
                <w:color w:val="auto"/>
                <w:sz w:val="24"/>
                <w:szCs w:val="24"/>
                <w:highlight w:val="none"/>
                <w:lang w:val="en-US" w:eastAsia="zh-CN"/>
              </w:rPr>
              <w:t>7、环境风险</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本项风险物质均依托管廊项目危废间及备品备件库内储存。</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项目风险管理及防范措施：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①机油、润滑油、废机油、废润滑油的风险管理及防范措施：</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 xml:space="preserve">a.安排专职人员定期对危废间内废机油、废润滑油储存容器，备品备件库内的矿物油储存容器进行巡回检查，检查是否出现跑冒滴漏现象，并及时检修。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b.危废间根据《危险废物贮存污染控制标准》（GB 18597—2023）相关规定进行防腐防渗，渗透系数≤10</w:t>
            </w:r>
            <w:r>
              <w:rPr>
                <w:rFonts w:hint="eastAsia" w:ascii="Times New Roman" w:hAnsi="Times New Roman" w:eastAsia="宋体" w:cs="Times New Roman"/>
                <w:b w:val="0"/>
                <w:bCs/>
                <w:color w:val="auto"/>
                <w:sz w:val="24"/>
                <w:szCs w:val="24"/>
                <w:highlight w:val="none"/>
                <w:vertAlign w:val="superscript"/>
                <w:lang w:val="en-US" w:eastAsia="zh-CN"/>
              </w:rPr>
              <w:t>-10</w:t>
            </w:r>
            <w:r>
              <w:rPr>
                <w:rFonts w:hint="eastAsia" w:ascii="Times New Roman" w:hAnsi="Times New Roman" w:eastAsia="宋体" w:cs="Times New Roman"/>
                <w:b w:val="0"/>
                <w:bCs/>
                <w:color w:val="auto"/>
                <w:sz w:val="24"/>
                <w:szCs w:val="24"/>
                <w:highlight w:val="none"/>
                <w:lang w:val="en-US" w:eastAsia="zh-CN"/>
              </w:rPr>
              <w:t>cm/s。危废间内设置围堰，围堰高度0.15m，事故状态下，将泄漏的废润滑油控制在围堰内。危废间内放置备用耐腐蚀桶，发生泄漏事故时，能及时转移泄漏物。</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default"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c.备品备件库及危废间配备沙土等吸附材料，发现泄漏情况下能立即吸附回收。</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②其他风险防范措施：项目在危废间设置1座应急事故池，用于储存事故状态产生的废水，保证废水不随意漫流。</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default" w:ascii="Times New Roman" w:hAnsi="Times New Roman" w:eastAsia="宋体" w:cs="Times New Roman"/>
                <w:bCs/>
                <w:color w:val="auto"/>
                <w:szCs w:val="21"/>
                <w:highlight w:val="none"/>
                <w:lang w:val="en-US" w:eastAsia="zh-CN"/>
              </w:rPr>
            </w:pPr>
            <w:r>
              <w:rPr>
                <w:rFonts w:hint="eastAsia" w:ascii="Times New Roman" w:hAnsi="Times New Roman" w:eastAsia="宋体" w:cs="Times New Roman"/>
                <w:b w:val="0"/>
                <w:bCs/>
                <w:color w:val="auto"/>
                <w:sz w:val="24"/>
                <w:szCs w:val="24"/>
                <w:highlight w:val="none"/>
                <w:lang w:val="en-US" w:eastAsia="zh-CN"/>
              </w:rPr>
              <w:t>本项目环境风险可以控制在可预知、可控制、可解决的情况下，不会对外环境造成大的危害影响。</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264" w:type="dxa"/>
            <w:noWrap w:val="0"/>
            <w:tcMar>
              <w:left w:w="28" w:type="dxa"/>
              <w:right w:w="28"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其它</w:t>
            </w:r>
          </w:p>
        </w:tc>
        <w:tc>
          <w:tcPr>
            <w:tcW w:w="8715" w:type="dxa"/>
            <w:noWrap w:val="0"/>
            <w:vAlign w:val="top"/>
          </w:tcPr>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center"/>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无</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6" w:hRule="atLeast"/>
          <w:jc w:val="center"/>
        </w:trPr>
        <w:tc>
          <w:tcPr>
            <w:tcW w:w="264" w:type="dxa"/>
            <w:noWrap w:val="0"/>
            <w:tcMar>
              <w:left w:w="28" w:type="dxa"/>
              <w:right w:w="28" w:type="dxa"/>
            </w:tcMar>
            <w:vAlign w:val="center"/>
          </w:tcPr>
          <w:p>
            <w:pPr>
              <w:keepNext w:val="0"/>
              <w:keepLines w:val="0"/>
              <w:suppressLineNumbers w:val="0"/>
              <w:spacing w:before="0" w:beforeAutospacing="0" w:after="0" w:afterAutospacing="0"/>
              <w:ind w:left="0" w:right="0"/>
              <w:jc w:val="center"/>
              <w:rPr>
                <w:rFonts w:hint="eastAsia" w:ascii="Times New Roman" w:hAnsi="Times New Roman" w:eastAsia="宋体" w:cs="Times New Roman"/>
                <w:bCs/>
                <w:color w:val="auto"/>
                <w:szCs w:val="21"/>
                <w:lang w:eastAsia="zh-CN"/>
              </w:rPr>
            </w:pPr>
            <w:r>
              <w:rPr>
                <w:rFonts w:hint="eastAsia" w:ascii="Times New Roman" w:hAnsi="Times New Roman" w:eastAsia="宋体" w:cs="Times New Roman"/>
                <w:bCs/>
                <w:color w:val="auto"/>
                <w:szCs w:val="21"/>
                <w:lang w:eastAsia="zh-CN"/>
              </w:rPr>
              <w:t>环保投资</w:t>
            </w:r>
          </w:p>
        </w:tc>
        <w:tc>
          <w:tcPr>
            <w:tcW w:w="8715" w:type="dxa"/>
            <w:noWrap w:val="0"/>
            <w:vAlign w:val="top"/>
          </w:tcPr>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both"/>
              <w:textAlignment w:val="auto"/>
              <w:rPr>
                <w:rFonts w:hint="eastAsia" w:ascii="Times New Roman" w:hAnsi="Times New Roman" w:eastAsia="宋体" w:cs="Times New Roman"/>
                <w:b w:val="0"/>
                <w:bCs/>
                <w:color w:val="auto"/>
                <w:sz w:val="24"/>
                <w:szCs w:val="24"/>
                <w:highlight w:val="none"/>
                <w:lang w:val="en-US" w:eastAsia="zh-CN"/>
              </w:rPr>
            </w:pPr>
            <w:r>
              <w:rPr>
                <w:rFonts w:hint="eastAsia" w:ascii="Times New Roman" w:hAnsi="Times New Roman" w:eastAsia="宋体" w:cs="Times New Roman"/>
                <w:b w:val="0"/>
                <w:bCs/>
                <w:color w:val="auto"/>
                <w:sz w:val="24"/>
                <w:szCs w:val="24"/>
                <w:highlight w:val="none"/>
                <w:lang w:val="en-US" w:eastAsia="zh-CN"/>
              </w:rPr>
              <w:t>项目总投资和环保投资：项目总投资70780.63万元，其中环保投资</w:t>
            </w:r>
            <w:r>
              <w:rPr>
                <w:rFonts w:hint="eastAsia" w:cs="Times New Roman"/>
                <w:b w:val="0"/>
                <w:bCs/>
                <w:color w:val="auto"/>
                <w:sz w:val="24"/>
                <w:szCs w:val="24"/>
                <w:highlight w:val="none"/>
                <w:lang w:val="en-US" w:eastAsia="zh-CN"/>
              </w:rPr>
              <w:t>42</w:t>
            </w:r>
            <w:r>
              <w:rPr>
                <w:rFonts w:hint="eastAsia" w:ascii="Times New Roman" w:hAnsi="Times New Roman" w:eastAsia="宋体" w:cs="Times New Roman"/>
                <w:b w:val="0"/>
                <w:bCs/>
                <w:color w:val="auto"/>
                <w:sz w:val="24"/>
                <w:szCs w:val="24"/>
                <w:highlight w:val="none"/>
                <w:lang w:val="en-US" w:eastAsia="zh-CN"/>
              </w:rPr>
              <w:t>万元，占总投资的</w:t>
            </w:r>
            <w:r>
              <w:rPr>
                <w:rFonts w:hint="eastAsia" w:cs="Times New Roman"/>
                <w:b w:val="0"/>
                <w:bCs/>
                <w:color w:val="auto"/>
                <w:sz w:val="24"/>
                <w:szCs w:val="24"/>
                <w:highlight w:val="none"/>
                <w:lang w:val="en-US" w:eastAsia="zh-CN"/>
              </w:rPr>
              <w:t>0.059</w:t>
            </w:r>
            <w:r>
              <w:rPr>
                <w:rFonts w:hint="eastAsia" w:ascii="Times New Roman" w:hAnsi="Times New Roman" w:eastAsia="宋体" w:cs="Times New Roman"/>
                <w:b w:val="0"/>
                <w:bCs/>
                <w:color w:val="auto"/>
                <w:sz w:val="24"/>
                <w:szCs w:val="24"/>
                <w:highlight w:val="none"/>
                <w:lang w:val="en-US" w:eastAsia="zh-CN"/>
              </w:rPr>
              <w:t xml:space="preserve">%。 </w:t>
            </w:r>
          </w:p>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jc w:val="center"/>
              <w:textAlignment w:val="auto"/>
              <w:rPr>
                <w:rFonts w:hint="eastAsia" w:ascii="Times New Roman" w:hAnsi="Times New Roman" w:eastAsia="宋体" w:cs="Times New Roman"/>
                <w:b/>
                <w:bCs w:val="0"/>
                <w:color w:val="auto"/>
                <w:sz w:val="21"/>
                <w:szCs w:val="21"/>
                <w:highlight w:val="none"/>
                <w:lang w:val="en-US" w:eastAsia="zh-CN"/>
              </w:rPr>
            </w:pPr>
            <w:r>
              <w:rPr>
                <w:rFonts w:hint="eastAsia" w:ascii="Times New Roman" w:hAnsi="Times New Roman" w:eastAsia="宋体" w:cs="Times New Roman"/>
                <w:b/>
                <w:bCs w:val="0"/>
                <w:color w:val="auto"/>
                <w:sz w:val="21"/>
                <w:szCs w:val="21"/>
                <w:highlight w:val="none"/>
                <w:lang w:val="en-US" w:eastAsia="zh-CN"/>
              </w:rPr>
              <w:t>表5-5  项目总投资和环保投资</w:t>
            </w:r>
          </w:p>
          <w:tbl>
            <w:tblPr>
              <w:tblStyle w:val="28"/>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699"/>
              <w:gridCol w:w="3199"/>
              <w:gridCol w:w="1533"/>
              <w:gridCol w:w="769"/>
              <w:gridCol w:w="1223"/>
              <w:gridCol w:w="104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项目</w:t>
                  </w:r>
                </w:p>
              </w:tc>
              <w:tc>
                <w:tcPr>
                  <w:tcW w:w="188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治理措施</w:t>
                  </w:r>
                </w:p>
              </w:tc>
              <w:tc>
                <w:tcPr>
                  <w:tcW w:w="90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治理对象</w:t>
                  </w:r>
                </w:p>
              </w:tc>
              <w:tc>
                <w:tcPr>
                  <w:tcW w:w="45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数量</w:t>
                  </w:r>
                </w:p>
              </w:tc>
              <w:tc>
                <w:tcPr>
                  <w:tcW w:w="72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处理能力</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bCs w:val="0"/>
                      <w:color w:val="auto"/>
                      <w:sz w:val="21"/>
                      <w:szCs w:val="21"/>
                      <w:highlight w:val="none"/>
                      <w:vertAlign w:val="baseline"/>
                      <w:lang w:val="en-US" w:eastAsia="zh-CN"/>
                    </w:rPr>
                  </w:pPr>
                  <w:r>
                    <w:rPr>
                      <w:rFonts w:hint="eastAsia" w:ascii="Times New Roman" w:hAnsi="Times New Roman" w:eastAsia="宋体" w:cs="Times New Roman"/>
                      <w:b/>
                      <w:bCs w:val="0"/>
                      <w:color w:val="auto"/>
                      <w:sz w:val="21"/>
                      <w:szCs w:val="21"/>
                      <w:highlight w:val="none"/>
                      <w:vertAlign w:val="baseline"/>
                      <w:lang w:val="en-US" w:eastAsia="zh-CN"/>
                    </w:rPr>
                    <w:t>投资（万元）</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3" w:type="pct"/>
                  <w:vMerge w:val="restar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废气</w:t>
                  </w:r>
                </w:p>
              </w:tc>
              <w:tc>
                <w:tcPr>
                  <w:tcW w:w="188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施工期抑尘措施与扬尘在线监测</w:t>
                  </w:r>
                </w:p>
              </w:tc>
              <w:tc>
                <w:tcPr>
                  <w:tcW w:w="90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施工期扬尘</w:t>
                  </w:r>
                </w:p>
              </w:tc>
              <w:tc>
                <w:tcPr>
                  <w:tcW w:w="45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72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3" w:type="pct"/>
                  <w:vMerge w:val="continue"/>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p>
              </w:tc>
              <w:tc>
                <w:tcPr>
                  <w:tcW w:w="188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转接机房封闭、导料槽及溜筒封闭，机房设置微干雾抑尘系统</w:t>
                  </w:r>
                </w:p>
              </w:tc>
              <w:tc>
                <w:tcPr>
                  <w:tcW w:w="90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转接机房转运产生的颗粒物</w:t>
                  </w:r>
                </w:p>
              </w:tc>
              <w:tc>
                <w:tcPr>
                  <w:tcW w:w="45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72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废水</w:t>
                  </w:r>
                </w:p>
              </w:tc>
              <w:tc>
                <w:tcPr>
                  <w:tcW w:w="188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管带机展开段及机房冲洗废水经管道收集至沉淀池沉淀后回用于管带机展开段及机房地面冲洗，不外排</w:t>
                  </w:r>
                </w:p>
              </w:tc>
              <w:tc>
                <w:tcPr>
                  <w:tcW w:w="90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管带机展开段及机房冲洗废水</w:t>
                  </w:r>
                </w:p>
              </w:tc>
              <w:tc>
                <w:tcPr>
                  <w:tcW w:w="45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w:t>
                  </w:r>
                </w:p>
              </w:tc>
              <w:tc>
                <w:tcPr>
                  <w:tcW w:w="72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噪声</w:t>
                  </w:r>
                </w:p>
              </w:tc>
              <w:tc>
                <w:tcPr>
                  <w:tcW w:w="188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管带机驱动装置、水泵、空压机基础减振，设置在封闭站房内</w:t>
                  </w:r>
                </w:p>
              </w:tc>
              <w:tc>
                <w:tcPr>
                  <w:tcW w:w="90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设备运行噪声</w:t>
                  </w:r>
                </w:p>
              </w:tc>
              <w:tc>
                <w:tcPr>
                  <w:tcW w:w="45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72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固废</w:t>
                  </w:r>
                </w:p>
              </w:tc>
              <w:tc>
                <w:tcPr>
                  <w:tcW w:w="1889"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设备检修产生的废机油、废润滑油、废油桶使用各自的废油桶收集，依托管廊项目危废间暂存，定期交给有资质单位处置</w:t>
                  </w:r>
                </w:p>
              </w:tc>
              <w:tc>
                <w:tcPr>
                  <w:tcW w:w="905"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设备检修产生的废机油、废润滑油、废油桶</w:t>
                  </w:r>
                </w:p>
              </w:tc>
              <w:tc>
                <w:tcPr>
                  <w:tcW w:w="454"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w:t>
                  </w:r>
                </w:p>
              </w:tc>
              <w:tc>
                <w:tcPr>
                  <w:tcW w:w="72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13"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生态环境</w:t>
                  </w:r>
                </w:p>
              </w:tc>
              <w:tc>
                <w:tcPr>
                  <w:tcW w:w="3248" w:type="pct"/>
                  <w:gridSpan w:val="3"/>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施工临时占地土地复垦，弃方回收利用</w:t>
                  </w:r>
                </w:p>
              </w:tc>
              <w:tc>
                <w:tcPr>
                  <w:tcW w:w="721"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14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4383" w:type="pct"/>
                  <w:gridSpan w:val="5"/>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b w:val="0"/>
                      <w:bCs/>
                      <w:color w:val="auto"/>
                      <w:sz w:val="21"/>
                      <w:szCs w:val="21"/>
                      <w:highlight w:val="none"/>
                      <w:vertAlign w:val="baseline"/>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合计</w:t>
                  </w:r>
                </w:p>
              </w:tc>
              <w:tc>
                <w:tcPr>
                  <w:tcW w:w="616" w:type="pct"/>
                  <w:tcBorders>
                    <w:tl2br w:val="nil"/>
                    <w:tr2bl w:val="nil"/>
                  </w:tcBorders>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val="0"/>
                      <w:bCs/>
                      <w:color w:val="auto"/>
                      <w:sz w:val="21"/>
                      <w:szCs w:val="21"/>
                      <w:highlight w:val="none"/>
                      <w:vertAlign w:val="baseline"/>
                      <w:lang w:val="en-US" w:eastAsia="zh-CN"/>
                    </w:rPr>
                  </w:pPr>
                  <w:r>
                    <w:rPr>
                      <w:rFonts w:hint="eastAsia" w:cs="Times New Roman"/>
                      <w:b w:val="0"/>
                      <w:bCs/>
                      <w:color w:val="auto"/>
                      <w:sz w:val="21"/>
                      <w:szCs w:val="21"/>
                      <w:highlight w:val="none"/>
                      <w:vertAlign w:val="baseline"/>
                      <w:lang w:val="en-US" w:eastAsia="zh-CN"/>
                    </w:rPr>
                    <w:t>42</w:t>
                  </w:r>
                </w:p>
              </w:tc>
            </w:tr>
          </w:tbl>
          <w:p>
            <w:pPr>
              <w:keepNext w:val="0"/>
              <w:keepLines w:val="0"/>
              <w:pageBreakBefore w:val="0"/>
              <w:widowControl/>
              <w:suppressLineNumbers w:val="0"/>
              <w:kinsoku/>
              <w:wordWrap/>
              <w:overflowPunct/>
              <w:topLinePunct w:val="0"/>
              <w:autoSpaceDE/>
              <w:autoSpaceDN/>
              <w:bidi w:val="0"/>
              <w:spacing w:before="0" w:beforeAutospacing="0" w:after="0" w:afterAutospacing="0" w:line="500" w:lineRule="exact"/>
              <w:ind w:left="0" w:right="0" w:firstLine="480" w:firstLineChars="200"/>
              <w:jc w:val="center"/>
              <w:textAlignment w:val="auto"/>
              <w:rPr>
                <w:rFonts w:hint="eastAsia" w:ascii="Times New Roman" w:hAnsi="Times New Roman" w:eastAsia="宋体" w:cs="Times New Roman"/>
                <w:b w:val="0"/>
                <w:bCs/>
                <w:color w:val="auto"/>
                <w:sz w:val="24"/>
                <w:szCs w:val="24"/>
                <w:highlight w:val="none"/>
                <w:lang w:val="en-US" w:eastAsia="zh-CN"/>
              </w:rPr>
            </w:pPr>
          </w:p>
        </w:tc>
      </w:tr>
    </w:tbl>
    <w:p>
      <w:pPr>
        <w:adjustRightInd w:val="0"/>
        <w:snapToGrid w:val="0"/>
        <w:spacing w:line="360" w:lineRule="auto"/>
        <w:rPr>
          <w:rFonts w:hint="eastAsia" w:ascii="宋体" w:cs="宋体"/>
          <w:b/>
          <w:color w:val="auto"/>
          <w:kern w:val="0"/>
          <w:sz w:val="28"/>
          <w:szCs w:val="28"/>
        </w:rPr>
        <w:sectPr>
          <w:pgSz w:w="11905" w:h="16838"/>
          <w:pgMar w:top="1701" w:right="1531" w:bottom="1701" w:left="1531" w:header="851" w:footer="1077" w:gutter="0"/>
          <w:pgBorders>
            <w:top w:val="none" w:sz="0" w:space="0"/>
            <w:left w:val="none" w:sz="0" w:space="0"/>
            <w:bottom w:val="none" w:sz="0" w:space="0"/>
            <w:right w:val="none" w:sz="0" w:space="0"/>
          </w:pgBorders>
          <w:pgNumType w:fmt="decimal"/>
          <w:cols w:space="720" w:num="1"/>
          <w:rtlGutter w:val="0"/>
          <w:docGrid w:linePitch="312" w:charSpace="0"/>
        </w:sectPr>
      </w:pPr>
    </w:p>
    <w:p>
      <w:pPr>
        <w:pStyle w:val="23"/>
        <w:jc w:val="center"/>
        <w:outlineLvl w:val="0"/>
        <w:rPr>
          <w:rFonts w:ascii="黑体" w:hAnsi="黑体" w:eastAsia="黑体"/>
          <w:snapToGrid w:val="0"/>
          <w:color w:val="auto"/>
          <w:sz w:val="30"/>
          <w:szCs w:val="30"/>
        </w:rPr>
      </w:pPr>
      <w:bookmarkStart w:id="7" w:name="_Toc2396"/>
      <w:r>
        <w:rPr>
          <w:rFonts w:hint="eastAsia" w:ascii="黑体" w:hAnsi="黑体" w:eastAsia="黑体"/>
          <w:snapToGrid w:val="0"/>
          <w:color w:val="auto"/>
          <w:sz w:val="30"/>
          <w:szCs w:val="30"/>
          <w:lang w:eastAsia="zh-CN"/>
        </w:rPr>
        <w:t>六</w:t>
      </w:r>
      <w:r>
        <w:rPr>
          <w:rFonts w:hint="eastAsia" w:ascii="黑体" w:hAnsi="黑体" w:eastAsia="黑体"/>
          <w:snapToGrid w:val="0"/>
          <w:color w:val="auto"/>
          <w:sz w:val="30"/>
          <w:szCs w:val="30"/>
        </w:rPr>
        <w:t>、</w:t>
      </w:r>
      <w:bookmarkStart w:id="8" w:name="_Hlk54167917"/>
      <w:r>
        <w:rPr>
          <w:rFonts w:hint="eastAsia" w:ascii="黑体" w:hAnsi="黑体" w:eastAsia="黑体"/>
          <w:snapToGrid w:val="0"/>
          <w:color w:val="auto"/>
          <w:sz w:val="30"/>
          <w:szCs w:val="30"/>
          <w:lang w:eastAsia="zh-CN"/>
        </w:rPr>
        <w:t>生态</w:t>
      </w:r>
      <w:r>
        <w:rPr>
          <w:rFonts w:hint="eastAsia" w:ascii="黑体" w:hAnsi="黑体" w:eastAsia="黑体"/>
          <w:snapToGrid w:val="0"/>
          <w:color w:val="auto"/>
          <w:sz w:val="30"/>
          <w:szCs w:val="30"/>
        </w:rPr>
        <w:t>环境保护措施监督检查清单</w:t>
      </w:r>
      <w:bookmarkEnd w:id="7"/>
      <w:bookmarkEnd w:id="8"/>
    </w:p>
    <w:tbl>
      <w:tblPr>
        <w:tblStyle w:val="27"/>
        <w:tblW w:w="906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403"/>
        <w:gridCol w:w="2044"/>
        <w:gridCol w:w="1480"/>
        <w:gridCol w:w="2457"/>
        <w:gridCol w:w="167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403" w:type="dxa"/>
            <w:vMerge w:val="restart"/>
            <w:tcBorders>
              <w:tl2br w:val="single" w:color="auto" w:sz="4" w:space="0"/>
            </w:tcBorders>
            <w:noWrap w:val="0"/>
            <w:vAlign w:val="top"/>
          </w:tcPr>
          <w:p>
            <w:pPr>
              <w:keepNext w:val="0"/>
              <w:keepLines w:val="0"/>
              <w:suppressLineNumbers w:val="0"/>
              <w:adjustRightInd w:val="0"/>
              <w:snapToGrid w:val="0"/>
              <w:spacing w:before="0" w:beforeAutospacing="0" w:after="0" w:afterAutospacing="0" w:line="360" w:lineRule="exact"/>
              <w:ind w:left="0" w:right="0"/>
              <w:jc w:val="right"/>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内容</w:t>
            </w:r>
          </w:p>
          <w:p>
            <w:pPr>
              <w:keepNext w:val="0"/>
              <w:keepLines w:val="0"/>
              <w:suppressLineNumbers w:val="0"/>
              <w:adjustRightInd w:val="0"/>
              <w:snapToGrid w:val="0"/>
              <w:spacing w:before="0" w:beforeAutospacing="0" w:after="0" w:afterAutospacing="0" w:line="360" w:lineRule="exact"/>
              <w:ind w:left="0" w:right="0"/>
              <w:jc w:val="left"/>
              <w:rPr>
                <w:rFonts w:hint="default" w:ascii="Times New Roman" w:hAnsi="Times New Roman" w:eastAsia="宋体" w:cs="Times New Roman"/>
                <w:color w:val="auto"/>
                <w:szCs w:val="21"/>
              </w:rPr>
            </w:pPr>
          </w:p>
          <w:p>
            <w:pPr>
              <w:keepNext w:val="0"/>
              <w:keepLines w:val="0"/>
              <w:suppressLineNumbers w:val="0"/>
              <w:adjustRightInd w:val="0"/>
              <w:snapToGrid w:val="0"/>
              <w:spacing w:before="0" w:beforeAutospacing="0" w:after="0" w:afterAutospacing="0" w:line="360" w:lineRule="exact"/>
              <w:ind w:left="0" w:right="0"/>
              <w:jc w:val="left"/>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要素</w:t>
            </w:r>
          </w:p>
        </w:tc>
        <w:tc>
          <w:tcPr>
            <w:tcW w:w="3524" w:type="dxa"/>
            <w:gridSpan w:val="2"/>
            <w:noWrap w:val="0"/>
            <w:vAlign w:val="center"/>
          </w:tcPr>
          <w:p>
            <w:pPr>
              <w:keepNext w:val="0"/>
              <w:keepLines w:val="0"/>
              <w:suppressLineNumbers w:val="0"/>
              <w:adjustRightInd w:val="0"/>
              <w:snapToGrid w:val="0"/>
              <w:spacing w:before="0" w:beforeAutospacing="0" w:after="0" w:afterAutospacing="0" w:line="360" w:lineRule="exac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施工期</w:t>
            </w:r>
          </w:p>
        </w:tc>
        <w:tc>
          <w:tcPr>
            <w:tcW w:w="4133" w:type="dxa"/>
            <w:gridSpan w:val="2"/>
            <w:noWrap w:val="0"/>
            <w:vAlign w:val="center"/>
          </w:tcPr>
          <w:p>
            <w:pPr>
              <w:keepNext w:val="0"/>
              <w:keepLines w:val="0"/>
              <w:suppressLineNumbers w:val="0"/>
              <w:adjustRightInd w:val="0"/>
              <w:snapToGrid w:val="0"/>
              <w:spacing w:before="0" w:beforeAutospacing="0" w:after="0" w:afterAutospacing="0" w:line="360" w:lineRule="exac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运营期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5" w:hRule="atLeast"/>
          <w:jc w:val="center"/>
        </w:trPr>
        <w:tc>
          <w:tcPr>
            <w:tcW w:w="1403" w:type="dxa"/>
            <w:vMerge w:val="continue"/>
            <w:tcBorders>
              <w:tl2br w:val="single" w:color="auto" w:sz="4" w:space="0"/>
            </w:tcBorders>
            <w:noWrap w:val="0"/>
            <w:vAlign w:val="top"/>
          </w:tcPr>
          <w:p>
            <w:pPr>
              <w:keepNext w:val="0"/>
              <w:keepLines w:val="0"/>
              <w:suppressLineNumbers w:val="0"/>
              <w:adjustRightInd w:val="0"/>
              <w:snapToGrid w:val="0"/>
              <w:spacing w:before="0" w:beforeAutospacing="0" w:after="0" w:afterAutospacing="0" w:line="360" w:lineRule="exact"/>
              <w:ind w:left="0" w:right="0"/>
              <w:jc w:val="center"/>
              <w:rPr>
                <w:rFonts w:ascii="Calibri" w:hAnsi="Calibri" w:eastAsia="宋体" w:cs="Times New Roman"/>
              </w:rPr>
            </w:pPr>
          </w:p>
        </w:tc>
        <w:tc>
          <w:tcPr>
            <w:tcW w:w="2044" w:type="dxa"/>
            <w:noWrap w:val="0"/>
            <w:vAlign w:val="center"/>
          </w:tcPr>
          <w:p>
            <w:pPr>
              <w:keepNext w:val="0"/>
              <w:keepLines w:val="0"/>
              <w:suppressLineNumbers w:val="0"/>
              <w:adjustRightInd w:val="0"/>
              <w:snapToGrid w:val="0"/>
              <w:spacing w:before="0" w:beforeAutospacing="0" w:after="0" w:afterAutospacing="0" w:line="360" w:lineRule="exac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环境保护措施</w:t>
            </w:r>
          </w:p>
        </w:tc>
        <w:tc>
          <w:tcPr>
            <w:tcW w:w="1480" w:type="dxa"/>
            <w:noWrap w:val="0"/>
            <w:vAlign w:val="center"/>
          </w:tcPr>
          <w:p>
            <w:pPr>
              <w:keepNext w:val="0"/>
              <w:keepLines w:val="0"/>
              <w:suppressLineNumbers w:val="0"/>
              <w:adjustRightInd w:val="0"/>
              <w:snapToGrid w:val="0"/>
              <w:spacing w:before="0" w:beforeAutospacing="0" w:after="0" w:afterAutospacing="0" w:line="360" w:lineRule="exac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验收要求</w:t>
            </w:r>
          </w:p>
        </w:tc>
        <w:tc>
          <w:tcPr>
            <w:tcW w:w="2457" w:type="dxa"/>
            <w:noWrap w:val="0"/>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环境保护措施</w:t>
            </w:r>
          </w:p>
        </w:tc>
        <w:tc>
          <w:tcPr>
            <w:tcW w:w="1676" w:type="dxa"/>
            <w:noWrap w:val="0"/>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zCs w:val="21"/>
                <w:lang w:eastAsia="zh-CN"/>
              </w:rPr>
              <w:t>验收要求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35" w:hRule="atLeast"/>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陆生生态</w:t>
            </w:r>
          </w:p>
        </w:tc>
        <w:tc>
          <w:tcPr>
            <w:tcW w:w="2044" w:type="dxa"/>
            <w:noWrap w:val="0"/>
            <w:vAlign w:val="center"/>
          </w:tcPr>
          <w:p>
            <w:pPr>
              <w:keepNext w:val="0"/>
              <w:keepLines w:val="0"/>
              <w:pageBreakBefore w:val="0"/>
              <w:widowControl w:val="0"/>
              <w:suppressLineNumbers w:val="0"/>
              <w:tabs>
                <w:tab w:val="left" w:pos="2604"/>
              </w:tabs>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hint="eastAsia" w:ascii="Times New Roman" w:hAnsi="Times New Roman" w:eastAsia="宋体" w:cs="Times New Roman"/>
                <w:bCs/>
                <w:color w:val="auto"/>
                <w:szCs w:val="21"/>
                <w:highlight w:val="none"/>
                <w:lang w:eastAsia="zh-CN"/>
              </w:rPr>
            </w:pPr>
            <w:r>
              <w:rPr>
                <w:rFonts w:hint="eastAsia" w:ascii="Times New Roman" w:hAnsi="Times New Roman" w:eastAsia="宋体" w:cs="Times New Roman"/>
                <w:bCs/>
                <w:color w:val="auto"/>
                <w:szCs w:val="21"/>
                <w:highlight w:val="none"/>
                <w:lang w:val="en-US" w:eastAsia="zh-CN"/>
              </w:rPr>
              <w:t>合理进行施工布置；建立复式挡土墙，挖排水沟或截水沟等措施，防止雨水冲蚀泥土，防止泥土外溢；进行场地平整，种植低矮观赏性花草等，做到边施工边治理</w:t>
            </w:r>
          </w:p>
        </w:tc>
        <w:tc>
          <w:tcPr>
            <w:tcW w:w="1480" w:type="dxa"/>
            <w:noWrap w:val="0"/>
            <w:vAlign w:val="center"/>
          </w:tcPr>
          <w:p>
            <w:pPr>
              <w:keepNext w:val="0"/>
              <w:keepLines w:val="0"/>
              <w:pageBreakBefore w:val="0"/>
              <w:widowControl w:val="0"/>
              <w:suppressLineNumbers w:val="0"/>
              <w:tabs>
                <w:tab w:val="left" w:pos="2604"/>
              </w:tabs>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施工临时占地土地复垦，弃方回收利用</w:t>
            </w:r>
          </w:p>
        </w:tc>
        <w:tc>
          <w:tcPr>
            <w:tcW w:w="2457" w:type="dxa"/>
            <w:noWrap w:val="0"/>
            <w:vAlign w:val="center"/>
          </w:tcPr>
          <w:p>
            <w:pPr>
              <w:keepNext w:val="0"/>
              <w:keepLines w:val="0"/>
              <w:pageBreakBefore w:val="0"/>
              <w:widowControl w:val="0"/>
              <w:suppressLineNumbers w:val="0"/>
              <w:tabs>
                <w:tab w:val="left" w:pos="2604"/>
              </w:tabs>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要求管护人员在巡视和维护过程中，尽可能利用现有道路进行巡视和维护；加强对管护人员的日常工作教育，让工作人员认识到保护生态环境的重要性</w:t>
            </w:r>
          </w:p>
        </w:tc>
        <w:tc>
          <w:tcPr>
            <w:tcW w:w="1676" w:type="dxa"/>
            <w:noWrap w:val="0"/>
            <w:vAlign w:val="center"/>
          </w:tcPr>
          <w:p>
            <w:pPr>
              <w:keepNext w:val="0"/>
              <w:keepLines w:val="0"/>
              <w:pageBreakBefore w:val="0"/>
              <w:widowControl w:val="0"/>
              <w:suppressLineNumbers w:val="0"/>
              <w:tabs>
                <w:tab w:val="left" w:pos="2604"/>
              </w:tabs>
              <w:kinsoku/>
              <w:wordWrap/>
              <w:overflowPunct/>
              <w:topLinePunct w:val="0"/>
              <w:autoSpaceDE/>
              <w:autoSpaceDN/>
              <w:bidi w:val="0"/>
              <w:adjustRightInd/>
              <w:snapToGrid w:val="0"/>
              <w:spacing w:before="0" w:beforeAutospacing="0" w:after="0" w:afterAutospacing="0" w:line="0" w:lineRule="atLeast"/>
              <w:ind w:left="0" w:right="0"/>
              <w:jc w:val="center"/>
              <w:textAlignment w:val="auto"/>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30" w:hRule="atLeast"/>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水生生态</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kern w:val="2"/>
                <w:sz w:val="21"/>
                <w:szCs w:val="21"/>
                <w:lang w:val="en-US" w:eastAsia="zh-CN" w:bidi="ar-SA"/>
              </w:rPr>
              <w:t>/</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kern w:val="2"/>
                <w:sz w:val="21"/>
                <w:szCs w:val="21"/>
                <w:lang w:val="en-US" w:eastAsia="zh-CN" w:bidi="ar-SA"/>
              </w:rPr>
              <w:t>/</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kern w:val="2"/>
                <w:sz w:val="21"/>
                <w:szCs w:val="21"/>
                <w:lang w:val="en-US" w:eastAsia="zh-CN" w:bidi="ar-SA"/>
              </w:rPr>
              <w:t>/</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kern w:val="2"/>
                <w:sz w:val="21"/>
                <w:szCs w:val="21"/>
                <w:lang w:val="en-US" w:eastAsia="zh-CN" w:bidi="ar-SA"/>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地表水环境</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lang w:val="en-US" w:eastAsia="zh-CN"/>
              </w:rPr>
              <w:t>施工过程中在临时施工区设置沉淀池，设备清洗废水经沉淀池处理后，回用于施工场地洒水抑尘，不外排；施工现场厕所采用防渗旱厕，定期清掏。施工生活污水主要为施工人员的盥洗废水，用于场地泼洒抑尘；施工时间应选择枯水期，避开雨季，同时施工临时占地不设在湖林河附近</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lang w:val="en-US" w:eastAsia="zh-CN"/>
              </w:rPr>
              <w:t>管带机展开段</w:t>
            </w:r>
            <w:r>
              <w:rPr>
                <w:rFonts w:hint="eastAsia" w:ascii="Times New Roman" w:hAnsi="Times New Roman" w:eastAsia="宋体" w:cs="Times New Roman"/>
                <w:color w:val="auto"/>
                <w:szCs w:val="21"/>
                <w:lang w:val="en-US" w:eastAsia="zh-CN"/>
              </w:rPr>
              <w:t>、微干雾抑尘废水</w:t>
            </w:r>
            <w:r>
              <w:rPr>
                <w:rFonts w:hint="default" w:ascii="Times New Roman" w:hAnsi="Times New Roman" w:eastAsia="宋体" w:cs="Times New Roman"/>
                <w:color w:val="auto"/>
                <w:szCs w:val="21"/>
                <w:lang w:val="en-US" w:eastAsia="zh-CN"/>
              </w:rPr>
              <w:t>及机房冲洗废水经管道收集至沉淀池沉淀后回用于管带机展开段及机房地面冲洗，不外排</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eastAsia" w:ascii="Times New Roman" w:hAnsi="Times New Roman" w:eastAsia="宋体" w:cs="Times New Roman"/>
                <w:color w:val="auto"/>
                <w:szCs w:val="21"/>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91" w:hRule="atLeast"/>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地下水及土壤环境</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rPr>
              <w:t>/</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lang w:val="en-US" w:eastAsia="zh-CN"/>
              </w:rPr>
              <w:t>项目对区域实行分区防渗一般防渗区：转接机房的地面</w:t>
            </w:r>
            <w:r>
              <w:rPr>
                <w:rFonts w:hint="eastAsia" w:ascii="Times New Roman" w:hAnsi="Times New Roman" w:eastAsia="宋体" w:cs="Times New Roman"/>
                <w:color w:val="auto"/>
                <w:szCs w:val="21"/>
                <w:lang w:val="en-US" w:eastAsia="zh-CN"/>
              </w:rPr>
              <w:t>及沉淀池</w:t>
            </w:r>
            <w:r>
              <w:rPr>
                <w:rFonts w:hint="default" w:ascii="Times New Roman" w:hAnsi="Times New Roman" w:eastAsia="宋体" w:cs="Times New Roman"/>
                <w:color w:val="auto"/>
                <w:szCs w:val="21"/>
                <w:lang w:val="en-US" w:eastAsia="zh-CN"/>
              </w:rPr>
              <w:t>采用抗渗水泥浇筑，渗透系数≤1.0×10</w:t>
            </w:r>
            <w:r>
              <w:rPr>
                <w:rFonts w:hint="default" w:ascii="Times New Roman" w:hAnsi="Times New Roman" w:eastAsia="宋体" w:cs="Times New Roman"/>
                <w:color w:val="auto"/>
                <w:szCs w:val="21"/>
                <w:vertAlign w:val="superscript"/>
                <w:lang w:val="en-US" w:eastAsia="zh-CN"/>
              </w:rPr>
              <w:t>-7</w:t>
            </w:r>
            <w:r>
              <w:rPr>
                <w:rFonts w:hint="default" w:ascii="Times New Roman" w:hAnsi="Times New Roman" w:eastAsia="宋体" w:cs="Times New Roman"/>
                <w:color w:val="auto"/>
                <w:szCs w:val="21"/>
                <w:lang w:val="en-US" w:eastAsia="zh-CN"/>
              </w:rPr>
              <w:t>cm/s</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rPr>
            </w:pPr>
            <w:r>
              <w:rPr>
                <w:rFonts w:hint="default" w:ascii="Times New Roman" w:hAnsi="Times New Roman" w:eastAsia="宋体" w:cs="Times New Roman"/>
                <w:color w:val="auto"/>
                <w:szCs w:val="21"/>
                <w:highlight w:val="none"/>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声环境</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合理安排施工计划和施工机械设备组合以及施工时间，避免同一时间集中使用大量的动力机械设备。运载建筑材料及建筑垃圾的车辆要选择合适的时间路线进行运输，运输车辆行驶路线应选择外环路，尽量避开沿途可能的居民点和环境敏感点。对临近敏感点的施工段，施工场地外围采用围挡</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施工厂界噪声达到《建筑施工场界环境噪声排放标准》(GB12523-2011)</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管带机驱动装置、</w:t>
            </w:r>
            <w:r>
              <w:rPr>
                <w:rFonts w:hint="eastAsia" w:ascii="Times New Roman" w:hAnsi="Times New Roman" w:eastAsia="宋体" w:cs="Times New Roman"/>
                <w:color w:val="auto"/>
                <w:szCs w:val="21"/>
                <w:lang w:val="en-US" w:eastAsia="zh-CN"/>
              </w:rPr>
              <w:t>水泵</w:t>
            </w:r>
            <w:r>
              <w:rPr>
                <w:rFonts w:hint="default" w:ascii="Times New Roman" w:hAnsi="Times New Roman" w:eastAsia="宋体" w:cs="Times New Roman"/>
                <w:color w:val="auto"/>
                <w:szCs w:val="21"/>
                <w:lang w:val="en-US" w:eastAsia="zh-CN"/>
              </w:rPr>
              <w:t>、维修设备基础安装减振垫，置于双层彩钢结构站房内，综合降噪</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《工业企业厂界环境噪声排放标准》(GB12348-2008</w:t>
            </w:r>
            <w:r>
              <w:rPr>
                <w:rFonts w:hint="eastAsia" w:ascii="Times New Roman" w:hAnsi="Times New Roman" w:eastAsia="宋体" w:cs="Times New Roman"/>
                <w:color w:val="auto"/>
                <w:szCs w:val="21"/>
                <w:lang w:val="en-US" w:eastAsia="zh-CN"/>
              </w:rPr>
              <w:t>）</w:t>
            </w:r>
            <w:r>
              <w:rPr>
                <w:rFonts w:hint="default" w:ascii="Times New Roman" w:hAnsi="Times New Roman" w:eastAsia="宋体" w:cs="Times New Roman"/>
                <w:color w:val="auto"/>
                <w:szCs w:val="21"/>
                <w:lang w:val="en-US" w:eastAsia="zh-CN"/>
              </w:rPr>
              <w:t>中3类标准要求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振动</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eastAsia="zh-CN"/>
              </w:rPr>
            </w:pPr>
            <w:r>
              <w:rPr>
                <w:rFonts w:hint="eastAsia" w:ascii="Times New Roman" w:hAnsi="Times New Roman" w:eastAsia="宋体" w:cs="Times New Roman"/>
                <w:color w:val="auto"/>
                <w:szCs w:val="21"/>
                <w:lang w:eastAsia="zh-CN"/>
              </w:rPr>
              <w:t>大气环境</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施工期间遇大风、干燥季节，向施工地段地表洒水并保持一定湿度，以控制扬尘，并在沿途设置一定高度围挡。物料在运输及临时堆存过程中产生一定扬尘，采取运输时加盖苫布、临时堆场土方表面压实，采取遮盖措施，及时洒水抑尘等措施</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无二次扬尘产生。施工扬尘场界达标《施工场地扬尘排放标准》(DB13/2934-2019)</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b w:val="0"/>
                <w:bCs/>
                <w:color w:val="auto"/>
                <w:sz w:val="21"/>
                <w:szCs w:val="21"/>
                <w:highlight w:val="none"/>
                <w:vertAlign w:val="baseline"/>
                <w:lang w:val="en-US" w:eastAsia="zh-CN"/>
              </w:rPr>
              <w:t>转接机房封闭、导料槽及溜筒封闭、机房设置微干雾抑尘系统</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《钢铁工业大气污染物超低排放标准》(DB13/2169-2018)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8"/>
                <w:szCs w:val="21"/>
                <w:lang w:eastAsia="zh-CN"/>
              </w:rPr>
            </w:pPr>
            <w:r>
              <w:rPr>
                <w:rFonts w:hint="eastAsia" w:ascii="Times New Roman" w:hAnsi="Times New Roman" w:eastAsia="宋体" w:cs="Times New Roman"/>
                <w:color w:val="auto"/>
                <w:spacing w:val="-8"/>
                <w:szCs w:val="21"/>
                <w:lang w:eastAsia="zh-CN"/>
              </w:rPr>
              <w:t>固体废物</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建筑垃圾运至城市管理部门指定的消纳场地处置；施工人员的生活垃圾定点收集，送环卫部门指定地点处置</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合理处置，不外排</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废机油、废润滑油使用各自的废油桶收集，依托管廊项目危废间暂存，定期交给有资质单位统一处置；废皮带外售橡胶企业综合利用；沉淀池污泥定期清掏，外售综合利用；生活垃圾由环卫部门统一处理</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合理处置，不外排</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42" w:hRule="atLeast"/>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8"/>
                <w:szCs w:val="21"/>
                <w:lang w:eastAsia="zh-CN"/>
              </w:rPr>
            </w:pPr>
            <w:r>
              <w:rPr>
                <w:rFonts w:hint="eastAsia" w:ascii="Times New Roman" w:hAnsi="Times New Roman" w:eastAsia="宋体" w:cs="Times New Roman"/>
                <w:color w:val="auto"/>
                <w:spacing w:val="-8"/>
                <w:szCs w:val="21"/>
                <w:lang w:eastAsia="zh-CN"/>
              </w:rPr>
              <w:t>电磁环境</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03"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8"/>
                <w:szCs w:val="21"/>
                <w:lang w:eastAsia="zh-CN"/>
              </w:rPr>
            </w:pPr>
            <w:r>
              <w:rPr>
                <w:rFonts w:hint="eastAsia" w:ascii="Times New Roman" w:hAnsi="Times New Roman" w:eastAsia="宋体" w:cs="Times New Roman"/>
                <w:color w:val="auto"/>
                <w:spacing w:val="-8"/>
                <w:szCs w:val="21"/>
                <w:lang w:eastAsia="zh-CN"/>
              </w:rPr>
              <w:t>环境风险</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在日常管理中，建立岗位责任制，强调加强技术管理，建立完善的设备计划维修制度以及考核制度等；泄漏废油采用废油桶进行围截收集，及时送有资质的危废单位处置</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泄漏废油设置围截收集措施</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03" w:type="dxa"/>
            <w:vMerge w:val="restart"/>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8"/>
                <w:szCs w:val="21"/>
                <w:lang w:eastAsia="zh-CN"/>
              </w:rPr>
            </w:pPr>
            <w:r>
              <w:rPr>
                <w:rFonts w:hint="eastAsia" w:ascii="Times New Roman" w:hAnsi="Times New Roman" w:eastAsia="宋体" w:cs="Times New Roman"/>
                <w:color w:val="auto"/>
                <w:spacing w:val="-8"/>
                <w:szCs w:val="21"/>
                <w:lang w:eastAsia="zh-CN"/>
              </w:rPr>
              <w:t>环境检测</w:t>
            </w: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在主作业区安装扬尘在线监测设备，每个标段宜设置1～2</w:t>
            </w:r>
            <w:r>
              <w:rPr>
                <w:rFonts w:hint="eastAsia" w:ascii="Times New Roman" w:hAnsi="Times New Roman" w:eastAsia="宋体" w:cs="Times New Roman"/>
                <w:color w:val="auto"/>
                <w:szCs w:val="21"/>
                <w:lang w:val="en-US" w:eastAsia="zh-CN"/>
              </w:rPr>
              <w:t>个</w:t>
            </w:r>
            <w:r>
              <w:rPr>
                <w:rFonts w:hint="default" w:ascii="Times New Roman" w:hAnsi="Times New Roman" w:eastAsia="宋体" w:cs="Times New Roman"/>
                <w:color w:val="auto"/>
                <w:szCs w:val="21"/>
                <w:lang w:val="en-US" w:eastAsia="zh-CN"/>
              </w:rPr>
              <w:t>监测点位</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 xml:space="preserve">《施工场地扬尘排放标准》(DB13 </w:t>
            </w:r>
          </w:p>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/2934-2019)</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转接机房厂界无组织颗粒物1次/年</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《钢铁工业大气污染物超低排放标准》（DB13/2169-2018）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403" w:type="dxa"/>
            <w:vMerge w:val="continue"/>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pacing w:val="-8"/>
                <w:szCs w:val="21"/>
                <w:lang w:eastAsia="zh-CN"/>
              </w:rPr>
            </w:pPr>
          </w:p>
        </w:tc>
        <w:tc>
          <w:tcPr>
            <w:tcW w:w="2044"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default" w:ascii="Times New Roman" w:hAnsi="Times New Roman" w:eastAsia="宋体" w:cs="Times New Roman"/>
                <w:color w:val="auto"/>
                <w:szCs w:val="21"/>
                <w:lang w:val="en-US" w:eastAsia="zh-CN"/>
              </w:rPr>
            </w:pPr>
            <w:r>
              <w:rPr>
                <w:rFonts w:hint="default" w:ascii="Times New Roman" w:hAnsi="Times New Roman" w:eastAsia="宋体" w:cs="Times New Roman"/>
                <w:color w:val="auto"/>
                <w:szCs w:val="21"/>
                <w:lang w:val="en-US" w:eastAsia="zh-CN"/>
              </w:rPr>
              <w:t>监测项目：施工结束后，施工现场的挖方回填情况和生态环境恢复情况；监测频次：每年监测2次，共监测3年；监测点：项目部（1个）、施工生产区（1个）、施工便道（</w:t>
            </w:r>
            <w:r>
              <w:rPr>
                <w:rFonts w:hint="eastAsia" w:ascii="Times New Roman" w:hAnsi="Times New Roman" w:eastAsia="宋体" w:cs="Times New Roman"/>
                <w:color w:val="auto"/>
                <w:szCs w:val="21"/>
                <w:lang w:val="en-US" w:eastAsia="zh-CN"/>
              </w:rPr>
              <w:t>2</w:t>
            </w:r>
            <w:r>
              <w:rPr>
                <w:rFonts w:hint="default" w:ascii="Times New Roman" w:hAnsi="Times New Roman" w:eastAsia="宋体" w:cs="Times New Roman"/>
                <w:color w:val="auto"/>
                <w:szCs w:val="21"/>
                <w:lang w:val="en-US" w:eastAsia="zh-CN"/>
              </w:rPr>
              <w:t>个）</w:t>
            </w:r>
          </w:p>
        </w:tc>
        <w:tc>
          <w:tcPr>
            <w:tcW w:w="1480"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施工现场的挖方回填情况和生态环境恢复</w:t>
            </w:r>
          </w:p>
        </w:tc>
        <w:tc>
          <w:tcPr>
            <w:tcW w:w="2457"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各转接机房厂区边界外1m处等效连续A声级</w:t>
            </w:r>
          </w:p>
        </w:tc>
        <w:tc>
          <w:tcPr>
            <w:tcW w:w="1676" w:type="dxa"/>
            <w:noWrap w:val="0"/>
            <w:vAlign w:val="center"/>
          </w:tcPr>
          <w:p>
            <w:pPr>
              <w:keepNext w:val="0"/>
              <w:keepLines w:val="0"/>
              <w:suppressLineNumbers w:val="0"/>
              <w:adjustRightInd w:val="0"/>
              <w:snapToGrid w:val="0"/>
              <w:spacing w:before="0" w:beforeAutospacing="0" w:after="0" w:afterAutospacing="0" w:line="0" w:lineRule="atLeast"/>
              <w:ind w:left="0" w:right="0"/>
              <w:jc w:val="center"/>
              <w:rPr>
                <w:rFonts w:hint="eastAsia" w:ascii="Times New Roman" w:hAnsi="Times New Roman" w:eastAsia="宋体" w:cs="Times New Roman"/>
                <w:color w:val="auto"/>
                <w:szCs w:val="21"/>
                <w:lang w:val="en-US" w:eastAsia="zh-CN"/>
              </w:rPr>
            </w:pPr>
            <w:r>
              <w:rPr>
                <w:rFonts w:hint="eastAsia" w:ascii="Times New Roman" w:hAnsi="Times New Roman" w:eastAsia="宋体" w:cs="Times New Roman"/>
                <w:color w:val="auto"/>
                <w:szCs w:val="21"/>
                <w:lang w:val="en-US" w:eastAsia="zh-CN"/>
              </w:rPr>
              <w:t>《工业企业厂界环境噪声排放标准》3类（GB12348-2008）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77" w:hRule="atLeast"/>
          <w:jc w:val="center"/>
        </w:trPr>
        <w:tc>
          <w:tcPr>
            <w:tcW w:w="1403" w:type="dxa"/>
            <w:noWrap w:val="0"/>
            <w:vAlign w:val="center"/>
          </w:tcPr>
          <w:p>
            <w:pPr>
              <w:keepNext w:val="0"/>
              <w:keepLines w:val="0"/>
              <w:suppressLineNumbers w:val="0"/>
              <w:adjustRightInd w:val="0"/>
              <w:snapToGrid w:val="0"/>
              <w:spacing w:before="0" w:beforeAutospacing="0" w:after="0" w:afterAutospacing="0" w:line="360" w:lineRule="exact"/>
              <w:ind w:left="0" w:right="0"/>
              <w:jc w:val="center"/>
              <w:rPr>
                <w:rFonts w:hint="default" w:ascii="Times New Roman" w:hAnsi="Times New Roman" w:eastAsia="宋体" w:cs="Times New Roman"/>
                <w:color w:val="auto"/>
                <w:spacing w:val="-8"/>
                <w:szCs w:val="21"/>
              </w:rPr>
            </w:pPr>
            <w:r>
              <w:rPr>
                <w:rFonts w:hint="default" w:ascii="Times New Roman" w:hAnsi="Times New Roman" w:eastAsia="宋体" w:cs="Times New Roman"/>
                <w:color w:val="auto"/>
                <w:spacing w:val="-8"/>
                <w:szCs w:val="21"/>
              </w:rPr>
              <w:t>其他环境</w:t>
            </w:r>
          </w:p>
          <w:p>
            <w:pPr>
              <w:keepNext w:val="0"/>
              <w:keepLines w:val="0"/>
              <w:suppressLineNumbers w:val="0"/>
              <w:adjustRightInd w:val="0"/>
              <w:snapToGrid w:val="0"/>
              <w:spacing w:before="0" w:beforeAutospacing="0" w:after="0" w:afterAutospacing="0" w:line="360" w:lineRule="exact"/>
              <w:ind w:left="0" w:right="0"/>
              <w:jc w:val="center"/>
              <w:rPr>
                <w:rFonts w:hint="default" w:ascii="Times New Roman" w:hAnsi="Times New Roman" w:eastAsia="宋体" w:cs="Times New Roman"/>
                <w:color w:val="auto"/>
                <w:spacing w:val="-8"/>
                <w:szCs w:val="21"/>
              </w:rPr>
            </w:pPr>
            <w:r>
              <w:rPr>
                <w:rFonts w:hint="default" w:ascii="Times New Roman" w:hAnsi="Times New Roman" w:eastAsia="宋体" w:cs="Times New Roman"/>
                <w:color w:val="auto"/>
                <w:spacing w:val="-8"/>
                <w:szCs w:val="21"/>
              </w:rPr>
              <w:t>管理要求</w:t>
            </w:r>
          </w:p>
        </w:tc>
        <w:tc>
          <w:tcPr>
            <w:tcW w:w="7657" w:type="dxa"/>
            <w:gridSpan w:val="4"/>
            <w:noWrap w:val="0"/>
            <w:vAlign w:val="center"/>
          </w:tcPr>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1、环境影响评价制度与排污许可制衔接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根据《排污许可管理办法</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试行</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部令第 48 号</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、原环境保护部办公厅《关于做好环境影响</w:t>
            </w:r>
            <w:bookmarkStart w:id="11" w:name="_GoBack"/>
            <w:r>
              <w:rPr>
                <w:rFonts w:hint="default" w:ascii="Times New Roman" w:hAnsi="Times New Roman" w:eastAsia="宋体" w:cs="Times New Roman"/>
                <w:color w:val="auto"/>
                <w:lang w:val="en-US" w:eastAsia="zh-CN"/>
              </w:rPr>
              <w:t>评价制度与排污许可制衔接相关工作的通知》</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环办环评〔2017〕84 号</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，建设项目发生实际排污行为之前，排污单位应当按照国家环境保护相关法律法规以及排污许可证申请与核发技术规范要求申请排污许可证，不得无证排污或不按证排</w:t>
            </w:r>
            <w:bookmarkEnd w:id="11"/>
            <w:r>
              <w:rPr>
                <w:rFonts w:hint="default" w:ascii="Times New Roman" w:hAnsi="Times New Roman" w:eastAsia="宋体" w:cs="Times New Roman"/>
                <w:color w:val="auto"/>
                <w:lang w:val="en-US" w:eastAsia="zh-CN"/>
              </w:rPr>
              <w:t xml:space="preserve">污，环境保护部门通过对企事业单位发放排污许可证并依证监管实施排污许可制。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根据《固定污染源排污许可分类管理名录（2019年版）》</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部令第11号</w:t>
            </w:r>
            <w:r>
              <w:rPr>
                <w:rFonts w:hint="eastAsia" w:ascii="Times New Roman" w:hAnsi="Times New Roman" w:eastAsia="宋体" w:cs="Times New Roman"/>
                <w:color w:val="auto"/>
                <w:lang w:val="en-US" w:eastAsia="zh-CN"/>
              </w:rPr>
              <w:t>）</w:t>
            </w:r>
            <w:r>
              <w:rPr>
                <w:rFonts w:hint="default" w:ascii="Times New Roman" w:hAnsi="Times New Roman" w:eastAsia="宋体" w:cs="Times New Roman"/>
                <w:color w:val="auto"/>
                <w:lang w:val="en-US" w:eastAsia="zh-CN"/>
              </w:rPr>
              <w:t xml:space="preserve">，本项目不需办理排污许可证。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2、环境管理措施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管理是对人类生产、生活和社会活动实行控制性的影响，使外界事物按照人们的决策和计划方向进行和发展。随着我国环保法规的完善及严格执法，环境污染问题将极大的影响着企业的生存与发展。因此，环境管理应作为企业管理工作中的重要组成部分，企业应积极并主动地预防和治理，提高全体职工的环境意识，避免因管理不善而造成的环境污染风险。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2.1 施工期环境管理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为加强施工现场管理，防止施工扬尘污染和施工噪声扰民，本评价对项目施工期环境管理提出如下要求：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（1）建设单位应配备 1～2 名具有环保专业知识的技术人员，专职或兼职负责施工期的环境保护工作，其主要职责如下：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①根据国家及地方政策有关施工管理条例和施工操作规范，结合项目的特点，制定施工环境管理条例，为施工单位的施工活动提出具体要求；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②监督、检查施工单位对条例的执行情况；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③受理附近居民对施工过程中的环境保护意见，并及时与施工单位协商解决；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④参与有关环境纠纷和污染事故的调查处理工作。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（2）施工单位设置一名专职或兼职环境保护人员，其主要职责为：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①按建设单位和环境影响评价的要求制定文明施工计划，向当地环保行政部门提交施工阶段环境保护报告，内容应包括：工程进度、主要施工内容及方法、造成的环境影响</w:t>
            </w:r>
            <w:r>
              <w:rPr>
                <w:rFonts w:hint="eastAsia" w:ascii="Times New Roman" w:hAnsi="Times New Roman" w:eastAsia="宋体" w:cs="Times New Roman"/>
                <w:color w:val="auto"/>
                <w:lang w:val="en-US" w:eastAsia="zh-CN"/>
              </w:rPr>
              <w:t>评估</w:t>
            </w:r>
            <w:r>
              <w:rPr>
                <w:rFonts w:hint="default" w:ascii="Times New Roman" w:hAnsi="Times New Roman" w:eastAsia="宋体" w:cs="Times New Roman"/>
                <w:color w:val="auto"/>
                <w:lang w:val="en-US" w:eastAsia="zh-CN"/>
              </w:rPr>
              <w:t xml:space="preserve">以及减缓环境影响措施的落实情况；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②与业主单位环保人员一同制定本项目施工环境管理条例；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③定期检查施工过程中环境管理条例实施情况，并督促有关人员进行整改；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④定期听取环保部门、建设单位和周围居民对施工污染影响的意见，以便进一步加强文明施工。</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2.2 营运期环境管理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（1）根据本项目实际情况制定环境管理制度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①明确1名管理人员主管环保工作，主要职责如下：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执行环境保护法规和标准。负责本项目设计、施工及运营期各项环保措施及监测计划的实施。建立项目的环境管理规章制度，并经常检查督促。编制项目的环境保护规划和计划，并组织实施。领导和组织项目建设过程中的环境监测，建立监测档案。搞好环境保护知识的普及和培训，提高人员的环保意识。建立项目的污染物处理处置和环保设施运转的规章制度。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②明确一名技术人员为专职环保员，环保专职人员必须经过培训，考核合格后才能上岗，并接受当地环保部门的技术指导和业务监督。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环保专职人员管理责任如下：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制定并实施环保工作的长期规划及年度污染治理计划；定期检查环保设施的运行状况，定期对环保设施进行维修与管理，严格控制“三废”的排放。调查处理污染事故及污染纠纷；组织“三废”处理利用技术的研究；建立污染突发事故分类分级档案和处理制度。及时了解国家、地方有关环境保护的法律、法规和其他要求，及时向环境保护主管机构反映与项目有关的污染因素、存在的环境问题、采取污染控制对策等环境保护方面的内容，听取环境保护主管机构的意见。及时将国家、地方环境保护有关的法律、法规和规定向单位负责人汇报，及时向本单位有关机构、人员通报，组织职工进行环境保护方面的教育、培训，提高环保意识。及时向单位负责人汇报与本项目有关的污染因素、存在的环境问题、采取的污染控制对策、实施情况等，提出改进建议。负责制定、监督实施本单位的有关环境保护管理规章制度，负责实施污染控制措施、管理污染治理措施，并进行详细的记录，以备检查。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③建设单位必须保证所有环保设备的正常运行，并保证各类污染物达到国家的排放标准和管理要求。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④对全部设施正常运行情况下，最大的污染物排放量和主要噪声设备向当地环保管理部门进行申报登记，并重新办理排污许可证等事宜。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⑤建立定期检查与监测制度，定期检查生产设备和污染处置设施的运行情况，保证设备的完好和正常运转。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⑥将所有环境管理工作建立工作档案，并全部予以文件化。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rPr>
            </w:pPr>
            <w:r>
              <w:rPr>
                <w:rFonts w:hint="default" w:ascii="Times New Roman" w:hAnsi="Times New Roman" w:eastAsia="宋体" w:cs="Times New Roman"/>
                <w:color w:val="auto"/>
                <w:lang w:val="en-US" w:eastAsia="zh-CN"/>
              </w:rPr>
              <w:t xml:space="preserve">（2）企业环境信息公开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建设单位应按照《企业环境信息依法披露管理办法》相关要求公开企业环境信息，具体要求如下：</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1.</w:t>
            </w:r>
            <w:r>
              <w:rPr>
                <w:rFonts w:hint="default" w:ascii="Times New Roman" w:hAnsi="Times New Roman" w:eastAsia="宋体" w:cs="Times New Roman"/>
                <w:color w:val="auto"/>
                <w:lang w:val="en-US" w:eastAsia="zh-CN"/>
              </w:rPr>
              <w:t>企业应当建立健全环境信息依法披露管理制度，规范工作规程，明确工作职责，建立准确的环境信息管理台账，妥善保存相关原始记录，科学统计归集相关环境信息。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企业披露环境信息所使用的相关数据及表述应当符合环境监测、环境统计等方面的标准和技术规范要求，优先使用符合国家监测规范的污染物监测数据、排污许可证执行报告数据等。</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2.</w:t>
            </w:r>
            <w:r>
              <w:rPr>
                <w:rFonts w:hint="default" w:ascii="Times New Roman" w:hAnsi="Times New Roman" w:eastAsia="宋体" w:cs="Times New Roman"/>
                <w:color w:val="auto"/>
                <w:lang w:val="en-US" w:eastAsia="zh-CN"/>
              </w:rPr>
              <w:t>企业年度环境信息依法披露报告应当包括以下内容：</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①企业基本信息，包括企业生产和生态环境保护等方面的基础信息；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②企业环境管理信息，包括生态环境行政许可、环境保护税、环境污染责任保险、环保信用评价等方面的信息；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③污染物产生、治理与排放信息，包括污染防治设施，污染物排放，有毒有害物质排放，工业固体废物和危险废物产生、贮存、流向、利用、处置，自行监测等方面的信息；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④碳排放信息，包括排放量、排放设施等方面的信息；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⑤生态环境应急信息，包括突发环境事件应急预案、重污染天气应急响应等方面的信息；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⑥生态环境违法信息；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⑦本年度临时环境信息依法披露情况；</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⑧法律法规规定的其他环境信息。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3.</w:t>
            </w:r>
            <w:r>
              <w:rPr>
                <w:rFonts w:hint="default" w:ascii="Times New Roman" w:hAnsi="Times New Roman" w:eastAsia="宋体" w:cs="Times New Roman"/>
                <w:color w:val="auto"/>
                <w:lang w:val="en-US" w:eastAsia="zh-CN"/>
              </w:rPr>
              <w:t>企业应当自收到相关法律文书之日起五个工作日内，以临时环境信息依法披露报告的形式，披露以下环境信息：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①生态环境行政许可准予、变更、延续、撤销等信息；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②因生态环境违法行为受到行政处罚的信息；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③因生态环境违法行为，其法定代表人、主要负责人、直接负责的主管人员和其他直接责任人员被依法处以行政拘留的信息；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④因生态环境违法行为，企业或者其法定代表人、主要负责人、直接负责的主管人员和其他直接责任人员被追究刑事责任的信息；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⑤生态环境损害赔偿及协议信息。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企业发生突发环境事件的，应当依照有关法律法规规定披露相关信息</w:t>
            </w:r>
            <w:r>
              <w:rPr>
                <w:rFonts w:hint="eastAsia" w:ascii="Times New Roman" w:hAnsi="Times New Roman" w:eastAsia="宋体" w:cs="Times New Roman"/>
                <w:color w:val="auto"/>
                <w:lang w:val="en-US" w:eastAsia="zh-CN"/>
              </w:rPr>
              <w:t>。</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eastAsia" w:ascii="Times New Roman" w:hAnsi="Times New Roman" w:eastAsia="宋体" w:cs="Times New Roman"/>
                <w:color w:val="auto"/>
                <w:lang w:val="en-US" w:eastAsia="zh-CN"/>
              </w:rPr>
              <w:t>4.</w:t>
            </w:r>
            <w:r>
              <w:rPr>
                <w:rFonts w:hint="default" w:ascii="Times New Roman" w:hAnsi="Times New Roman" w:eastAsia="宋体" w:cs="Times New Roman"/>
                <w:color w:val="auto"/>
                <w:lang w:val="en-US" w:eastAsia="zh-CN"/>
              </w:rPr>
              <w:t>企业可以根据实际情况对已披露的环境信息进行变更；进行变更的，应当以临时环境信息依法披露报告的形式变更，并说明变更事项和理由。</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企业应当于每年3月15日前披露上一年度1月1日至12月31日的环境信息。</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3、排污口规范化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项目投入运营后，建设单位需依据相关要求设置规范化排污口。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（1）排污口立标要求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①依据国</w:t>
            </w:r>
            <w:r>
              <w:rPr>
                <w:rFonts w:hint="eastAsia" w:ascii="Times New Roman" w:hAnsi="Times New Roman" w:eastAsia="宋体" w:cs="Times New Roman"/>
                <w:color w:val="auto"/>
                <w:lang w:val="en-US" w:eastAsia="zh-CN"/>
              </w:rPr>
              <w:t>家</w:t>
            </w:r>
            <w:r>
              <w:rPr>
                <w:rFonts w:hint="default" w:ascii="Times New Roman" w:hAnsi="Times New Roman" w:eastAsia="宋体" w:cs="Times New Roman"/>
                <w:color w:val="auto"/>
                <w:lang w:val="en-US" w:eastAsia="zh-CN"/>
              </w:rPr>
              <w:t xml:space="preserve">标准《环境保护图形标志》（GB15562.1-1995）、（GB15562.2-1995）的相关规定，设置环境保护图形标识，标明排放单位，排放口编号，污染物种类等。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②排放口（源）及固体废物贮存场所使用国家环保部门统一制作和监制的环境保护图形标志牌，标志牌应位于醒目处，并长久保留。其中，噪声排放源标志牌应设置在距选定监测点较近且醒目处，设置高度一般为环境保护图形标志牌上缘距离地面2m。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（2）排污口建档要求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①使用由国家环境保护部门统一印制的《中华人民共和国规范化排污口标志登记证》，并按要求填写相关内容。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②登记证一览表中的标志牌的编号与标志牌辅助标志上的编号相一致。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（3）排污口管理要求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 xml:space="preserve">①规范化整治排污口的有关设施，将环境保护设施纳入本单位设备管理，制定相应的管理办法和规章制度。 </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default" w:ascii="Times New Roman" w:hAnsi="Times New Roman" w:eastAsia="宋体" w:cs="Times New Roman"/>
                <w:color w:val="auto"/>
                <w:lang w:val="en-US" w:eastAsia="zh-CN"/>
              </w:rPr>
            </w:pPr>
            <w:r>
              <w:rPr>
                <w:rFonts w:hint="default" w:ascii="Times New Roman" w:hAnsi="Times New Roman" w:eastAsia="宋体" w:cs="Times New Roman"/>
                <w:color w:val="auto"/>
                <w:lang w:val="en-US" w:eastAsia="zh-CN"/>
              </w:rPr>
              <w:t>②排污单位应选派责任心强，有专业知识和技能的兼、专职人员对排污口进行管理，做到责任明确、奖罚分明。</w:t>
            </w: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eastAsia" w:ascii="Times New Roman" w:hAnsi="Times New Roman" w:eastAsia="宋体" w:cs="Times New Roman"/>
                <w:color w:val="auto"/>
                <w:szCs w:val="21"/>
                <w:lang w:eastAsia="zh-CN"/>
              </w:rPr>
            </w:pP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eastAsia" w:ascii="Times New Roman" w:hAnsi="Times New Roman" w:eastAsia="宋体" w:cs="Times New Roman"/>
                <w:color w:val="auto"/>
                <w:szCs w:val="21"/>
                <w:lang w:eastAsia="zh-CN"/>
              </w:rPr>
            </w:pPr>
          </w:p>
          <w:p>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500" w:lineRule="exact"/>
              <w:ind w:left="0" w:right="0" w:firstLine="420" w:firstLineChars="200"/>
              <w:textAlignment w:val="auto"/>
              <w:rPr>
                <w:rFonts w:hint="eastAsia" w:ascii="Times New Roman" w:hAnsi="Times New Roman" w:eastAsia="宋体" w:cs="Times New Roman"/>
                <w:color w:val="auto"/>
                <w:szCs w:val="21"/>
                <w:lang w:eastAsia="zh-CN"/>
              </w:rPr>
            </w:pPr>
          </w:p>
        </w:tc>
      </w:tr>
    </w:tbl>
    <w:p>
      <w:pPr>
        <w:pStyle w:val="23"/>
        <w:jc w:val="center"/>
        <w:outlineLvl w:val="0"/>
        <w:rPr>
          <w:rFonts w:ascii="黑体" w:hAnsi="黑体" w:eastAsia="黑体"/>
          <w:snapToGrid w:val="0"/>
          <w:color w:val="auto"/>
          <w:sz w:val="30"/>
          <w:szCs w:val="30"/>
        </w:rPr>
      </w:pPr>
      <w:r>
        <w:rPr>
          <w:snapToGrid w:val="0"/>
          <w:color w:val="auto"/>
        </w:rPr>
        <w:br w:type="page"/>
      </w:r>
      <w:bookmarkStart w:id="9" w:name="_Toc28508"/>
      <w:r>
        <w:rPr>
          <w:rFonts w:hint="eastAsia" w:ascii="黑体" w:hAnsi="黑体" w:eastAsia="黑体"/>
          <w:snapToGrid w:val="0"/>
          <w:color w:val="auto"/>
          <w:sz w:val="30"/>
          <w:szCs w:val="30"/>
          <w:lang w:eastAsia="zh-CN"/>
        </w:rPr>
        <w:t>七</w:t>
      </w:r>
      <w:r>
        <w:rPr>
          <w:rFonts w:hint="eastAsia" w:ascii="黑体" w:hAnsi="黑体" w:eastAsia="黑体"/>
          <w:snapToGrid w:val="0"/>
          <w:color w:val="auto"/>
          <w:sz w:val="30"/>
          <w:szCs w:val="30"/>
        </w:rPr>
        <w:t>、结论</w:t>
      </w:r>
      <w:bookmarkEnd w:id="9"/>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5"/>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991" w:hRule="atLeast"/>
          <w:jc w:val="center"/>
        </w:trPr>
        <w:tc>
          <w:tcPr>
            <w:tcW w:w="886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0" w:firstLine="480" w:firstLineChars="200"/>
              <w:jc w:val="both"/>
              <w:textAlignment w:val="auto"/>
              <w:rPr>
                <w:rFonts w:ascii="宋体" w:hAnsi="Calibri" w:eastAsia="宋体" w:cs="宋体"/>
                <w:color w:val="auto"/>
                <w:sz w:val="24"/>
              </w:rPr>
            </w:pPr>
            <w:bookmarkStart w:id="10" w:name="_Toc183231282"/>
            <w:r>
              <w:rPr>
                <w:rFonts w:hint="eastAsia" w:ascii="Times New Roman" w:hAnsi="Times New Roman" w:eastAsia="宋体" w:cs="Times New Roman"/>
                <w:color w:val="auto"/>
                <w:kern w:val="0"/>
                <w:sz w:val="24"/>
                <w:szCs w:val="24"/>
                <w:lang w:val="en-US" w:eastAsia="zh-CN"/>
              </w:rPr>
              <w:t>综合以上分析，唐山环港廊道运输有限公司投资</w:t>
            </w:r>
            <w:r>
              <w:rPr>
                <w:rFonts w:hint="eastAsia" w:ascii="Times New Roman" w:hAnsi="Times New Roman" w:eastAsia="宋体" w:cs="Times New Roman"/>
                <w:color w:val="auto"/>
                <w:kern w:val="0"/>
                <w:sz w:val="24"/>
                <w:szCs w:val="24"/>
                <w:highlight w:val="none"/>
                <w:lang w:val="en-US" w:eastAsia="zh-CN"/>
              </w:rPr>
              <w:t>70780.63万</w:t>
            </w:r>
            <w:r>
              <w:rPr>
                <w:rFonts w:hint="eastAsia" w:ascii="Times New Roman" w:hAnsi="Times New Roman" w:eastAsia="宋体" w:cs="Times New Roman"/>
                <w:color w:val="auto"/>
                <w:kern w:val="0"/>
                <w:sz w:val="24"/>
                <w:szCs w:val="24"/>
                <w:lang w:val="en-US" w:eastAsia="zh-CN"/>
              </w:rPr>
              <w:t>元建设的</w:t>
            </w:r>
            <w:r>
              <w:rPr>
                <w:rFonts w:hint="eastAsia" w:ascii="Times New Roman" w:hAnsi="Times New Roman" w:eastAsia="宋体" w:cs="Times New Roman"/>
                <w:color w:val="auto"/>
                <w:kern w:val="0"/>
                <w:sz w:val="24"/>
                <w:szCs w:val="24"/>
                <w:lang w:eastAsia="zh-CN"/>
              </w:rPr>
              <w:t>唐山环港廊道港区连接线项目</w:t>
            </w:r>
            <w:r>
              <w:rPr>
                <w:rFonts w:hint="eastAsia" w:ascii="Times New Roman" w:hAnsi="Times New Roman" w:eastAsia="宋体" w:cs="Times New Roman"/>
                <w:color w:val="auto"/>
                <w:kern w:val="0"/>
                <w:sz w:val="24"/>
                <w:szCs w:val="24"/>
                <w:lang w:val="en-US" w:eastAsia="zh-CN"/>
              </w:rPr>
              <w:t>符合国家和地方相关产业政策要求；项目选址符合规划，选址选线基本合理；采取了完善的环保治理措施，可确保各类污染源的稳定达标排放；项目实施后不会对周围环境产生明显影响。因此，本评价从环保角度分析认为项目的建设是可行的。</w:t>
            </w:r>
            <w:bookmarkEnd w:id="10"/>
          </w:p>
        </w:tc>
      </w:tr>
    </w:tbl>
    <w:p>
      <w:pPr>
        <w:rPr>
          <w:rFonts w:ascii="宋体" w:hAnsi="宋体" w:eastAsia="黑体"/>
          <w:color w:val="auto"/>
        </w:rPr>
      </w:pPr>
    </w:p>
    <w:sectPr>
      <w:footerReference r:id="rId5" w:type="default"/>
      <w:pgSz w:w="11905" w:h="16838"/>
      <w:pgMar w:top="1701" w:right="1531" w:bottom="1701" w:left="1531" w:header="851" w:footer="1077" w:gutter="0"/>
      <w:pgBorders>
        <w:top w:val="none" w:sz="0" w:space="0"/>
        <w:left w:val="none" w:sz="0" w:space="0"/>
        <w:bottom w:val="none" w:sz="0" w:space="0"/>
        <w:right w:val="none" w:sz="0" w:space="0"/>
      </w:pgBorders>
      <w:pgNumType w:fmt="decimal"/>
      <w:cols w:space="720" w:num="1"/>
      <w:rtlGutter w:val="0"/>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华康简仿宋">
    <w:altName w:val="宋体"/>
    <w:panose1 w:val="00000000000000000000"/>
    <w:charset w:val="86"/>
    <w:family w:val="modern"/>
    <w:pitch w:val="default"/>
    <w:sig w:usb0="00000000" w:usb1="00000000" w:usb2="00000010" w:usb3="00000000" w:csb0="00040000" w:csb1="00000000"/>
  </w:font>
  <w:font w:name="华文中宋">
    <w:panose1 w:val="02010600040101010101"/>
    <w:charset w:val="86"/>
    <w:family w:val="auto"/>
    <w:pitch w:val="default"/>
    <w:sig w:usb0="00000287" w:usb1="080F0000" w:usb2="00000000" w:usb3="00000000" w:csb0="0004009F" w:csb1="DFD70000"/>
  </w:font>
  <w:font w:name="Cambria">
    <w:panose1 w:val="02040503050406030204"/>
    <w:charset w:val="00"/>
    <w:family w:val="roman"/>
    <w:pitch w:val="default"/>
    <w:sig w:usb0="E00002FF" w:usb1="400004FF" w:usb2="0000000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Arial Black">
    <w:panose1 w:val="020B0A04020102020204"/>
    <w:charset w:val="00"/>
    <w:family w:val="swiss"/>
    <w:pitch w:val="default"/>
    <w:sig w:usb0="00000287" w:usb1="00000000" w:usb2="00000000" w:usb3="00000000" w:csb0="2000009F" w:csb1="DFD70000"/>
  </w:font>
  <w:font w:name="方正小标宋_GBK">
    <w:altName w:val="微软雅黑"/>
    <w:panose1 w:val="03000509000000000000"/>
    <w:charset w:val="86"/>
    <w:family w:val="script"/>
    <w:pitch w:val="default"/>
    <w:sig w:usb0="00000000" w:usb1="00000000" w:usb2="00000010" w:usb3="00000000" w:csb0="00040000"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Wingdings 2">
    <w:panose1 w:val="05020102010507070707"/>
    <w:charset w:val="02"/>
    <w:family w:val="roman"/>
    <w:pitch w:val="default"/>
    <w:sig w:usb0="00000000" w:usb1="00000000" w:usb2="00000000" w:usb3="00000000" w:csb0="80000000"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right="360"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right="360" w:firstLine="360"/>
      <w:jc w:val="center"/>
    </w:pPr>
    <w:r>
      <w:pict>
        <v:shape id="_x0000_s2052" o:spid="_x0000_s2052"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weight="1.25pt"/>
          <v:imagedata o:title=""/>
          <o:lock v:ext="edit" aspectratio="f"/>
          <v:textbox inset="0mm,0mm,0mm,0mm" style="mso-fit-shape-to-text:t;">
            <w:txbxContent>
              <w:p>
                <w:pPr>
                  <w:pStyle w:val="21"/>
                  <w:rPr>
                    <w:rStyle w:val="31"/>
                    <w:rFonts w:ascii="宋体" w:hAnsi="宋体"/>
                    <w:sz w:val="24"/>
                    <w:szCs w:val="24"/>
                  </w:rPr>
                </w:pPr>
                <w:r>
                  <w:rPr>
                    <w:rStyle w:val="31"/>
                    <w:rFonts w:ascii="宋体" w:hAnsi="宋体"/>
                    <w:sz w:val="24"/>
                    <w:szCs w:val="24"/>
                  </w:rPr>
                  <w:fldChar w:fldCharType="begin"/>
                </w:r>
                <w:r>
                  <w:rPr>
                    <w:rStyle w:val="31"/>
                    <w:rFonts w:ascii="宋体" w:hAnsi="宋体"/>
                    <w:sz w:val="24"/>
                    <w:szCs w:val="24"/>
                  </w:rPr>
                  <w:instrText xml:space="preserve"> PAGE  \* MERGEFORMAT </w:instrText>
                </w:r>
                <w:r>
                  <w:rPr>
                    <w:rStyle w:val="31"/>
                    <w:rFonts w:ascii="宋体" w:hAnsi="宋体"/>
                    <w:sz w:val="24"/>
                    <w:szCs w:val="24"/>
                  </w:rPr>
                  <w:fldChar w:fldCharType="separate"/>
                </w:r>
                <w:r>
                  <w:rPr>
                    <w:rStyle w:val="31"/>
                    <w:rFonts w:ascii="宋体" w:hAnsi="宋体"/>
                    <w:sz w:val="24"/>
                    <w:szCs w:val="24"/>
                  </w:rPr>
                  <w:t>1</w:t>
                </w:r>
                <w:r>
                  <w:rPr>
                    <w:rStyle w:val="31"/>
                    <w:rFonts w:ascii="宋体" w:hAnsi="宋体"/>
                    <w:sz w:val="24"/>
                    <w:szCs w:val="24"/>
                  </w:rPr>
                  <w:fldChar w:fldCharType="end"/>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1"/>
      <w:ind w:right="360" w:firstLine="360"/>
      <w:jc w:val="center"/>
    </w:pPr>
    <w:r>
      <w:pict>
        <v:shape id="_x0000_s2051" o:spid="_x0000_s2051"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weight="1.25pt"/>
          <v:imagedata o:title=""/>
          <o:lock v:ext="edit" aspectratio="f"/>
          <v:textbox inset="0mm,0mm,0mm,0mm" style="mso-fit-shape-to-text:t;">
            <w:txbxContent>
              <w:p>
                <w:pPr>
                  <w:pStyle w:val="21"/>
                  <w:rPr>
                    <w:rStyle w:val="31"/>
                    <w:rFonts w:hint="default" w:ascii="Times New Roman" w:hAnsi="Times New Roman" w:cs="Times New Roman"/>
                    <w:sz w:val="24"/>
                    <w:szCs w:val="24"/>
                  </w:rPr>
                </w:pPr>
                <w:r>
                  <w:rPr>
                    <w:rStyle w:val="31"/>
                    <w:rFonts w:hint="default" w:ascii="Times New Roman" w:hAnsi="Times New Roman" w:cs="Times New Roman"/>
                    <w:sz w:val="24"/>
                    <w:szCs w:val="24"/>
                  </w:rPr>
                  <w:fldChar w:fldCharType="begin"/>
                </w:r>
                <w:r>
                  <w:rPr>
                    <w:rStyle w:val="31"/>
                    <w:rFonts w:hint="default" w:ascii="Times New Roman" w:hAnsi="Times New Roman" w:cs="Times New Roman"/>
                    <w:sz w:val="24"/>
                    <w:szCs w:val="24"/>
                  </w:rPr>
                  <w:instrText xml:space="preserve"> PAGE  \* MERGEFORMAT </w:instrText>
                </w:r>
                <w:r>
                  <w:rPr>
                    <w:rStyle w:val="31"/>
                    <w:rFonts w:hint="default" w:ascii="Times New Roman" w:hAnsi="Times New Roman" w:cs="Times New Roman"/>
                    <w:sz w:val="24"/>
                    <w:szCs w:val="24"/>
                  </w:rPr>
                  <w:fldChar w:fldCharType="separate"/>
                </w:r>
                <w:r>
                  <w:rPr>
                    <w:rStyle w:val="31"/>
                    <w:rFonts w:hint="default" w:ascii="Times New Roman" w:hAnsi="Times New Roman" w:cs="Times New Roman"/>
                    <w:sz w:val="24"/>
                    <w:szCs w:val="24"/>
                  </w:rPr>
                  <w:t>72</w:t>
                </w:r>
                <w:r>
                  <w:rPr>
                    <w:rStyle w:val="31"/>
                    <w:rFonts w:hint="default" w:ascii="Times New Roman" w:hAnsi="Times New Roman" w:cs="Times New Roman"/>
                    <w:sz w:val="24"/>
                    <w:szCs w:val="24"/>
                  </w:rPr>
                  <w:fldChar w:fldCharType="end"/>
                </w:r>
              </w:p>
            </w:txbxContent>
          </v:textbox>
        </v:shape>
      </w:pic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420"/>
  <w:hyphenationZone w:val="360"/>
  <w:drawingGridVerticalSpacing w:val="156"/>
  <w:displayHorizontalDrawingGridEvery w:val="1"/>
  <w:displayVerticalDrawingGridEvery w:val="1"/>
  <w:noPunctuationKerning w:val="1"/>
  <w:characterSpacingControl w:val="compressPunctuation"/>
  <w:noLineBreaksAfter w:lang="zh-CN" w:val="([{·‘“〈《「『【〔〖（．［｛￡￥"/>
  <w:noLineBreaksBefore w:lang="zh-CN" w:val="!),.:;?]}¨·ˇˉ―‖’”…∶、。〃々〉》」』】〕〗！＂＇），．：；？］｀｜｝～￠"/>
  <w:doNotValidateAgainstSchema/>
  <w:doNotDemarcateInvalidXml/>
  <w:hdrShapeDefaults>
    <o:shapelayout v:ext="edit">
      <o:idmap v:ext="edit" data="2"/>
    </o:shapelayout>
  </w:hdrShapeDefaults>
  <w:compat>
    <w:spaceForUL/>
    <w:balanceSingleByteDoubleByteWidth/>
    <w:doNotLeaveBackslashAlon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WY3NTJkYWY3YmQ4MWE3MmEzMTA2Mjc1NjA2NDgwM2MifQ=="/>
  </w:docVars>
  <w:rsids>
    <w:rsidRoot w:val="00172A27"/>
    <w:rsid w:val="000060B3"/>
    <w:rsid w:val="000417F0"/>
    <w:rsid w:val="0004364B"/>
    <w:rsid w:val="00061B1F"/>
    <w:rsid w:val="000733C4"/>
    <w:rsid w:val="00074783"/>
    <w:rsid w:val="0008070B"/>
    <w:rsid w:val="000810AC"/>
    <w:rsid w:val="00081A02"/>
    <w:rsid w:val="00082231"/>
    <w:rsid w:val="00092D38"/>
    <w:rsid w:val="0009377B"/>
    <w:rsid w:val="00096BB8"/>
    <w:rsid w:val="000A20C9"/>
    <w:rsid w:val="000B058F"/>
    <w:rsid w:val="000B4467"/>
    <w:rsid w:val="000B4DB9"/>
    <w:rsid w:val="000C09AC"/>
    <w:rsid w:val="000C767F"/>
    <w:rsid w:val="000D4918"/>
    <w:rsid w:val="000D5A44"/>
    <w:rsid w:val="000E3ED2"/>
    <w:rsid w:val="000F1414"/>
    <w:rsid w:val="000F689A"/>
    <w:rsid w:val="00131F42"/>
    <w:rsid w:val="001357F1"/>
    <w:rsid w:val="0013659F"/>
    <w:rsid w:val="00140FA8"/>
    <w:rsid w:val="00142FEB"/>
    <w:rsid w:val="00143A2D"/>
    <w:rsid w:val="00145A41"/>
    <w:rsid w:val="001467BC"/>
    <w:rsid w:val="00151675"/>
    <w:rsid w:val="001546B6"/>
    <w:rsid w:val="00157435"/>
    <w:rsid w:val="0017504D"/>
    <w:rsid w:val="0017671A"/>
    <w:rsid w:val="00177422"/>
    <w:rsid w:val="00184590"/>
    <w:rsid w:val="001870D1"/>
    <w:rsid w:val="0018781E"/>
    <w:rsid w:val="0019262D"/>
    <w:rsid w:val="001A1B35"/>
    <w:rsid w:val="001A48A2"/>
    <w:rsid w:val="001A6F61"/>
    <w:rsid w:val="001A7293"/>
    <w:rsid w:val="001A7AAC"/>
    <w:rsid w:val="001B4347"/>
    <w:rsid w:val="001B72B8"/>
    <w:rsid w:val="001C69B3"/>
    <w:rsid w:val="001D3D00"/>
    <w:rsid w:val="001D5595"/>
    <w:rsid w:val="001D7874"/>
    <w:rsid w:val="001D7F22"/>
    <w:rsid w:val="001E4AA6"/>
    <w:rsid w:val="001F0F17"/>
    <w:rsid w:val="001F3347"/>
    <w:rsid w:val="001F69E4"/>
    <w:rsid w:val="0020488B"/>
    <w:rsid w:val="002125B4"/>
    <w:rsid w:val="002155B8"/>
    <w:rsid w:val="00220DEE"/>
    <w:rsid w:val="00224839"/>
    <w:rsid w:val="002249B2"/>
    <w:rsid w:val="00226574"/>
    <w:rsid w:val="002278EC"/>
    <w:rsid w:val="0023280E"/>
    <w:rsid w:val="002377D1"/>
    <w:rsid w:val="002506BC"/>
    <w:rsid w:val="00254345"/>
    <w:rsid w:val="00264557"/>
    <w:rsid w:val="002801B0"/>
    <w:rsid w:val="002805AB"/>
    <w:rsid w:val="00284204"/>
    <w:rsid w:val="00291773"/>
    <w:rsid w:val="00291E95"/>
    <w:rsid w:val="00292D8B"/>
    <w:rsid w:val="002A168C"/>
    <w:rsid w:val="002A3DC7"/>
    <w:rsid w:val="002B49E2"/>
    <w:rsid w:val="002B7B00"/>
    <w:rsid w:val="002B7C44"/>
    <w:rsid w:val="002C2B17"/>
    <w:rsid w:val="002C4E0F"/>
    <w:rsid w:val="002D2E86"/>
    <w:rsid w:val="002D3DD0"/>
    <w:rsid w:val="002D6601"/>
    <w:rsid w:val="002E1F3A"/>
    <w:rsid w:val="002E298A"/>
    <w:rsid w:val="002E3DF0"/>
    <w:rsid w:val="002F79FA"/>
    <w:rsid w:val="00301978"/>
    <w:rsid w:val="0030332C"/>
    <w:rsid w:val="003051C2"/>
    <w:rsid w:val="00312296"/>
    <w:rsid w:val="00314F0E"/>
    <w:rsid w:val="00315A31"/>
    <w:rsid w:val="00321D8E"/>
    <w:rsid w:val="00325928"/>
    <w:rsid w:val="00332863"/>
    <w:rsid w:val="0033684D"/>
    <w:rsid w:val="00337B42"/>
    <w:rsid w:val="00341B42"/>
    <w:rsid w:val="0034348F"/>
    <w:rsid w:val="0035323C"/>
    <w:rsid w:val="00356653"/>
    <w:rsid w:val="0035743F"/>
    <w:rsid w:val="0035792C"/>
    <w:rsid w:val="00357BE2"/>
    <w:rsid w:val="0036170C"/>
    <w:rsid w:val="00366E0F"/>
    <w:rsid w:val="00381A72"/>
    <w:rsid w:val="00384676"/>
    <w:rsid w:val="00390857"/>
    <w:rsid w:val="003950C9"/>
    <w:rsid w:val="003A1039"/>
    <w:rsid w:val="003A4BF3"/>
    <w:rsid w:val="003A603F"/>
    <w:rsid w:val="003B420D"/>
    <w:rsid w:val="003B600F"/>
    <w:rsid w:val="003C6C16"/>
    <w:rsid w:val="003D794D"/>
    <w:rsid w:val="003E3058"/>
    <w:rsid w:val="003E76A9"/>
    <w:rsid w:val="003F0809"/>
    <w:rsid w:val="003F6A8C"/>
    <w:rsid w:val="003F755C"/>
    <w:rsid w:val="00406F01"/>
    <w:rsid w:val="00407CC6"/>
    <w:rsid w:val="00416D50"/>
    <w:rsid w:val="00416FD5"/>
    <w:rsid w:val="00417772"/>
    <w:rsid w:val="00420E6A"/>
    <w:rsid w:val="00421C84"/>
    <w:rsid w:val="00425A9E"/>
    <w:rsid w:val="00426D6B"/>
    <w:rsid w:val="00431E6C"/>
    <w:rsid w:val="00433CE7"/>
    <w:rsid w:val="00452738"/>
    <w:rsid w:val="00456091"/>
    <w:rsid w:val="00461EE1"/>
    <w:rsid w:val="00466321"/>
    <w:rsid w:val="00484B9B"/>
    <w:rsid w:val="004855F6"/>
    <w:rsid w:val="0048661E"/>
    <w:rsid w:val="00493DF9"/>
    <w:rsid w:val="00494670"/>
    <w:rsid w:val="004A3823"/>
    <w:rsid w:val="004A444B"/>
    <w:rsid w:val="004A6C61"/>
    <w:rsid w:val="004B3682"/>
    <w:rsid w:val="004D4573"/>
    <w:rsid w:val="004E6946"/>
    <w:rsid w:val="004F1AD8"/>
    <w:rsid w:val="005039CB"/>
    <w:rsid w:val="0050558F"/>
    <w:rsid w:val="00506286"/>
    <w:rsid w:val="00510813"/>
    <w:rsid w:val="00511990"/>
    <w:rsid w:val="00511DE0"/>
    <w:rsid w:val="00514870"/>
    <w:rsid w:val="00514B9B"/>
    <w:rsid w:val="00517F02"/>
    <w:rsid w:val="00520F8B"/>
    <w:rsid w:val="00524303"/>
    <w:rsid w:val="00524B09"/>
    <w:rsid w:val="005258A2"/>
    <w:rsid w:val="005401AE"/>
    <w:rsid w:val="00541BDA"/>
    <w:rsid w:val="005425F4"/>
    <w:rsid w:val="00542E07"/>
    <w:rsid w:val="00545424"/>
    <w:rsid w:val="00546753"/>
    <w:rsid w:val="00554A7B"/>
    <w:rsid w:val="0055542E"/>
    <w:rsid w:val="0055572C"/>
    <w:rsid w:val="0056106A"/>
    <w:rsid w:val="005720AE"/>
    <w:rsid w:val="00586FDB"/>
    <w:rsid w:val="00587B8B"/>
    <w:rsid w:val="00591295"/>
    <w:rsid w:val="00594D77"/>
    <w:rsid w:val="005969E4"/>
    <w:rsid w:val="005A06B7"/>
    <w:rsid w:val="005A1759"/>
    <w:rsid w:val="005A68A7"/>
    <w:rsid w:val="005D36AB"/>
    <w:rsid w:val="005E53DA"/>
    <w:rsid w:val="00617CC3"/>
    <w:rsid w:val="006367C2"/>
    <w:rsid w:val="006377A6"/>
    <w:rsid w:val="00637866"/>
    <w:rsid w:val="00637A3D"/>
    <w:rsid w:val="00637C63"/>
    <w:rsid w:val="006411EF"/>
    <w:rsid w:val="00666C26"/>
    <w:rsid w:val="00672949"/>
    <w:rsid w:val="00673880"/>
    <w:rsid w:val="006748B8"/>
    <w:rsid w:val="006775C3"/>
    <w:rsid w:val="0069290A"/>
    <w:rsid w:val="0069537D"/>
    <w:rsid w:val="0069775A"/>
    <w:rsid w:val="00697813"/>
    <w:rsid w:val="006A3EE8"/>
    <w:rsid w:val="006A70F1"/>
    <w:rsid w:val="006A72BF"/>
    <w:rsid w:val="006A7690"/>
    <w:rsid w:val="006B03F2"/>
    <w:rsid w:val="006B3397"/>
    <w:rsid w:val="006B37DC"/>
    <w:rsid w:val="006B4F68"/>
    <w:rsid w:val="006B77DD"/>
    <w:rsid w:val="006C0592"/>
    <w:rsid w:val="006C272E"/>
    <w:rsid w:val="006C5479"/>
    <w:rsid w:val="006C5816"/>
    <w:rsid w:val="006D13B5"/>
    <w:rsid w:val="006D5C28"/>
    <w:rsid w:val="006D62F0"/>
    <w:rsid w:val="006E12FF"/>
    <w:rsid w:val="006E607E"/>
    <w:rsid w:val="006E7DDD"/>
    <w:rsid w:val="00706C5D"/>
    <w:rsid w:val="0073007A"/>
    <w:rsid w:val="00732922"/>
    <w:rsid w:val="00735738"/>
    <w:rsid w:val="007509DA"/>
    <w:rsid w:val="0075162E"/>
    <w:rsid w:val="00754034"/>
    <w:rsid w:val="00756556"/>
    <w:rsid w:val="007618C4"/>
    <w:rsid w:val="00767980"/>
    <w:rsid w:val="007679F1"/>
    <w:rsid w:val="00770B19"/>
    <w:rsid w:val="0077463F"/>
    <w:rsid w:val="007836EA"/>
    <w:rsid w:val="00784CDA"/>
    <w:rsid w:val="007906C4"/>
    <w:rsid w:val="007940EA"/>
    <w:rsid w:val="007967E8"/>
    <w:rsid w:val="007A1C1C"/>
    <w:rsid w:val="007A2170"/>
    <w:rsid w:val="007A22BF"/>
    <w:rsid w:val="007A3323"/>
    <w:rsid w:val="007B45DB"/>
    <w:rsid w:val="007B72B8"/>
    <w:rsid w:val="007B7A58"/>
    <w:rsid w:val="007B7CCF"/>
    <w:rsid w:val="007B7D8B"/>
    <w:rsid w:val="007C21B5"/>
    <w:rsid w:val="007E4BD2"/>
    <w:rsid w:val="00801393"/>
    <w:rsid w:val="00802F88"/>
    <w:rsid w:val="0081293E"/>
    <w:rsid w:val="00815465"/>
    <w:rsid w:val="00817E9A"/>
    <w:rsid w:val="008306BD"/>
    <w:rsid w:val="00831A80"/>
    <w:rsid w:val="00833743"/>
    <w:rsid w:val="008340A4"/>
    <w:rsid w:val="00864459"/>
    <w:rsid w:val="008667DB"/>
    <w:rsid w:val="0086727B"/>
    <w:rsid w:val="0087135F"/>
    <w:rsid w:val="00872D94"/>
    <w:rsid w:val="00880364"/>
    <w:rsid w:val="00890BB7"/>
    <w:rsid w:val="00891592"/>
    <w:rsid w:val="00891E9E"/>
    <w:rsid w:val="00897A7C"/>
    <w:rsid w:val="008A2F68"/>
    <w:rsid w:val="008B4FA6"/>
    <w:rsid w:val="008B5282"/>
    <w:rsid w:val="008B7C17"/>
    <w:rsid w:val="008C2D01"/>
    <w:rsid w:val="008C40E6"/>
    <w:rsid w:val="008D0F7A"/>
    <w:rsid w:val="008D68E4"/>
    <w:rsid w:val="008E0506"/>
    <w:rsid w:val="008E0CFF"/>
    <w:rsid w:val="008E5D6B"/>
    <w:rsid w:val="008E76F0"/>
    <w:rsid w:val="008F15FE"/>
    <w:rsid w:val="008F2D29"/>
    <w:rsid w:val="008F5187"/>
    <w:rsid w:val="008F60D8"/>
    <w:rsid w:val="00900A1A"/>
    <w:rsid w:val="00902727"/>
    <w:rsid w:val="0090312B"/>
    <w:rsid w:val="0091342B"/>
    <w:rsid w:val="00916705"/>
    <w:rsid w:val="0091736D"/>
    <w:rsid w:val="00920750"/>
    <w:rsid w:val="00925406"/>
    <w:rsid w:val="0093037A"/>
    <w:rsid w:val="0094154D"/>
    <w:rsid w:val="009458FD"/>
    <w:rsid w:val="0095155F"/>
    <w:rsid w:val="00954429"/>
    <w:rsid w:val="009563CE"/>
    <w:rsid w:val="00976328"/>
    <w:rsid w:val="0097680D"/>
    <w:rsid w:val="00982438"/>
    <w:rsid w:val="0098404C"/>
    <w:rsid w:val="00985283"/>
    <w:rsid w:val="00995992"/>
    <w:rsid w:val="009A03E5"/>
    <w:rsid w:val="009A0F3B"/>
    <w:rsid w:val="009A1BB4"/>
    <w:rsid w:val="009A2628"/>
    <w:rsid w:val="009A3200"/>
    <w:rsid w:val="009B0897"/>
    <w:rsid w:val="009B7BD9"/>
    <w:rsid w:val="009C6AE5"/>
    <w:rsid w:val="009C7DD5"/>
    <w:rsid w:val="009E227D"/>
    <w:rsid w:val="009E5019"/>
    <w:rsid w:val="00A04D31"/>
    <w:rsid w:val="00A04F1B"/>
    <w:rsid w:val="00A0501B"/>
    <w:rsid w:val="00A14947"/>
    <w:rsid w:val="00A249BC"/>
    <w:rsid w:val="00A32A83"/>
    <w:rsid w:val="00A368DB"/>
    <w:rsid w:val="00A423AA"/>
    <w:rsid w:val="00A53EC6"/>
    <w:rsid w:val="00A55C0F"/>
    <w:rsid w:val="00A8713F"/>
    <w:rsid w:val="00A90BA1"/>
    <w:rsid w:val="00A93B08"/>
    <w:rsid w:val="00A969E6"/>
    <w:rsid w:val="00A97A9A"/>
    <w:rsid w:val="00AA0671"/>
    <w:rsid w:val="00AA2531"/>
    <w:rsid w:val="00AB1E09"/>
    <w:rsid w:val="00AB5330"/>
    <w:rsid w:val="00AB7747"/>
    <w:rsid w:val="00AB794B"/>
    <w:rsid w:val="00AB7A64"/>
    <w:rsid w:val="00AC14CE"/>
    <w:rsid w:val="00AC2A56"/>
    <w:rsid w:val="00AC3425"/>
    <w:rsid w:val="00AD055E"/>
    <w:rsid w:val="00AD47A7"/>
    <w:rsid w:val="00AF0A4A"/>
    <w:rsid w:val="00AF0CBF"/>
    <w:rsid w:val="00AF257F"/>
    <w:rsid w:val="00AF33CF"/>
    <w:rsid w:val="00AF4D50"/>
    <w:rsid w:val="00AF5F4D"/>
    <w:rsid w:val="00AF6179"/>
    <w:rsid w:val="00B1295A"/>
    <w:rsid w:val="00B150F8"/>
    <w:rsid w:val="00B20A45"/>
    <w:rsid w:val="00B20B46"/>
    <w:rsid w:val="00B22C5C"/>
    <w:rsid w:val="00B24F30"/>
    <w:rsid w:val="00B31ABF"/>
    <w:rsid w:val="00B3225F"/>
    <w:rsid w:val="00B33BE3"/>
    <w:rsid w:val="00B42373"/>
    <w:rsid w:val="00B455EE"/>
    <w:rsid w:val="00B51300"/>
    <w:rsid w:val="00B53B5D"/>
    <w:rsid w:val="00B6055E"/>
    <w:rsid w:val="00B6317D"/>
    <w:rsid w:val="00B7723F"/>
    <w:rsid w:val="00B80534"/>
    <w:rsid w:val="00B81A27"/>
    <w:rsid w:val="00B8433C"/>
    <w:rsid w:val="00B87491"/>
    <w:rsid w:val="00BA29E9"/>
    <w:rsid w:val="00BA43C7"/>
    <w:rsid w:val="00BA7142"/>
    <w:rsid w:val="00BB237C"/>
    <w:rsid w:val="00BB41A3"/>
    <w:rsid w:val="00BC32DC"/>
    <w:rsid w:val="00BC35B6"/>
    <w:rsid w:val="00BD1B51"/>
    <w:rsid w:val="00BD3466"/>
    <w:rsid w:val="00BD4596"/>
    <w:rsid w:val="00BE1405"/>
    <w:rsid w:val="00BE312D"/>
    <w:rsid w:val="00BF1C20"/>
    <w:rsid w:val="00BF405F"/>
    <w:rsid w:val="00C10578"/>
    <w:rsid w:val="00C118DE"/>
    <w:rsid w:val="00C11A3C"/>
    <w:rsid w:val="00C12588"/>
    <w:rsid w:val="00C135BC"/>
    <w:rsid w:val="00C15C95"/>
    <w:rsid w:val="00C21E23"/>
    <w:rsid w:val="00C2596A"/>
    <w:rsid w:val="00C27537"/>
    <w:rsid w:val="00C328FE"/>
    <w:rsid w:val="00C33507"/>
    <w:rsid w:val="00C33E59"/>
    <w:rsid w:val="00C43A54"/>
    <w:rsid w:val="00C4409D"/>
    <w:rsid w:val="00C44E72"/>
    <w:rsid w:val="00C45A06"/>
    <w:rsid w:val="00C47E5B"/>
    <w:rsid w:val="00C61E4B"/>
    <w:rsid w:val="00C64BFF"/>
    <w:rsid w:val="00C66091"/>
    <w:rsid w:val="00C704E9"/>
    <w:rsid w:val="00C763C9"/>
    <w:rsid w:val="00C80057"/>
    <w:rsid w:val="00C82232"/>
    <w:rsid w:val="00C82913"/>
    <w:rsid w:val="00C8376D"/>
    <w:rsid w:val="00C972B1"/>
    <w:rsid w:val="00CA2CCE"/>
    <w:rsid w:val="00CA43FD"/>
    <w:rsid w:val="00CA7EF8"/>
    <w:rsid w:val="00CC0E36"/>
    <w:rsid w:val="00CC39C0"/>
    <w:rsid w:val="00CC489B"/>
    <w:rsid w:val="00CD2593"/>
    <w:rsid w:val="00CD2BCD"/>
    <w:rsid w:val="00CD3A4C"/>
    <w:rsid w:val="00CD5B31"/>
    <w:rsid w:val="00CE10E9"/>
    <w:rsid w:val="00CE2910"/>
    <w:rsid w:val="00CE5393"/>
    <w:rsid w:val="00CF36BE"/>
    <w:rsid w:val="00CF6000"/>
    <w:rsid w:val="00D003F3"/>
    <w:rsid w:val="00D0364F"/>
    <w:rsid w:val="00D06834"/>
    <w:rsid w:val="00D23B13"/>
    <w:rsid w:val="00D27A61"/>
    <w:rsid w:val="00D308ED"/>
    <w:rsid w:val="00D36D86"/>
    <w:rsid w:val="00D428AA"/>
    <w:rsid w:val="00D50A34"/>
    <w:rsid w:val="00D53EFA"/>
    <w:rsid w:val="00D94A7C"/>
    <w:rsid w:val="00D95896"/>
    <w:rsid w:val="00DB2983"/>
    <w:rsid w:val="00DC1257"/>
    <w:rsid w:val="00DC3DC0"/>
    <w:rsid w:val="00DC4635"/>
    <w:rsid w:val="00DC5B2B"/>
    <w:rsid w:val="00DC6765"/>
    <w:rsid w:val="00DD073C"/>
    <w:rsid w:val="00DD318D"/>
    <w:rsid w:val="00DE587C"/>
    <w:rsid w:val="00DF2E12"/>
    <w:rsid w:val="00DF453D"/>
    <w:rsid w:val="00DF514A"/>
    <w:rsid w:val="00DF6690"/>
    <w:rsid w:val="00DF6804"/>
    <w:rsid w:val="00E0358D"/>
    <w:rsid w:val="00E04323"/>
    <w:rsid w:val="00E06E6C"/>
    <w:rsid w:val="00E070A2"/>
    <w:rsid w:val="00E0722F"/>
    <w:rsid w:val="00E2656A"/>
    <w:rsid w:val="00E412D0"/>
    <w:rsid w:val="00E56322"/>
    <w:rsid w:val="00E60982"/>
    <w:rsid w:val="00E62C62"/>
    <w:rsid w:val="00E654C1"/>
    <w:rsid w:val="00E65D97"/>
    <w:rsid w:val="00E72A5A"/>
    <w:rsid w:val="00E73354"/>
    <w:rsid w:val="00E9242D"/>
    <w:rsid w:val="00EB2A15"/>
    <w:rsid w:val="00EB5255"/>
    <w:rsid w:val="00EB5C47"/>
    <w:rsid w:val="00ED0639"/>
    <w:rsid w:val="00ED2FE7"/>
    <w:rsid w:val="00EE1691"/>
    <w:rsid w:val="00EE28B1"/>
    <w:rsid w:val="00EE3837"/>
    <w:rsid w:val="00EE6A5D"/>
    <w:rsid w:val="00EF4755"/>
    <w:rsid w:val="00EF7135"/>
    <w:rsid w:val="00F027DB"/>
    <w:rsid w:val="00F14A7A"/>
    <w:rsid w:val="00F165E2"/>
    <w:rsid w:val="00F22985"/>
    <w:rsid w:val="00F2468C"/>
    <w:rsid w:val="00F25C95"/>
    <w:rsid w:val="00F3383E"/>
    <w:rsid w:val="00F465A7"/>
    <w:rsid w:val="00F50B7C"/>
    <w:rsid w:val="00F550E6"/>
    <w:rsid w:val="00F74345"/>
    <w:rsid w:val="00F76CFA"/>
    <w:rsid w:val="00F80A0A"/>
    <w:rsid w:val="00F82B19"/>
    <w:rsid w:val="00F9212D"/>
    <w:rsid w:val="00F965DA"/>
    <w:rsid w:val="00FA406A"/>
    <w:rsid w:val="00FB07D4"/>
    <w:rsid w:val="00FB503A"/>
    <w:rsid w:val="00FB516C"/>
    <w:rsid w:val="00FD0236"/>
    <w:rsid w:val="00FD18F4"/>
    <w:rsid w:val="00FD21ED"/>
    <w:rsid w:val="00FD54DB"/>
    <w:rsid w:val="00FD619F"/>
    <w:rsid w:val="00FF7E8A"/>
    <w:rsid w:val="01031ADA"/>
    <w:rsid w:val="011955C6"/>
    <w:rsid w:val="01215FF6"/>
    <w:rsid w:val="01264588"/>
    <w:rsid w:val="01290F7E"/>
    <w:rsid w:val="014D3258"/>
    <w:rsid w:val="015D1E09"/>
    <w:rsid w:val="01685D8B"/>
    <w:rsid w:val="016A15EF"/>
    <w:rsid w:val="016B1EF4"/>
    <w:rsid w:val="017203F9"/>
    <w:rsid w:val="01846015"/>
    <w:rsid w:val="01A42B98"/>
    <w:rsid w:val="01EA2BFD"/>
    <w:rsid w:val="01EA636A"/>
    <w:rsid w:val="01FA34BE"/>
    <w:rsid w:val="0239578D"/>
    <w:rsid w:val="02493090"/>
    <w:rsid w:val="0255727D"/>
    <w:rsid w:val="02557A5C"/>
    <w:rsid w:val="0256216E"/>
    <w:rsid w:val="02581A3B"/>
    <w:rsid w:val="02697903"/>
    <w:rsid w:val="02835011"/>
    <w:rsid w:val="02CB3363"/>
    <w:rsid w:val="02F96569"/>
    <w:rsid w:val="031178C9"/>
    <w:rsid w:val="03220311"/>
    <w:rsid w:val="032B09E8"/>
    <w:rsid w:val="033724AD"/>
    <w:rsid w:val="0343353D"/>
    <w:rsid w:val="034913AE"/>
    <w:rsid w:val="03D80AD7"/>
    <w:rsid w:val="03E9252C"/>
    <w:rsid w:val="03EA7B21"/>
    <w:rsid w:val="03EE54FD"/>
    <w:rsid w:val="03FD7A51"/>
    <w:rsid w:val="04097939"/>
    <w:rsid w:val="040D1223"/>
    <w:rsid w:val="041D3C57"/>
    <w:rsid w:val="043C3B1E"/>
    <w:rsid w:val="045B4EA6"/>
    <w:rsid w:val="046B1886"/>
    <w:rsid w:val="04755553"/>
    <w:rsid w:val="04811B11"/>
    <w:rsid w:val="049C2668"/>
    <w:rsid w:val="04B70E72"/>
    <w:rsid w:val="04C26F2C"/>
    <w:rsid w:val="04C62BA8"/>
    <w:rsid w:val="04E16C21"/>
    <w:rsid w:val="04E94091"/>
    <w:rsid w:val="04FB0A00"/>
    <w:rsid w:val="0506243D"/>
    <w:rsid w:val="05371733"/>
    <w:rsid w:val="053E3402"/>
    <w:rsid w:val="054E506F"/>
    <w:rsid w:val="0562738C"/>
    <w:rsid w:val="05656433"/>
    <w:rsid w:val="05667628"/>
    <w:rsid w:val="057D7C60"/>
    <w:rsid w:val="05B94E3E"/>
    <w:rsid w:val="05BC65A6"/>
    <w:rsid w:val="05D956EB"/>
    <w:rsid w:val="05E024BF"/>
    <w:rsid w:val="05EE7483"/>
    <w:rsid w:val="05F43355"/>
    <w:rsid w:val="05F46D34"/>
    <w:rsid w:val="05F83EAE"/>
    <w:rsid w:val="061E6D1A"/>
    <w:rsid w:val="063E7D85"/>
    <w:rsid w:val="06505764"/>
    <w:rsid w:val="065C6B49"/>
    <w:rsid w:val="0691193C"/>
    <w:rsid w:val="06913258"/>
    <w:rsid w:val="06C61153"/>
    <w:rsid w:val="06D4436C"/>
    <w:rsid w:val="06E533CD"/>
    <w:rsid w:val="06F72AC1"/>
    <w:rsid w:val="06F81865"/>
    <w:rsid w:val="06FC2F2D"/>
    <w:rsid w:val="070D4F0F"/>
    <w:rsid w:val="071B3EF7"/>
    <w:rsid w:val="071D2555"/>
    <w:rsid w:val="072461A6"/>
    <w:rsid w:val="07293586"/>
    <w:rsid w:val="07295285"/>
    <w:rsid w:val="074128B0"/>
    <w:rsid w:val="07636392"/>
    <w:rsid w:val="07665395"/>
    <w:rsid w:val="07770C56"/>
    <w:rsid w:val="07914D1C"/>
    <w:rsid w:val="07981496"/>
    <w:rsid w:val="07AB3E1D"/>
    <w:rsid w:val="07C84A57"/>
    <w:rsid w:val="07D16114"/>
    <w:rsid w:val="07DE1F0D"/>
    <w:rsid w:val="08067AAD"/>
    <w:rsid w:val="081543E9"/>
    <w:rsid w:val="081E42E5"/>
    <w:rsid w:val="08375EDD"/>
    <w:rsid w:val="083D1B94"/>
    <w:rsid w:val="085939D6"/>
    <w:rsid w:val="088210B4"/>
    <w:rsid w:val="089B216C"/>
    <w:rsid w:val="08B55272"/>
    <w:rsid w:val="08CD09A4"/>
    <w:rsid w:val="08D8698D"/>
    <w:rsid w:val="08FF4418"/>
    <w:rsid w:val="090257C9"/>
    <w:rsid w:val="09172CB4"/>
    <w:rsid w:val="092217DD"/>
    <w:rsid w:val="092328A7"/>
    <w:rsid w:val="093A7294"/>
    <w:rsid w:val="0950232E"/>
    <w:rsid w:val="095C2DFD"/>
    <w:rsid w:val="098C174E"/>
    <w:rsid w:val="098C49F2"/>
    <w:rsid w:val="099804BC"/>
    <w:rsid w:val="09DB46A2"/>
    <w:rsid w:val="09DF53B6"/>
    <w:rsid w:val="0A1827EB"/>
    <w:rsid w:val="0A2243CE"/>
    <w:rsid w:val="0A263993"/>
    <w:rsid w:val="0A2D3AC2"/>
    <w:rsid w:val="0A4F2A94"/>
    <w:rsid w:val="0A785140"/>
    <w:rsid w:val="0A7F09E6"/>
    <w:rsid w:val="0A947D73"/>
    <w:rsid w:val="0A992F75"/>
    <w:rsid w:val="0AA251E0"/>
    <w:rsid w:val="0AA755DF"/>
    <w:rsid w:val="0AAF19DD"/>
    <w:rsid w:val="0AC33D25"/>
    <w:rsid w:val="0AC46F27"/>
    <w:rsid w:val="0AFB35DC"/>
    <w:rsid w:val="0B0E39EF"/>
    <w:rsid w:val="0B117D23"/>
    <w:rsid w:val="0B120D44"/>
    <w:rsid w:val="0B295B1A"/>
    <w:rsid w:val="0B295C1E"/>
    <w:rsid w:val="0B4B3A66"/>
    <w:rsid w:val="0B560301"/>
    <w:rsid w:val="0B6D108E"/>
    <w:rsid w:val="0B74786C"/>
    <w:rsid w:val="0B872220"/>
    <w:rsid w:val="0BA23811"/>
    <w:rsid w:val="0BD27BF6"/>
    <w:rsid w:val="0BDE00E4"/>
    <w:rsid w:val="0BE31B5E"/>
    <w:rsid w:val="0C0B59FE"/>
    <w:rsid w:val="0C0F7F67"/>
    <w:rsid w:val="0C3B3C7D"/>
    <w:rsid w:val="0C854228"/>
    <w:rsid w:val="0CA072C0"/>
    <w:rsid w:val="0CAA1784"/>
    <w:rsid w:val="0CAB2EAE"/>
    <w:rsid w:val="0CC632F9"/>
    <w:rsid w:val="0CF46AD6"/>
    <w:rsid w:val="0D0572F2"/>
    <w:rsid w:val="0D260EBC"/>
    <w:rsid w:val="0D2941EA"/>
    <w:rsid w:val="0D3E1EA2"/>
    <w:rsid w:val="0D4741FB"/>
    <w:rsid w:val="0D500ACA"/>
    <w:rsid w:val="0D621C7D"/>
    <w:rsid w:val="0D7015D4"/>
    <w:rsid w:val="0D7511DD"/>
    <w:rsid w:val="0DC20671"/>
    <w:rsid w:val="0DC45DD9"/>
    <w:rsid w:val="0DC672DE"/>
    <w:rsid w:val="0DF30D4B"/>
    <w:rsid w:val="0DF9614F"/>
    <w:rsid w:val="0E320C08"/>
    <w:rsid w:val="0E39434A"/>
    <w:rsid w:val="0E70327D"/>
    <w:rsid w:val="0E73034D"/>
    <w:rsid w:val="0E79763A"/>
    <w:rsid w:val="0E815DA8"/>
    <w:rsid w:val="0E963C12"/>
    <w:rsid w:val="0EA41F85"/>
    <w:rsid w:val="0EAA418D"/>
    <w:rsid w:val="0EAE36A4"/>
    <w:rsid w:val="0EAF5B1F"/>
    <w:rsid w:val="0EB13BF1"/>
    <w:rsid w:val="0EB830A6"/>
    <w:rsid w:val="0EC70636"/>
    <w:rsid w:val="0EE33CF7"/>
    <w:rsid w:val="0F13775A"/>
    <w:rsid w:val="0F2947C4"/>
    <w:rsid w:val="0F321119"/>
    <w:rsid w:val="0F426D7C"/>
    <w:rsid w:val="0F5F45FE"/>
    <w:rsid w:val="0F690F2F"/>
    <w:rsid w:val="0F7C203F"/>
    <w:rsid w:val="0F9606AC"/>
    <w:rsid w:val="0F9A112B"/>
    <w:rsid w:val="0F9C5147"/>
    <w:rsid w:val="0FA64A4A"/>
    <w:rsid w:val="0FD61109"/>
    <w:rsid w:val="0FFC1B10"/>
    <w:rsid w:val="10123E84"/>
    <w:rsid w:val="103E4928"/>
    <w:rsid w:val="1042188D"/>
    <w:rsid w:val="104B50F5"/>
    <w:rsid w:val="10565235"/>
    <w:rsid w:val="106D2F64"/>
    <w:rsid w:val="109F273D"/>
    <w:rsid w:val="10B03E5C"/>
    <w:rsid w:val="10B63710"/>
    <w:rsid w:val="10C2300E"/>
    <w:rsid w:val="10CE05AC"/>
    <w:rsid w:val="10DD1F81"/>
    <w:rsid w:val="10E3454C"/>
    <w:rsid w:val="10F10820"/>
    <w:rsid w:val="111A42F4"/>
    <w:rsid w:val="111C2F7A"/>
    <w:rsid w:val="114B0AAF"/>
    <w:rsid w:val="114E7DC8"/>
    <w:rsid w:val="11665CA1"/>
    <w:rsid w:val="117D073A"/>
    <w:rsid w:val="118B325D"/>
    <w:rsid w:val="119965E4"/>
    <w:rsid w:val="11E51856"/>
    <w:rsid w:val="11EA57A9"/>
    <w:rsid w:val="11FA48EC"/>
    <w:rsid w:val="11FF0573"/>
    <w:rsid w:val="12240307"/>
    <w:rsid w:val="124F64A1"/>
    <w:rsid w:val="12657AE5"/>
    <w:rsid w:val="126D4B79"/>
    <w:rsid w:val="126D7DE3"/>
    <w:rsid w:val="12930C91"/>
    <w:rsid w:val="129C2232"/>
    <w:rsid w:val="129C33CF"/>
    <w:rsid w:val="12B24A52"/>
    <w:rsid w:val="12E11A74"/>
    <w:rsid w:val="12ED4962"/>
    <w:rsid w:val="131906DE"/>
    <w:rsid w:val="13487E84"/>
    <w:rsid w:val="134B06C2"/>
    <w:rsid w:val="13772C31"/>
    <w:rsid w:val="138E6302"/>
    <w:rsid w:val="13951726"/>
    <w:rsid w:val="13F01E62"/>
    <w:rsid w:val="141232B5"/>
    <w:rsid w:val="1415720D"/>
    <w:rsid w:val="14396509"/>
    <w:rsid w:val="144F0C3D"/>
    <w:rsid w:val="145C2E8D"/>
    <w:rsid w:val="14835F2F"/>
    <w:rsid w:val="148B75A6"/>
    <w:rsid w:val="14A0689F"/>
    <w:rsid w:val="14B153A7"/>
    <w:rsid w:val="14C135D4"/>
    <w:rsid w:val="14C57350"/>
    <w:rsid w:val="14D26F15"/>
    <w:rsid w:val="14DD2C3C"/>
    <w:rsid w:val="14ED1B20"/>
    <w:rsid w:val="14EF358A"/>
    <w:rsid w:val="14FE0662"/>
    <w:rsid w:val="151D245D"/>
    <w:rsid w:val="1525314B"/>
    <w:rsid w:val="152C1B12"/>
    <w:rsid w:val="158D7657"/>
    <w:rsid w:val="15A93466"/>
    <w:rsid w:val="15B01012"/>
    <w:rsid w:val="15B51196"/>
    <w:rsid w:val="15BF5B9F"/>
    <w:rsid w:val="15C745A0"/>
    <w:rsid w:val="15CB6525"/>
    <w:rsid w:val="15EB33F9"/>
    <w:rsid w:val="16087E1D"/>
    <w:rsid w:val="16140259"/>
    <w:rsid w:val="16146B9F"/>
    <w:rsid w:val="16190C80"/>
    <w:rsid w:val="161F43DC"/>
    <w:rsid w:val="162A489F"/>
    <w:rsid w:val="1638724C"/>
    <w:rsid w:val="166C5006"/>
    <w:rsid w:val="16823350"/>
    <w:rsid w:val="16884176"/>
    <w:rsid w:val="169620BC"/>
    <w:rsid w:val="16A2066F"/>
    <w:rsid w:val="16A61FFE"/>
    <w:rsid w:val="16B22774"/>
    <w:rsid w:val="16CF35CD"/>
    <w:rsid w:val="16D12764"/>
    <w:rsid w:val="16EA13D7"/>
    <w:rsid w:val="170F6FD6"/>
    <w:rsid w:val="17252BB8"/>
    <w:rsid w:val="173B1CD3"/>
    <w:rsid w:val="17541BBD"/>
    <w:rsid w:val="17701D14"/>
    <w:rsid w:val="17735226"/>
    <w:rsid w:val="1781598F"/>
    <w:rsid w:val="179A6EF5"/>
    <w:rsid w:val="179B5301"/>
    <w:rsid w:val="17AC1E2F"/>
    <w:rsid w:val="17C06864"/>
    <w:rsid w:val="17EC778F"/>
    <w:rsid w:val="17F13EAC"/>
    <w:rsid w:val="17F44740"/>
    <w:rsid w:val="180323F4"/>
    <w:rsid w:val="180B01A7"/>
    <w:rsid w:val="181B415C"/>
    <w:rsid w:val="182F3E2A"/>
    <w:rsid w:val="18410CD8"/>
    <w:rsid w:val="185A5E86"/>
    <w:rsid w:val="185E01A3"/>
    <w:rsid w:val="18677CEC"/>
    <w:rsid w:val="18740494"/>
    <w:rsid w:val="187F76EB"/>
    <w:rsid w:val="188F659D"/>
    <w:rsid w:val="189F624C"/>
    <w:rsid w:val="18A75C79"/>
    <w:rsid w:val="18BF5A03"/>
    <w:rsid w:val="18E10499"/>
    <w:rsid w:val="18E3449C"/>
    <w:rsid w:val="19023660"/>
    <w:rsid w:val="191C10A7"/>
    <w:rsid w:val="192E7C47"/>
    <w:rsid w:val="193448D0"/>
    <w:rsid w:val="19383D27"/>
    <w:rsid w:val="193E134B"/>
    <w:rsid w:val="193E52FC"/>
    <w:rsid w:val="195051C5"/>
    <w:rsid w:val="19537FE2"/>
    <w:rsid w:val="19560DC9"/>
    <w:rsid w:val="19633ED7"/>
    <w:rsid w:val="199A3E95"/>
    <w:rsid w:val="19C46442"/>
    <w:rsid w:val="19C9645C"/>
    <w:rsid w:val="19E04F7A"/>
    <w:rsid w:val="19E6553D"/>
    <w:rsid w:val="1A136AA1"/>
    <w:rsid w:val="1A1C66C0"/>
    <w:rsid w:val="1A2C2BC2"/>
    <w:rsid w:val="1A341FDA"/>
    <w:rsid w:val="1A42393B"/>
    <w:rsid w:val="1A4A2032"/>
    <w:rsid w:val="1A59660B"/>
    <w:rsid w:val="1A631CD0"/>
    <w:rsid w:val="1A6C29F5"/>
    <w:rsid w:val="1A6E0D68"/>
    <w:rsid w:val="1A8268CB"/>
    <w:rsid w:val="1A954C6D"/>
    <w:rsid w:val="1AAA3271"/>
    <w:rsid w:val="1AAD45DE"/>
    <w:rsid w:val="1AC30F48"/>
    <w:rsid w:val="1ACF03B6"/>
    <w:rsid w:val="1ADA7C93"/>
    <w:rsid w:val="1AEE111D"/>
    <w:rsid w:val="1B046F80"/>
    <w:rsid w:val="1B1765A9"/>
    <w:rsid w:val="1B1B057E"/>
    <w:rsid w:val="1B3267B5"/>
    <w:rsid w:val="1B3670D4"/>
    <w:rsid w:val="1B3F7D46"/>
    <w:rsid w:val="1B40161D"/>
    <w:rsid w:val="1B441859"/>
    <w:rsid w:val="1B521BD6"/>
    <w:rsid w:val="1B5763B7"/>
    <w:rsid w:val="1B6606B1"/>
    <w:rsid w:val="1B8351E2"/>
    <w:rsid w:val="1B896C99"/>
    <w:rsid w:val="1BF4039F"/>
    <w:rsid w:val="1BF43EA0"/>
    <w:rsid w:val="1C0B3FC0"/>
    <w:rsid w:val="1C1F7532"/>
    <w:rsid w:val="1C384B2F"/>
    <w:rsid w:val="1C4E318D"/>
    <w:rsid w:val="1C5E7925"/>
    <w:rsid w:val="1C636C3D"/>
    <w:rsid w:val="1C800AC2"/>
    <w:rsid w:val="1CBA7160"/>
    <w:rsid w:val="1CC65E00"/>
    <w:rsid w:val="1CE05C9F"/>
    <w:rsid w:val="1CFD070F"/>
    <w:rsid w:val="1D033E9C"/>
    <w:rsid w:val="1D2D65CD"/>
    <w:rsid w:val="1D5F6196"/>
    <w:rsid w:val="1D6132A5"/>
    <w:rsid w:val="1D6C2C73"/>
    <w:rsid w:val="1D8E56D5"/>
    <w:rsid w:val="1DAA3337"/>
    <w:rsid w:val="1DBD6EEA"/>
    <w:rsid w:val="1DC61694"/>
    <w:rsid w:val="1DD53222"/>
    <w:rsid w:val="1DDA662E"/>
    <w:rsid w:val="1DE90ADF"/>
    <w:rsid w:val="1E1601CC"/>
    <w:rsid w:val="1E360096"/>
    <w:rsid w:val="1E3824DF"/>
    <w:rsid w:val="1E527A8C"/>
    <w:rsid w:val="1E5E218D"/>
    <w:rsid w:val="1E7A43DA"/>
    <w:rsid w:val="1E7D68B8"/>
    <w:rsid w:val="1E8260DC"/>
    <w:rsid w:val="1EA86A7F"/>
    <w:rsid w:val="1EAA66B2"/>
    <w:rsid w:val="1EE40600"/>
    <w:rsid w:val="1F2E38E2"/>
    <w:rsid w:val="1F314A4E"/>
    <w:rsid w:val="1F6456DC"/>
    <w:rsid w:val="1F9A22F6"/>
    <w:rsid w:val="1F9A4BCF"/>
    <w:rsid w:val="1FA903A1"/>
    <w:rsid w:val="1FE7539E"/>
    <w:rsid w:val="1FFD6E47"/>
    <w:rsid w:val="200D1B45"/>
    <w:rsid w:val="20193933"/>
    <w:rsid w:val="201D04EF"/>
    <w:rsid w:val="20245B0F"/>
    <w:rsid w:val="20256529"/>
    <w:rsid w:val="20671BE0"/>
    <w:rsid w:val="20677BBD"/>
    <w:rsid w:val="2086274F"/>
    <w:rsid w:val="20963CB8"/>
    <w:rsid w:val="20A81A1B"/>
    <w:rsid w:val="20B07FB6"/>
    <w:rsid w:val="20B646FB"/>
    <w:rsid w:val="20B6593D"/>
    <w:rsid w:val="20CE5FCB"/>
    <w:rsid w:val="20DC7CCA"/>
    <w:rsid w:val="20E30F81"/>
    <w:rsid w:val="20E90B8D"/>
    <w:rsid w:val="20FF7D05"/>
    <w:rsid w:val="2123148B"/>
    <w:rsid w:val="21337A9C"/>
    <w:rsid w:val="21380A48"/>
    <w:rsid w:val="213B74B1"/>
    <w:rsid w:val="21426520"/>
    <w:rsid w:val="214C5CFF"/>
    <w:rsid w:val="215939A5"/>
    <w:rsid w:val="215A2310"/>
    <w:rsid w:val="218623F9"/>
    <w:rsid w:val="218C61AF"/>
    <w:rsid w:val="219043C8"/>
    <w:rsid w:val="21937ECD"/>
    <w:rsid w:val="21A066CC"/>
    <w:rsid w:val="21CE5435"/>
    <w:rsid w:val="21D145A2"/>
    <w:rsid w:val="21DE318A"/>
    <w:rsid w:val="21ED538F"/>
    <w:rsid w:val="21EF5B80"/>
    <w:rsid w:val="22001E26"/>
    <w:rsid w:val="22203B4E"/>
    <w:rsid w:val="222710B9"/>
    <w:rsid w:val="222A3E92"/>
    <w:rsid w:val="222E41A0"/>
    <w:rsid w:val="223F496C"/>
    <w:rsid w:val="22411601"/>
    <w:rsid w:val="22562B7F"/>
    <w:rsid w:val="22576990"/>
    <w:rsid w:val="225D7BBA"/>
    <w:rsid w:val="22750258"/>
    <w:rsid w:val="2277377D"/>
    <w:rsid w:val="227C64BD"/>
    <w:rsid w:val="22970218"/>
    <w:rsid w:val="2297675B"/>
    <w:rsid w:val="22A92F30"/>
    <w:rsid w:val="22BA5CBA"/>
    <w:rsid w:val="22C37268"/>
    <w:rsid w:val="22EA3713"/>
    <w:rsid w:val="22F47480"/>
    <w:rsid w:val="23113E44"/>
    <w:rsid w:val="23343040"/>
    <w:rsid w:val="23450CC1"/>
    <w:rsid w:val="235F14FD"/>
    <w:rsid w:val="2366189C"/>
    <w:rsid w:val="23854DFF"/>
    <w:rsid w:val="2386253D"/>
    <w:rsid w:val="23BE21BE"/>
    <w:rsid w:val="23CA67BB"/>
    <w:rsid w:val="23DD7410"/>
    <w:rsid w:val="23DE1C48"/>
    <w:rsid w:val="23F34DEA"/>
    <w:rsid w:val="240210CD"/>
    <w:rsid w:val="241D5EF0"/>
    <w:rsid w:val="24335324"/>
    <w:rsid w:val="24351427"/>
    <w:rsid w:val="243A6724"/>
    <w:rsid w:val="24517EA3"/>
    <w:rsid w:val="246953F2"/>
    <w:rsid w:val="24910641"/>
    <w:rsid w:val="24BF09F7"/>
    <w:rsid w:val="24D82C27"/>
    <w:rsid w:val="24DD0DB8"/>
    <w:rsid w:val="24DD1B4E"/>
    <w:rsid w:val="24F744DF"/>
    <w:rsid w:val="24F829C8"/>
    <w:rsid w:val="252D53FE"/>
    <w:rsid w:val="257E4A9D"/>
    <w:rsid w:val="25986728"/>
    <w:rsid w:val="25A26DF2"/>
    <w:rsid w:val="25A5131F"/>
    <w:rsid w:val="25AB0E64"/>
    <w:rsid w:val="25EC2D81"/>
    <w:rsid w:val="266A16A4"/>
    <w:rsid w:val="26822BE1"/>
    <w:rsid w:val="26864018"/>
    <w:rsid w:val="26874CF2"/>
    <w:rsid w:val="2695591C"/>
    <w:rsid w:val="26A865FB"/>
    <w:rsid w:val="26E51851"/>
    <w:rsid w:val="26F00E7B"/>
    <w:rsid w:val="27207FB4"/>
    <w:rsid w:val="27527BB1"/>
    <w:rsid w:val="27570C9B"/>
    <w:rsid w:val="27653C19"/>
    <w:rsid w:val="277057A2"/>
    <w:rsid w:val="27821A69"/>
    <w:rsid w:val="27940EA2"/>
    <w:rsid w:val="279446B3"/>
    <w:rsid w:val="28127295"/>
    <w:rsid w:val="285C6759"/>
    <w:rsid w:val="285F62C0"/>
    <w:rsid w:val="286F11F3"/>
    <w:rsid w:val="28901AEF"/>
    <w:rsid w:val="28C740E3"/>
    <w:rsid w:val="28CA1C7C"/>
    <w:rsid w:val="28E37C00"/>
    <w:rsid w:val="28FF6059"/>
    <w:rsid w:val="291E4F61"/>
    <w:rsid w:val="29206EB8"/>
    <w:rsid w:val="292B30FD"/>
    <w:rsid w:val="293F20C6"/>
    <w:rsid w:val="29426110"/>
    <w:rsid w:val="29581C87"/>
    <w:rsid w:val="29595666"/>
    <w:rsid w:val="29606D8E"/>
    <w:rsid w:val="29794F21"/>
    <w:rsid w:val="29814F11"/>
    <w:rsid w:val="29874881"/>
    <w:rsid w:val="299525FE"/>
    <w:rsid w:val="29A46C7B"/>
    <w:rsid w:val="29AC4A1A"/>
    <w:rsid w:val="29AF477A"/>
    <w:rsid w:val="29C42E79"/>
    <w:rsid w:val="29C44E67"/>
    <w:rsid w:val="29D529B6"/>
    <w:rsid w:val="29E325E0"/>
    <w:rsid w:val="2A047719"/>
    <w:rsid w:val="2A101FF0"/>
    <w:rsid w:val="2A121823"/>
    <w:rsid w:val="2A197E92"/>
    <w:rsid w:val="2A343A2C"/>
    <w:rsid w:val="2A452503"/>
    <w:rsid w:val="2A4B023A"/>
    <w:rsid w:val="2A4B75DE"/>
    <w:rsid w:val="2A596606"/>
    <w:rsid w:val="2A62322C"/>
    <w:rsid w:val="2A6E776F"/>
    <w:rsid w:val="2A6F67BF"/>
    <w:rsid w:val="2A704A79"/>
    <w:rsid w:val="2AAC2A60"/>
    <w:rsid w:val="2AE86769"/>
    <w:rsid w:val="2B0243BE"/>
    <w:rsid w:val="2B0E080E"/>
    <w:rsid w:val="2B401270"/>
    <w:rsid w:val="2B4707F4"/>
    <w:rsid w:val="2B4B1FAF"/>
    <w:rsid w:val="2B517749"/>
    <w:rsid w:val="2B6C56A3"/>
    <w:rsid w:val="2B6D054D"/>
    <w:rsid w:val="2B9C2CF0"/>
    <w:rsid w:val="2BA455C2"/>
    <w:rsid w:val="2BA936A8"/>
    <w:rsid w:val="2BCF1412"/>
    <w:rsid w:val="2BF26F3D"/>
    <w:rsid w:val="2BF80727"/>
    <w:rsid w:val="2BFF507D"/>
    <w:rsid w:val="2C070E3B"/>
    <w:rsid w:val="2C086D42"/>
    <w:rsid w:val="2C2E0C6A"/>
    <w:rsid w:val="2C315A5A"/>
    <w:rsid w:val="2C4B1C25"/>
    <w:rsid w:val="2C590942"/>
    <w:rsid w:val="2C5920CC"/>
    <w:rsid w:val="2C6D52E6"/>
    <w:rsid w:val="2C762212"/>
    <w:rsid w:val="2C7733EB"/>
    <w:rsid w:val="2C986C84"/>
    <w:rsid w:val="2CA574E9"/>
    <w:rsid w:val="2CA64972"/>
    <w:rsid w:val="2CAB742B"/>
    <w:rsid w:val="2CB9353A"/>
    <w:rsid w:val="2CC67354"/>
    <w:rsid w:val="2CC9757C"/>
    <w:rsid w:val="2CDB7D78"/>
    <w:rsid w:val="2CF07D5C"/>
    <w:rsid w:val="2CF47462"/>
    <w:rsid w:val="2D1864BD"/>
    <w:rsid w:val="2D533588"/>
    <w:rsid w:val="2D555456"/>
    <w:rsid w:val="2D6B0926"/>
    <w:rsid w:val="2D6D210F"/>
    <w:rsid w:val="2D71058E"/>
    <w:rsid w:val="2D7A5253"/>
    <w:rsid w:val="2D7F496C"/>
    <w:rsid w:val="2D917F4C"/>
    <w:rsid w:val="2D9E56F5"/>
    <w:rsid w:val="2DC071FE"/>
    <w:rsid w:val="2DD7614B"/>
    <w:rsid w:val="2DD93ABB"/>
    <w:rsid w:val="2DE77433"/>
    <w:rsid w:val="2DE955A4"/>
    <w:rsid w:val="2E2E0DA6"/>
    <w:rsid w:val="2E383E35"/>
    <w:rsid w:val="2E3C6B23"/>
    <w:rsid w:val="2E667F96"/>
    <w:rsid w:val="2E794970"/>
    <w:rsid w:val="2E7D4472"/>
    <w:rsid w:val="2E8226AB"/>
    <w:rsid w:val="2E9B3480"/>
    <w:rsid w:val="2EC658E5"/>
    <w:rsid w:val="2EE2225E"/>
    <w:rsid w:val="2EF828CD"/>
    <w:rsid w:val="2F363DEB"/>
    <w:rsid w:val="2F4D3492"/>
    <w:rsid w:val="2F711032"/>
    <w:rsid w:val="2F74766A"/>
    <w:rsid w:val="2F84408C"/>
    <w:rsid w:val="2F9A40E4"/>
    <w:rsid w:val="2FD065E6"/>
    <w:rsid w:val="2FD4590D"/>
    <w:rsid w:val="2FD96870"/>
    <w:rsid w:val="30027128"/>
    <w:rsid w:val="302F2B98"/>
    <w:rsid w:val="30476A53"/>
    <w:rsid w:val="304A1F47"/>
    <w:rsid w:val="304F7369"/>
    <w:rsid w:val="30580BC9"/>
    <w:rsid w:val="306D3573"/>
    <w:rsid w:val="30826B54"/>
    <w:rsid w:val="308B1761"/>
    <w:rsid w:val="30A024D8"/>
    <w:rsid w:val="30BD28B1"/>
    <w:rsid w:val="30CC62CE"/>
    <w:rsid w:val="30F1666A"/>
    <w:rsid w:val="30FA3362"/>
    <w:rsid w:val="311618E2"/>
    <w:rsid w:val="311E2ED7"/>
    <w:rsid w:val="31436959"/>
    <w:rsid w:val="3151076C"/>
    <w:rsid w:val="315619EE"/>
    <w:rsid w:val="315C449C"/>
    <w:rsid w:val="31927D00"/>
    <w:rsid w:val="31A11F24"/>
    <w:rsid w:val="31A9798D"/>
    <w:rsid w:val="31B82709"/>
    <w:rsid w:val="31D05482"/>
    <w:rsid w:val="31DA480F"/>
    <w:rsid w:val="31E43039"/>
    <w:rsid w:val="31FB6365"/>
    <w:rsid w:val="323E4812"/>
    <w:rsid w:val="32400B34"/>
    <w:rsid w:val="324803BF"/>
    <w:rsid w:val="32494863"/>
    <w:rsid w:val="32797C81"/>
    <w:rsid w:val="32861C19"/>
    <w:rsid w:val="329802B9"/>
    <w:rsid w:val="329977F2"/>
    <w:rsid w:val="329A0231"/>
    <w:rsid w:val="329D695D"/>
    <w:rsid w:val="329E6876"/>
    <w:rsid w:val="32AA0D99"/>
    <w:rsid w:val="32BC6B37"/>
    <w:rsid w:val="32BF2D77"/>
    <w:rsid w:val="32CB5278"/>
    <w:rsid w:val="32E35212"/>
    <w:rsid w:val="33132B74"/>
    <w:rsid w:val="332105AE"/>
    <w:rsid w:val="332D0E45"/>
    <w:rsid w:val="333015F2"/>
    <w:rsid w:val="333E3779"/>
    <w:rsid w:val="334B6320"/>
    <w:rsid w:val="33646CB4"/>
    <w:rsid w:val="337657E1"/>
    <w:rsid w:val="338418CB"/>
    <w:rsid w:val="33950BA1"/>
    <w:rsid w:val="33AB2AF7"/>
    <w:rsid w:val="33D934D4"/>
    <w:rsid w:val="33DB32E0"/>
    <w:rsid w:val="33FE2F6A"/>
    <w:rsid w:val="33FF07AF"/>
    <w:rsid w:val="340E07E5"/>
    <w:rsid w:val="34235BF7"/>
    <w:rsid w:val="342746E8"/>
    <w:rsid w:val="342A3267"/>
    <w:rsid w:val="347E456C"/>
    <w:rsid w:val="349774CD"/>
    <w:rsid w:val="34A97BF1"/>
    <w:rsid w:val="34C77C5A"/>
    <w:rsid w:val="34E340D7"/>
    <w:rsid w:val="34E75243"/>
    <w:rsid w:val="353934A4"/>
    <w:rsid w:val="35721DD3"/>
    <w:rsid w:val="357E4B5E"/>
    <w:rsid w:val="358C5FA8"/>
    <w:rsid w:val="359E043F"/>
    <w:rsid w:val="35C15DF1"/>
    <w:rsid w:val="35D20C0D"/>
    <w:rsid w:val="35D73F34"/>
    <w:rsid w:val="35D76366"/>
    <w:rsid w:val="35E96F6C"/>
    <w:rsid w:val="36074A7F"/>
    <w:rsid w:val="36150687"/>
    <w:rsid w:val="362F4318"/>
    <w:rsid w:val="363D792A"/>
    <w:rsid w:val="365B0A8C"/>
    <w:rsid w:val="36923549"/>
    <w:rsid w:val="36972AE0"/>
    <w:rsid w:val="36A148BC"/>
    <w:rsid w:val="36B75FBF"/>
    <w:rsid w:val="36BD0C45"/>
    <w:rsid w:val="36D1141F"/>
    <w:rsid w:val="36E04CF2"/>
    <w:rsid w:val="36EE68F2"/>
    <w:rsid w:val="36EF7B43"/>
    <w:rsid w:val="36F54FB9"/>
    <w:rsid w:val="370B36D4"/>
    <w:rsid w:val="371A15BB"/>
    <w:rsid w:val="372238D5"/>
    <w:rsid w:val="374A6E07"/>
    <w:rsid w:val="37691EBB"/>
    <w:rsid w:val="377E5908"/>
    <w:rsid w:val="37842295"/>
    <w:rsid w:val="37C45426"/>
    <w:rsid w:val="37E00298"/>
    <w:rsid w:val="37F73E41"/>
    <w:rsid w:val="38254DE9"/>
    <w:rsid w:val="382B1272"/>
    <w:rsid w:val="38697206"/>
    <w:rsid w:val="386C66F1"/>
    <w:rsid w:val="388710FB"/>
    <w:rsid w:val="388F7A2E"/>
    <w:rsid w:val="38A442FB"/>
    <w:rsid w:val="38B302F9"/>
    <w:rsid w:val="38D97FC3"/>
    <w:rsid w:val="38EE48E4"/>
    <w:rsid w:val="38F12CD3"/>
    <w:rsid w:val="38F94775"/>
    <w:rsid w:val="39016D48"/>
    <w:rsid w:val="390431A7"/>
    <w:rsid w:val="39152486"/>
    <w:rsid w:val="392971ED"/>
    <w:rsid w:val="39325651"/>
    <w:rsid w:val="395D2064"/>
    <w:rsid w:val="39762C93"/>
    <w:rsid w:val="39930ABA"/>
    <w:rsid w:val="399357F5"/>
    <w:rsid w:val="39A420EA"/>
    <w:rsid w:val="39B1408A"/>
    <w:rsid w:val="39BC3B6C"/>
    <w:rsid w:val="39DB0A8F"/>
    <w:rsid w:val="3A003ECD"/>
    <w:rsid w:val="3A054B2B"/>
    <w:rsid w:val="3A1B00FE"/>
    <w:rsid w:val="3A540113"/>
    <w:rsid w:val="3A872856"/>
    <w:rsid w:val="3ABE0722"/>
    <w:rsid w:val="3AC525DE"/>
    <w:rsid w:val="3ADA773F"/>
    <w:rsid w:val="3B0145C7"/>
    <w:rsid w:val="3B131EB2"/>
    <w:rsid w:val="3B26320F"/>
    <w:rsid w:val="3B3673AE"/>
    <w:rsid w:val="3B3763D1"/>
    <w:rsid w:val="3B4E2587"/>
    <w:rsid w:val="3B546F95"/>
    <w:rsid w:val="3B566601"/>
    <w:rsid w:val="3B613B7E"/>
    <w:rsid w:val="3B6250DD"/>
    <w:rsid w:val="3B766D28"/>
    <w:rsid w:val="3B865D92"/>
    <w:rsid w:val="3BA1295D"/>
    <w:rsid w:val="3BAA664E"/>
    <w:rsid w:val="3BBC3904"/>
    <w:rsid w:val="3BC33300"/>
    <w:rsid w:val="3BD22764"/>
    <w:rsid w:val="3BFC3324"/>
    <w:rsid w:val="3C195C7B"/>
    <w:rsid w:val="3C1B10AA"/>
    <w:rsid w:val="3C1B3B2B"/>
    <w:rsid w:val="3C2736F4"/>
    <w:rsid w:val="3C2D556A"/>
    <w:rsid w:val="3C2F6E1E"/>
    <w:rsid w:val="3C3A4292"/>
    <w:rsid w:val="3C3E5D1E"/>
    <w:rsid w:val="3C4F64BA"/>
    <w:rsid w:val="3C8732F5"/>
    <w:rsid w:val="3C8F1006"/>
    <w:rsid w:val="3CD355A5"/>
    <w:rsid w:val="3CDA245A"/>
    <w:rsid w:val="3CE11C81"/>
    <w:rsid w:val="3D0843F9"/>
    <w:rsid w:val="3D1E06B7"/>
    <w:rsid w:val="3D33720D"/>
    <w:rsid w:val="3D3E7E89"/>
    <w:rsid w:val="3DA97FFD"/>
    <w:rsid w:val="3DCD3FB6"/>
    <w:rsid w:val="3DD8175B"/>
    <w:rsid w:val="3E054681"/>
    <w:rsid w:val="3E0C5249"/>
    <w:rsid w:val="3E2A675C"/>
    <w:rsid w:val="3E3E7BEF"/>
    <w:rsid w:val="3E3F114A"/>
    <w:rsid w:val="3E5B3A9E"/>
    <w:rsid w:val="3E661BC6"/>
    <w:rsid w:val="3E7359A9"/>
    <w:rsid w:val="3E86274F"/>
    <w:rsid w:val="3E90381A"/>
    <w:rsid w:val="3EC724EF"/>
    <w:rsid w:val="3EDA0523"/>
    <w:rsid w:val="3EE02ED4"/>
    <w:rsid w:val="3F443367"/>
    <w:rsid w:val="3F47002B"/>
    <w:rsid w:val="3F4E230D"/>
    <w:rsid w:val="3F597921"/>
    <w:rsid w:val="3F696875"/>
    <w:rsid w:val="3F8C0753"/>
    <w:rsid w:val="3FCC6B96"/>
    <w:rsid w:val="3FD93122"/>
    <w:rsid w:val="3FDB3559"/>
    <w:rsid w:val="3FF873D8"/>
    <w:rsid w:val="40086CFD"/>
    <w:rsid w:val="400E2425"/>
    <w:rsid w:val="40280D6B"/>
    <w:rsid w:val="40331EEE"/>
    <w:rsid w:val="4044666A"/>
    <w:rsid w:val="404A649C"/>
    <w:rsid w:val="407A6407"/>
    <w:rsid w:val="407E66C5"/>
    <w:rsid w:val="40834082"/>
    <w:rsid w:val="40B233B2"/>
    <w:rsid w:val="40BB2553"/>
    <w:rsid w:val="40D20401"/>
    <w:rsid w:val="40D93410"/>
    <w:rsid w:val="40DF26B0"/>
    <w:rsid w:val="40E50C35"/>
    <w:rsid w:val="41001A84"/>
    <w:rsid w:val="410157E1"/>
    <w:rsid w:val="411940E5"/>
    <w:rsid w:val="41232FB4"/>
    <w:rsid w:val="413A2C15"/>
    <w:rsid w:val="41477907"/>
    <w:rsid w:val="414803DC"/>
    <w:rsid w:val="414A5820"/>
    <w:rsid w:val="414A5F02"/>
    <w:rsid w:val="416A4A89"/>
    <w:rsid w:val="416C0724"/>
    <w:rsid w:val="4197130C"/>
    <w:rsid w:val="41C025A9"/>
    <w:rsid w:val="41D87D3F"/>
    <w:rsid w:val="41FF0DBB"/>
    <w:rsid w:val="4200449D"/>
    <w:rsid w:val="42133B8B"/>
    <w:rsid w:val="421B4486"/>
    <w:rsid w:val="421E0F52"/>
    <w:rsid w:val="423A3BCC"/>
    <w:rsid w:val="423E7604"/>
    <w:rsid w:val="424E57D2"/>
    <w:rsid w:val="4250617C"/>
    <w:rsid w:val="42986B72"/>
    <w:rsid w:val="42B06238"/>
    <w:rsid w:val="42B26C49"/>
    <w:rsid w:val="42C16246"/>
    <w:rsid w:val="42C5473C"/>
    <w:rsid w:val="42D32914"/>
    <w:rsid w:val="42E243E9"/>
    <w:rsid w:val="431129FD"/>
    <w:rsid w:val="432A5B53"/>
    <w:rsid w:val="43346464"/>
    <w:rsid w:val="433A6FE6"/>
    <w:rsid w:val="433C6EDF"/>
    <w:rsid w:val="43480868"/>
    <w:rsid w:val="434909D2"/>
    <w:rsid w:val="434B35C2"/>
    <w:rsid w:val="4350713C"/>
    <w:rsid w:val="43533BE8"/>
    <w:rsid w:val="436402DD"/>
    <w:rsid w:val="43651FFA"/>
    <w:rsid w:val="436653E0"/>
    <w:rsid w:val="438669F9"/>
    <w:rsid w:val="438F1D61"/>
    <w:rsid w:val="4397416B"/>
    <w:rsid w:val="439A271E"/>
    <w:rsid w:val="439F67F7"/>
    <w:rsid w:val="43C4431A"/>
    <w:rsid w:val="43E17EFD"/>
    <w:rsid w:val="43F02C77"/>
    <w:rsid w:val="44183EE9"/>
    <w:rsid w:val="444A5CE1"/>
    <w:rsid w:val="446A4897"/>
    <w:rsid w:val="446D33BB"/>
    <w:rsid w:val="447C7DB4"/>
    <w:rsid w:val="448F1DFA"/>
    <w:rsid w:val="44913407"/>
    <w:rsid w:val="44AD62E4"/>
    <w:rsid w:val="44B951CC"/>
    <w:rsid w:val="44CD14E0"/>
    <w:rsid w:val="44CF7A97"/>
    <w:rsid w:val="44D176CE"/>
    <w:rsid w:val="44F20B0B"/>
    <w:rsid w:val="45114A51"/>
    <w:rsid w:val="45137021"/>
    <w:rsid w:val="452D69D9"/>
    <w:rsid w:val="452E5F4C"/>
    <w:rsid w:val="453A7ED6"/>
    <w:rsid w:val="45443FF5"/>
    <w:rsid w:val="45470B38"/>
    <w:rsid w:val="455F4245"/>
    <w:rsid w:val="45612018"/>
    <w:rsid w:val="458946E9"/>
    <w:rsid w:val="45A47C0E"/>
    <w:rsid w:val="45BA7E41"/>
    <w:rsid w:val="45C310C6"/>
    <w:rsid w:val="45C5152B"/>
    <w:rsid w:val="45C87ED7"/>
    <w:rsid w:val="45CC3B46"/>
    <w:rsid w:val="45DD2226"/>
    <w:rsid w:val="45EB3986"/>
    <w:rsid w:val="45F030FF"/>
    <w:rsid w:val="46064572"/>
    <w:rsid w:val="461568B6"/>
    <w:rsid w:val="463036C8"/>
    <w:rsid w:val="464755A5"/>
    <w:rsid w:val="46577FD6"/>
    <w:rsid w:val="467C4DAF"/>
    <w:rsid w:val="469E7287"/>
    <w:rsid w:val="46A37B27"/>
    <w:rsid w:val="46C2653A"/>
    <w:rsid w:val="46D955A7"/>
    <w:rsid w:val="46E91D19"/>
    <w:rsid w:val="46EC51FF"/>
    <w:rsid w:val="46FD7D0F"/>
    <w:rsid w:val="47133957"/>
    <w:rsid w:val="4720468E"/>
    <w:rsid w:val="4737744B"/>
    <w:rsid w:val="477041E8"/>
    <w:rsid w:val="478015E2"/>
    <w:rsid w:val="47A07E0C"/>
    <w:rsid w:val="47C84024"/>
    <w:rsid w:val="47E2114A"/>
    <w:rsid w:val="47F57860"/>
    <w:rsid w:val="481E3D6C"/>
    <w:rsid w:val="483A2E50"/>
    <w:rsid w:val="484C54DA"/>
    <w:rsid w:val="48572661"/>
    <w:rsid w:val="4870272E"/>
    <w:rsid w:val="48884A4C"/>
    <w:rsid w:val="48967A01"/>
    <w:rsid w:val="48AD1A9E"/>
    <w:rsid w:val="48D948BC"/>
    <w:rsid w:val="48E237FB"/>
    <w:rsid w:val="48E346DD"/>
    <w:rsid w:val="48FE10B0"/>
    <w:rsid w:val="4904389E"/>
    <w:rsid w:val="490864D2"/>
    <w:rsid w:val="496F1660"/>
    <w:rsid w:val="49B07C97"/>
    <w:rsid w:val="49C235E7"/>
    <w:rsid w:val="49CC56A8"/>
    <w:rsid w:val="49D42525"/>
    <w:rsid w:val="49D81E16"/>
    <w:rsid w:val="49DC7715"/>
    <w:rsid w:val="4A0003AD"/>
    <w:rsid w:val="4A023139"/>
    <w:rsid w:val="4A0A3AEC"/>
    <w:rsid w:val="4A0A3F2C"/>
    <w:rsid w:val="4A1B668D"/>
    <w:rsid w:val="4A2863F4"/>
    <w:rsid w:val="4A2A23C9"/>
    <w:rsid w:val="4A2F0064"/>
    <w:rsid w:val="4A3231C1"/>
    <w:rsid w:val="4A4602C0"/>
    <w:rsid w:val="4A741541"/>
    <w:rsid w:val="4A7B576F"/>
    <w:rsid w:val="4A942B15"/>
    <w:rsid w:val="4AC67C7E"/>
    <w:rsid w:val="4AC9433B"/>
    <w:rsid w:val="4ACA0497"/>
    <w:rsid w:val="4AF31677"/>
    <w:rsid w:val="4AF561A9"/>
    <w:rsid w:val="4B0C754A"/>
    <w:rsid w:val="4B1A773F"/>
    <w:rsid w:val="4B2257F9"/>
    <w:rsid w:val="4B2677D8"/>
    <w:rsid w:val="4B2E1D56"/>
    <w:rsid w:val="4B2E4107"/>
    <w:rsid w:val="4B3923A5"/>
    <w:rsid w:val="4BC9554C"/>
    <w:rsid w:val="4BCE660B"/>
    <w:rsid w:val="4BDB00E5"/>
    <w:rsid w:val="4BEA4569"/>
    <w:rsid w:val="4BF05ED5"/>
    <w:rsid w:val="4BF40538"/>
    <w:rsid w:val="4C064D24"/>
    <w:rsid w:val="4C0800BF"/>
    <w:rsid w:val="4C114866"/>
    <w:rsid w:val="4C154BAC"/>
    <w:rsid w:val="4C2B0AC5"/>
    <w:rsid w:val="4C496BAF"/>
    <w:rsid w:val="4C4A0649"/>
    <w:rsid w:val="4C5532F8"/>
    <w:rsid w:val="4C5A2353"/>
    <w:rsid w:val="4C6E3CE2"/>
    <w:rsid w:val="4C7E5ECA"/>
    <w:rsid w:val="4C876AA5"/>
    <w:rsid w:val="4C9C7999"/>
    <w:rsid w:val="4CA45F41"/>
    <w:rsid w:val="4CBF7108"/>
    <w:rsid w:val="4CD22809"/>
    <w:rsid w:val="4CEA5375"/>
    <w:rsid w:val="4D0E00FB"/>
    <w:rsid w:val="4D176606"/>
    <w:rsid w:val="4D21121C"/>
    <w:rsid w:val="4D371A30"/>
    <w:rsid w:val="4D371F6E"/>
    <w:rsid w:val="4D4804A3"/>
    <w:rsid w:val="4D6E11CA"/>
    <w:rsid w:val="4D7161C1"/>
    <w:rsid w:val="4D8065A4"/>
    <w:rsid w:val="4D9C043D"/>
    <w:rsid w:val="4DA50478"/>
    <w:rsid w:val="4DAF1E8C"/>
    <w:rsid w:val="4DC1754C"/>
    <w:rsid w:val="4DD95A7F"/>
    <w:rsid w:val="4DEC4FB0"/>
    <w:rsid w:val="4DF95A64"/>
    <w:rsid w:val="4DFC2210"/>
    <w:rsid w:val="4E075D8A"/>
    <w:rsid w:val="4E0D50EE"/>
    <w:rsid w:val="4E1F0F56"/>
    <w:rsid w:val="4E511C93"/>
    <w:rsid w:val="4E555611"/>
    <w:rsid w:val="4E747387"/>
    <w:rsid w:val="4E7F413B"/>
    <w:rsid w:val="4EA1748F"/>
    <w:rsid w:val="4EB878C5"/>
    <w:rsid w:val="4EC00FAD"/>
    <w:rsid w:val="4EC145C8"/>
    <w:rsid w:val="4EC761E6"/>
    <w:rsid w:val="4EDA1AAD"/>
    <w:rsid w:val="4EE11982"/>
    <w:rsid w:val="4EE83C82"/>
    <w:rsid w:val="4F1151EF"/>
    <w:rsid w:val="4F192E39"/>
    <w:rsid w:val="4F270AD2"/>
    <w:rsid w:val="4F430A64"/>
    <w:rsid w:val="4F8070CC"/>
    <w:rsid w:val="4F8A03E8"/>
    <w:rsid w:val="4F8F69E4"/>
    <w:rsid w:val="4F941B97"/>
    <w:rsid w:val="4F9843DC"/>
    <w:rsid w:val="4F9F76EB"/>
    <w:rsid w:val="4FC62A8C"/>
    <w:rsid w:val="4FD95001"/>
    <w:rsid w:val="4FE20F0D"/>
    <w:rsid w:val="4FE51552"/>
    <w:rsid w:val="4FE64959"/>
    <w:rsid w:val="501047BA"/>
    <w:rsid w:val="503E4E84"/>
    <w:rsid w:val="50504C4B"/>
    <w:rsid w:val="50575F45"/>
    <w:rsid w:val="507E0C97"/>
    <w:rsid w:val="509C6E7C"/>
    <w:rsid w:val="50A13664"/>
    <w:rsid w:val="50B734D4"/>
    <w:rsid w:val="50F25C6E"/>
    <w:rsid w:val="512C0790"/>
    <w:rsid w:val="512E314A"/>
    <w:rsid w:val="5162104E"/>
    <w:rsid w:val="5165057C"/>
    <w:rsid w:val="516F56EC"/>
    <w:rsid w:val="51760247"/>
    <w:rsid w:val="517D7266"/>
    <w:rsid w:val="519525AC"/>
    <w:rsid w:val="51D765F9"/>
    <w:rsid w:val="51DB3E7E"/>
    <w:rsid w:val="51F10896"/>
    <w:rsid w:val="51F60BCF"/>
    <w:rsid w:val="52494A9A"/>
    <w:rsid w:val="528E7476"/>
    <w:rsid w:val="52913715"/>
    <w:rsid w:val="52A87CE8"/>
    <w:rsid w:val="52B6200C"/>
    <w:rsid w:val="52BC2AD4"/>
    <w:rsid w:val="52BC5BFD"/>
    <w:rsid w:val="52C71B3B"/>
    <w:rsid w:val="52D570FE"/>
    <w:rsid w:val="530D7362"/>
    <w:rsid w:val="530E1143"/>
    <w:rsid w:val="530E1F89"/>
    <w:rsid w:val="531F0005"/>
    <w:rsid w:val="53513120"/>
    <w:rsid w:val="53563837"/>
    <w:rsid w:val="535B112C"/>
    <w:rsid w:val="535F1D3F"/>
    <w:rsid w:val="537B60F0"/>
    <w:rsid w:val="53860631"/>
    <w:rsid w:val="53A039CC"/>
    <w:rsid w:val="53A1505A"/>
    <w:rsid w:val="53A27453"/>
    <w:rsid w:val="53B536AF"/>
    <w:rsid w:val="53BF4F31"/>
    <w:rsid w:val="53D80437"/>
    <w:rsid w:val="53E108B7"/>
    <w:rsid w:val="53F22B5F"/>
    <w:rsid w:val="53F651B2"/>
    <w:rsid w:val="53F92F28"/>
    <w:rsid w:val="53FF2DF9"/>
    <w:rsid w:val="54063E08"/>
    <w:rsid w:val="541257C9"/>
    <w:rsid w:val="543071F0"/>
    <w:rsid w:val="543437E8"/>
    <w:rsid w:val="54567465"/>
    <w:rsid w:val="54820107"/>
    <w:rsid w:val="54877ACD"/>
    <w:rsid w:val="548D771C"/>
    <w:rsid w:val="54A45DB5"/>
    <w:rsid w:val="54D10471"/>
    <w:rsid w:val="54E27E1D"/>
    <w:rsid w:val="54F73313"/>
    <w:rsid w:val="54F80955"/>
    <w:rsid w:val="55393E6B"/>
    <w:rsid w:val="554860BB"/>
    <w:rsid w:val="555170A7"/>
    <w:rsid w:val="55535E10"/>
    <w:rsid w:val="555C61F1"/>
    <w:rsid w:val="556C447C"/>
    <w:rsid w:val="557A5267"/>
    <w:rsid w:val="5587536D"/>
    <w:rsid w:val="558923DF"/>
    <w:rsid w:val="559B174B"/>
    <w:rsid w:val="559B4C7C"/>
    <w:rsid w:val="55C169EE"/>
    <w:rsid w:val="55CE0CF4"/>
    <w:rsid w:val="55DA779B"/>
    <w:rsid w:val="55F70845"/>
    <w:rsid w:val="55F71F0C"/>
    <w:rsid w:val="5600257F"/>
    <w:rsid w:val="56075A2D"/>
    <w:rsid w:val="5607702A"/>
    <w:rsid w:val="56181054"/>
    <w:rsid w:val="563F39B0"/>
    <w:rsid w:val="564936DA"/>
    <w:rsid w:val="567B560F"/>
    <w:rsid w:val="5687147E"/>
    <w:rsid w:val="569A4B00"/>
    <w:rsid w:val="569B77F0"/>
    <w:rsid w:val="56B22A9C"/>
    <w:rsid w:val="56C97C11"/>
    <w:rsid w:val="57020FEF"/>
    <w:rsid w:val="57256D9D"/>
    <w:rsid w:val="572D6D67"/>
    <w:rsid w:val="574B1043"/>
    <w:rsid w:val="575F1C07"/>
    <w:rsid w:val="57657A1E"/>
    <w:rsid w:val="577606F8"/>
    <w:rsid w:val="57923D07"/>
    <w:rsid w:val="579D4B86"/>
    <w:rsid w:val="57B72A76"/>
    <w:rsid w:val="57C3426C"/>
    <w:rsid w:val="57CE1F93"/>
    <w:rsid w:val="57DB6A28"/>
    <w:rsid w:val="57F01D09"/>
    <w:rsid w:val="58074A84"/>
    <w:rsid w:val="581F3484"/>
    <w:rsid w:val="587C1217"/>
    <w:rsid w:val="58837F99"/>
    <w:rsid w:val="588743D1"/>
    <w:rsid w:val="5887701A"/>
    <w:rsid w:val="58907F4D"/>
    <w:rsid w:val="58B84EAC"/>
    <w:rsid w:val="58BB2411"/>
    <w:rsid w:val="58D066BA"/>
    <w:rsid w:val="590C43E7"/>
    <w:rsid w:val="59113031"/>
    <w:rsid w:val="59140E77"/>
    <w:rsid w:val="592F03B7"/>
    <w:rsid w:val="594F19C5"/>
    <w:rsid w:val="5964366C"/>
    <w:rsid w:val="59705BAB"/>
    <w:rsid w:val="59782D8C"/>
    <w:rsid w:val="599E6993"/>
    <w:rsid w:val="59C0439F"/>
    <w:rsid w:val="59C1242D"/>
    <w:rsid w:val="59C25DA9"/>
    <w:rsid w:val="5A124512"/>
    <w:rsid w:val="5A125FA7"/>
    <w:rsid w:val="5A1A48F2"/>
    <w:rsid w:val="5A3153FC"/>
    <w:rsid w:val="5A4F467F"/>
    <w:rsid w:val="5A624BD9"/>
    <w:rsid w:val="5A80402D"/>
    <w:rsid w:val="5A9932F7"/>
    <w:rsid w:val="5A9D3A79"/>
    <w:rsid w:val="5ABE2233"/>
    <w:rsid w:val="5B0B2D0B"/>
    <w:rsid w:val="5B260E18"/>
    <w:rsid w:val="5B411C6F"/>
    <w:rsid w:val="5B466047"/>
    <w:rsid w:val="5B495B49"/>
    <w:rsid w:val="5B8805B7"/>
    <w:rsid w:val="5BA23C36"/>
    <w:rsid w:val="5BDB7A2A"/>
    <w:rsid w:val="5BDF5D95"/>
    <w:rsid w:val="5BF3746A"/>
    <w:rsid w:val="5BFE7528"/>
    <w:rsid w:val="5C4357BA"/>
    <w:rsid w:val="5C5B6935"/>
    <w:rsid w:val="5C6519E1"/>
    <w:rsid w:val="5C743F83"/>
    <w:rsid w:val="5C7878A1"/>
    <w:rsid w:val="5C870602"/>
    <w:rsid w:val="5C8C14F3"/>
    <w:rsid w:val="5C927F83"/>
    <w:rsid w:val="5CD13C40"/>
    <w:rsid w:val="5CD8040E"/>
    <w:rsid w:val="5CDA3BBB"/>
    <w:rsid w:val="5CE064A1"/>
    <w:rsid w:val="5CEB6EED"/>
    <w:rsid w:val="5D064E95"/>
    <w:rsid w:val="5D0979C5"/>
    <w:rsid w:val="5D0B433F"/>
    <w:rsid w:val="5D243653"/>
    <w:rsid w:val="5D2709FA"/>
    <w:rsid w:val="5D723826"/>
    <w:rsid w:val="5D8A4576"/>
    <w:rsid w:val="5DAE4846"/>
    <w:rsid w:val="5DB61185"/>
    <w:rsid w:val="5DC35355"/>
    <w:rsid w:val="5DCB001A"/>
    <w:rsid w:val="5DD32D94"/>
    <w:rsid w:val="5DD33EAA"/>
    <w:rsid w:val="5DE01993"/>
    <w:rsid w:val="5DE0757A"/>
    <w:rsid w:val="5DF40BC2"/>
    <w:rsid w:val="5E0344E0"/>
    <w:rsid w:val="5E0B0128"/>
    <w:rsid w:val="5E2467F1"/>
    <w:rsid w:val="5E5D41C2"/>
    <w:rsid w:val="5E9731D0"/>
    <w:rsid w:val="5EBA708C"/>
    <w:rsid w:val="5EFC043B"/>
    <w:rsid w:val="5F081B99"/>
    <w:rsid w:val="5F1461BC"/>
    <w:rsid w:val="5F1A2B43"/>
    <w:rsid w:val="5F3C42E1"/>
    <w:rsid w:val="5F40051E"/>
    <w:rsid w:val="5F4A5F3F"/>
    <w:rsid w:val="5F4F29B3"/>
    <w:rsid w:val="5F514398"/>
    <w:rsid w:val="5F812FDF"/>
    <w:rsid w:val="5FB837BB"/>
    <w:rsid w:val="5FCC424D"/>
    <w:rsid w:val="5FD73B2F"/>
    <w:rsid w:val="5FD8694E"/>
    <w:rsid w:val="603D1F46"/>
    <w:rsid w:val="60410E37"/>
    <w:rsid w:val="6047315C"/>
    <w:rsid w:val="604B7475"/>
    <w:rsid w:val="60AE1EE5"/>
    <w:rsid w:val="60C53A6E"/>
    <w:rsid w:val="60CC405A"/>
    <w:rsid w:val="60D21CFD"/>
    <w:rsid w:val="60DF0E81"/>
    <w:rsid w:val="60E41AA7"/>
    <w:rsid w:val="610B3AC7"/>
    <w:rsid w:val="614040E2"/>
    <w:rsid w:val="61537ACB"/>
    <w:rsid w:val="61771D6D"/>
    <w:rsid w:val="618E0EE3"/>
    <w:rsid w:val="61AE725C"/>
    <w:rsid w:val="61B44AA2"/>
    <w:rsid w:val="61C242DB"/>
    <w:rsid w:val="61C71504"/>
    <w:rsid w:val="61CE15CC"/>
    <w:rsid w:val="61E0645F"/>
    <w:rsid w:val="61E215D8"/>
    <w:rsid w:val="61FC4DC8"/>
    <w:rsid w:val="620C4B0B"/>
    <w:rsid w:val="621B3775"/>
    <w:rsid w:val="6231105B"/>
    <w:rsid w:val="62364782"/>
    <w:rsid w:val="6248193D"/>
    <w:rsid w:val="625C1857"/>
    <w:rsid w:val="62625D86"/>
    <w:rsid w:val="626325D1"/>
    <w:rsid w:val="62835C1F"/>
    <w:rsid w:val="62915209"/>
    <w:rsid w:val="629C72DE"/>
    <w:rsid w:val="629F5481"/>
    <w:rsid w:val="62E07A60"/>
    <w:rsid w:val="62E81692"/>
    <w:rsid w:val="62ED030C"/>
    <w:rsid w:val="63193BD8"/>
    <w:rsid w:val="633700DC"/>
    <w:rsid w:val="634B514E"/>
    <w:rsid w:val="638C5281"/>
    <w:rsid w:val="6394356A"/>
    <w:rsid w:val="639C3F57"/>
    <w:rsid w:val="63C61B2C"/>
    <w:rsid w:val="63D40BE9"/>
    <w:rsid w:val="63F9352C"/>
    <w:rsid w:val="640172AA"/>
    <w:rsid w:val="64102431"/>
    <w:rsid w:val="642D2F55"/>
    <w:rsid w:val="643C11C7"/>
    <w:rsid w:val="644E7554"/>
    <w:rsid w:val="646658E2"/>
    <w:rsid w:val="647E07E2"/>
    <w:rsid w:val="648538FE"/>
    <w:rsid w:val="64A2412E"/>
    <w:rsid w:val="64A5243A"/>
    <w:rsid w:val="64B447C2"/>
    <w:rsid w:val="64D67929"/>
    <w:rsid w:val="64DD124D"/>
    <w:rsid w:val="64EB785D"/>
    <w:rsid w:val="64F531DE"/>
    <w:rsid w:val="652578CB"/>
    <w:rsid w:val="65373578"/>
    <w:rsid w:val="65442B7E"/>
    <w:rsid w:val="654A2226"/>
    <w:rsid w:val="65535E1F"/>
    <w:rsid w:val="655B1BC5"/>
    <w:rsid w:val="65615911"/>
    <w:rsid w:val="656863F9"/>
    <w:rsid w:val="656B7E56"/>
    <w:rsid w:val="657204FB"/>
    <w:rsid w:val="65751857"/>
    <w:rsid w:val="65907753"/>
    <w:rsid w:val="6596151F"/>
    <w:rsid w:val="659A54ED"/>
    <w:rsid w:val="659F13CB"/>
    <w:rsid w:val="65C00375"/>
    <w:rsid w:val="65D6639E"/>
    <w:rsid w:val="65D8388F"/>
    <w:rsid w:val="65EF214C"/>
    <w:rsid w:val="65F64A00"/>
    <w:rsid w:val="66021D22"/>
    <w:rsid w:val="66215C78"/>
    <w:rsid w:val="66427B15"/>
    <w:rsid w:val="666E5F6F"/>
    <w:rsid w:val="66855530"/>
    <w:rsid w:val="66B75538"/>
    <w:rsid w:val="66D57301"/>
    <w:rsid w:val="66D75317"/>
    <w:rsid w:val="66F44128"/>
    <w:rsid w:val="67150F91"/>
    <w:rsid w:val="671A6289"/>
    <w:rsid w:val="671F124A"/>
    <w:rsid w:val="676E3750"/>
    <w:rsid w:val="676E5AFF"/>
    <w:rsid w:val="677A33C6"/>
    <w:rsid w:val="678369E2"/>
    <w:rsid w:val="678C7A18"/>
    <w:rsid w:val="67901F35"/>
    <w:rsid w:val="679E1439"/>
    <w:rsid w:val="67A80D61"/>
    <w:rsid w:val="67B14295"/>
    <w:rsid w:val="67CA72CB"/>
    <w:rsid w:val="681123DD"/>
    <w:rsid w:val="681F6961"/>
    <w:rsid w:val="682D3DFC"/>
    <w:rsid w:val="683E73F1"/>
    <w:rsid w:val="68610A2F"/>
    <w:rsid w:val="68671929"/>
    <w:rsid w:val="68765050"/>
    <w:rsid w:val="68784DEE"/>
    <w:rsid w:val="687F6493"/>
    <w:rsid w:val="68805514"/>
    <w:rsid w:val="68820FC4"/>
    <w:rsid w:val="688D3EE4"/>
    <w:rsid w:val="68BC2B40"/>
    <w:rsid w:val="68DB6545"/>
    <w:rsid w:val="68FF17F1"/>
    <w:rsid w:val="69081375"/>
    <w:rsid w:val="691E7A28"/>
    <w:rsid w:val="69316E2F"/>
    <w:rsid w:val="6948113E"/>
    <w:rsid w:val="694E2071"/>
    <w:rsid w:val="69766163"/>
    <w:rsid w:val="697A3B33"/>
    <w:rsid w:val="698C5FBA"/>
    <w:rsid w:val="69B9493B"/>
    <w:rsid w:val="69D44760"/>
    <w:rsid w:val="69D47617"/>
    <w:rsid w:val="69D837FB"/>
    <w:rsid w:val="69E94D51"/>
    <w:rsid w:val="6A121BA1"/>
    <w:rsid w:val="6A2C22DF"/>
    <w:rsid w:val="6A3F4AF5"/>
    <w:rsid w:val="6A507931"/>
    <w:rsid w:val="6A520EC7"/>
    <w:rsid w:val="6A751312"/>
    <w:rsid w:val="6A7579B0"/>
    <w:rsid w:val="6A7B0698"/>
    <w:rsid w:val="6AA45DD3"/>
    <w:rsid w:val="6AC50223"/>
    <w:rsid w:val="6AEC7A48"/>
    <w:rsid w:val="6AEF51F2"/>
    <w:rsid w:val="6AF87E20"/>
    <w:rsid w:val="6AFF2FF1"/>
    <w:rsid w:val="6B322639"/>
    <w:rsid w:val="6B461F7F"/>
    <w:rsid w:val="6B593969"/>
    <w:rsid w:val="6B6F1A76"/>
    <w:rsid w:val="6B894F68"/>
    <w:rsid w:val="6B9F7ED9"/>
    <w:rsid w:val="6BB32F71"/>
    <w:rsid w:val="6C2B222F"/>
    <w:rsid w:val="6C4775F5"/>
    <w:rsid w:val="6C636C38"/>
    <w:rsid w:val="6C8D2661"/>
    <w:rsid w:val="6C962BEF"/>
    <w:rsid w:val="6C9A28C4"/>
    <w:rsid w:val="6CF77AF3"/>
    <w:rsid w:val="6D0847F5"/>
    <w:rsid w:val="6D1C736A"/>
    <w:rsid w:val="6D37544A"/>
    <w:rsid w:val="6D3E63AF"/>
    <w:rsid w:val="6D503001"/>
    <w:rsid w:val="6D5530E8"/>
    <w:rsid w:val="6D5A7CCC"/>
    <w:rsid w:val="6DB34098"/>
    <w:rsid w:val="6DB545B6"/>
    <w:rsid w:val="6DBB590E"/>
    <w:rsid w:val="6DCC7DEE"/>
    <w:rsid w:val="6DD753C4"/>
    <w:rsid w:val="6DD86BE4"/>
    <w:rsid w:val="6DDA4415"/>
    <w:rsid w:val="6DE02FB4"/>
    <w:rsid w:val="6E032E11"/>
    <w:rsid w:val="6E514CED"/>
    <w:rsid w:val="6E533D98"/>
    <w:rsid w:val="6E8C39B7"/>
    <w:rsid w:val="6E8F43F5"/>
    <w:rsid w:val="6E930639"/>
    <w:rsid w:val="6E943435"/>
    <w:rsid w:val="6EA54329"/>
    <w:rsid w:val="6EAD04AB"/>
    <w:rsid w:val="6EB563D5"/>
    <w:rsid w:val="6EC55185"/>
    <w:rsid w:val="6ECD2CC0"/>
    <w:rsid w:val="6ECF289C"/>
    <w:rsid w:val="6ED50F7C"/>
    <w:rsid w:val="6ED92677"/>
    <w:rsid w:val="6EDB7F91"/>
    <w:rsid w:val="6EDF77EA"/>
    <w:rsid w:val="6EF47329"/>
    <w:rsid w:val="6F0F7B43"/>
    <w:rsid w:val="6F225983"/>
    <w:rsid w:val="6F230C82"/>
    <w:rsid w:val="6F2E031C"/>
    <w:rsid w:val="6F314216"/>
    <w:rsid w:val="6F3A712E"/>
    <w:rsid w:val="6F4F0C4A"/>
    <w:rsid w:val="6F590A33"/>
    <w:rsid w:val="6F5C0B48"/>
    <w:rsid w:val="6F620DCA"/>
    <w:rsid w:val="6FB36CAD"/>
    <w:rsid w:val="6FB668E8"/>
    <w:rsid w:val="6FD111A8"/>
    <w:rsid w:val="6FD63D7B"/>
    <w:rsid w:val="6FD661DA"/>
    <w:rsid w:val="6FDE3B35"/>
    <w:rsid w:val="6FFC5590"/>
    <w:rsid w:val="6FFC5832"/>
    <w:rsid w:val="7019668E"/>
    <w:rsid w:val="70495285"/>
    <w:rsid w:val="70597B76"/>
    <w:rsid w:val="706D1DD0"/>
    <w:rsid w:val="70856B87"/>
    <w:rsid w:val="70874A15"/>
    <w:rsid w:val="709A5BD8"/>
    <w:rsid w:val="70D527EE"/>
    <w:rsid w:val="70E9415A"/>
    <w:rsid w:val="70F95581"/>
    <w:rsid w:val="710A2C36"/>
    <w:rsid w:val="713D7313"/>
    <w:rsid w:val="713E353C"/>
    <w:rsid w:val="71453E6C"/>
    <w:rsid w:val="71456539"/>
    <w:rsid w:val="7146458F"/>
    <w:rsid w:val="715B5300"/>
    <w:rsid w:val="71883E3C"/>
    <w:rsid w:val="71A27E34"/>
    <w:rsid w:val="71C57606"/>
    <w:rsid w:val="71D27F8A"/>
    <w:rsid w:val="71D74393"/>
    <w:rsid w:val="72181B67"/>
    <w:rsid w:val="721A4AEA"/>
    <w:rsid w:val="723E589A"/>
    <w:rsid w:val="72553024"/>
    <w:rsid w:val="72C16AA1"/>
    <w:rsid w:val="72C56628"/>
    <w:rsid w:val="730E2034"/>
    <w:rsid w:val="73122968"/>
    <w:rsid w:val="731F5D5E"/>
    <w:rsid w:val="7326439B"/>
    <w:rsid w:val="734267FF"/>
    <w:rsid w:val="73575585"/>
    <w:rsid w:val="73670F7C"/>
    <w:rsid w:val="737202F4"/>
    <w:rsid w:val="73765900"/>
    <w:rsid w:val="7385235F"/>
    <w:rsid w:val="73A36734"/>
    <w:rsid w:val="73A62FC4"/>
    <w:rsid w:val="73A77BC9"/>
    <w:rsid w:val="73B07597"/>
    <w:rsid w:val="73B100BE"/>
    <w:rsid w:val="73C51AD5"/>
    <w:rsid w:val="73DD7803"/>
    <w:rsid w:val="740D3C87"/>
    <w:rsid w:val="74122301"/>
    <w:rsid w:val="741E793C"/>
    <w:rsid w:val="74273815"/>
    <w:rsid w:val="745E3944"/>
    <w:rsid w:val="74841A27"/>
    <w:rsid w:val="74892A2D"/>
    <w:rsid w:val="748F788A"/>
    <w:rsid w:val="7492731A"/>
    <w:rsid w:val="74C118A9"/>
    <w:rsid w:val="74DB11F2"/>
    <w:rsid w:val="74E63BFC"/>
    <w:rsid w:val="74F00593"/>
    <w:rsid w:val="750C5276"/>
    <w:rsid w:val="75241FEA"/>
    <w:rsid w:val="752718BC"/>
    <w:rsid w:val="753936AB"/>
    <w:rsid w:val="756F2741"/>
    <w:rsid w:val="7582387F"/>
    <w:rsid w:val="7584609B"/>
    <w:rsid w:val="75903BDD"/>
    <w:rsid w:val="759A45FF"/>
    <w:rsid w:val="759C6818"/>
    <w:rsid w:val="75A849CA"/>
    <w:rsid w:val="75E57743"/>
    <w:rsid w:val="760B6D06"/>
    <w:rsid w:val="7634229B"/>
    <w:rsid w:val="7635099D"/>
    <w:rsid w:val="7643534A"/>
    <w:rsid w:val="76692A59"/>
    <w:rsid w:val="76927BD7"/>
    <w:rsid w:val="76A1199E"/>
    <w:rsid w:val="76B70BAB"/>
    <w:rsid w:val="76D0606A"/>
    <w:rsid w:val="76FA678F"/>
    <w:rsid w:val="770E2257"/>
    <w:rsid w:val="7713722D"/>
    <w:rsid w:val="77366425"/>
    <w:rsid w:val="773D6D77"/>
    <w:rsid w:val="774A5BC6"/>
    <w:rsid w:val="77762421"/>
    <w:rsid w:val="77896DF1"/>
    <w:rsid w:val="779E288C"/>
    <w:rsid w:val="77B56B1F"/>
    <w:rsid w:val="77E4045C"/>
    <w:rsid w:val="78055133"/>
    <w:rsid w:val="780F09F4"/>
    <w:rsid w:val="781B7AD1"/>
    <w:rsid w:val="78263802"/>
    <w:rsid w:val="782F4582"/>
    <w:rsid w:val="784A0160"/>
    <w:rsid w:val="78621377"/>
    <w:rsid w:val="78A51694"/>
    <w:rsid w:val="78A90480"/>
    <w:rsid w:val="78BC34B0"/>
    <w:rsid w:val="78D13B60"/>
    <w:rsid w:val="78D6416E"/>
    <w:rsid w:val="78F77FB5"/>
    <w:rsid w:val="78F868E3"/>
    <w:rsid w:val="790763EE"/>
    <w:rsid w:val="79110AD8"/>
    <w:rsid w:val="792B0EC5"/>
    <w:rsid w:val="79393B8B"/>
    <w:rsid w:val="793E0AB5"/>
    <w:rsid w:val="793F48BF"/>
    <w:rsid w:val="79496FD8"/>
    <w:rsid w:val="794A54B6"/>
    <w:rsid w:val="7A0167D9"/>
    <w:rsid w:val="7A104E00"/>
    <w:rsid w:val="7A325629"/>
    <w:rsid w:val="7A364017"/>
    <w:rsid w:val="7A3C4454"/>
    <w:rsid w:val="7A8265E1"/>
    <w:rsid w:val="7A847715"/>
    <w:rsid w:val="7A9A5C2E"/>
    <w:rsid w:val="7AC064D7"/>
    <w:rsid w:val="7AD61FD9"/>
    <w:rsid w:val="7ADF3B8A"/>
    <w:rsid w:val="7AEA7832"/>
    <w:rsid w:val="7AEF2945"/>
    <w:rsid w:val="7B0A676C"/>
    <w:rsid w:val="7B2E0DBF"/>
    <w:rsid w:val="7B686D42"/>
    <w:rsid w:val="7B7E5A53"/>
    <w:rsid w:val="7B841746"/>
    <w:rsid w:val="7C0651EC"/>
    <w:rsid w:val="7C0C0A86"/>
    <w:rsid w:val="7C0E7550"/>
    <w:rsid w:val="7C6C5AC7"/>
    <w:rsid w:val="7C7F2F06"/>
    <w:rsid w:val="7CB067F9"/>
    <w:rsid w:val="7CC15134"/>
    <w:rsid w:val="7CC6544B"/>
    <w:rsid w:val="7CCD3B18"/>
    <w:rsid w:val="7CCD4D16"/>
    <w:rsid w:val="7CD2057E"/>
    <w:rsid w:val="7CE40A42"/>
    <w:rsid w:val="7CE415CD"/>
    <w:rsid w:val="7CF5715D"/>
    <w:rsid w:val="7D0239FF"/>
    <w:rsid w:val="7D231EA2"/>
    <w:rsid w:val="7D2F5A9A"/>
    <w:rsid w:val="7D374932"/>
    <w:rsid w:val="7D3A0110"/>
    <w:rsid w:val="7D5E40CD"/>
    <w:rsid w:val="7D6D67CD"/>
    <w:rsid w:val="7D8661D5"/>
    <w:rsid w:val="7D8D19CE"/>
    <w:rsid w:val="7DAD0EF2"/>
    <w:rsid w:val="7DB60EC3"/>
    <w:rsid w:val="7DC13E70"/>
    <w:rsid w:val="7DC51BC7"/>
    <w:rsid w:val="7DCD56F2"/>
    <w:rsid w:val="7DDC574D"/>
    <w:rsid w:val="7DE7564A"/>
    <w:rsid w:val="7E3D3AFE"/>
    <w:rsid w:val="7E450EE2"/>
    <w:rsid w:val="7E4828B8"/>
    <w:rsid w:val="7E5D785B"/>
    <w:rsid w:val="7E722821"/>
    <w:rsid w:val="7E904D51"/>
    <w:rsid w:val="7E924469"/>
    <w:rsid w:val="7E977A87"/>
    <w:rsid w:val="7E9F5A90"/>
    <w:rsid w:val="7EAD5C42"/>
    <w:rsid w:val="7EBB6C1D"/>
    <w:rsid w:val="7EC81C39"/>
    <w:rsid w:val="7F001CE7"/>
    <w:rsid w:val="7F2822B2"/>
    <w:rsid w:val="7F2E2B2B"/>
    <w:rsid w:val="7F4A799C"/>
    <w:rsid w:val="7F5F31A4"/>
    <w:rsid w:val="7F6129D6"/>
    <w:rsid w:val="7F701F2F"/>
    <w:rsid w:val="7F7C7BEC"/>
    <w:rsid w:val="7F833961"/>
    <w:rsid w:val="7F9B12CF"/>
    <w:rsid w:val="7FB73EF8"/>
    <w:rsid w:val="7FE47E50"/>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ocked="1"/>
    <w:lsdException w:qFormat="1" w:uiPriority="0" w:semiHidden="0" w:name="heading 2" w:locked="1"/>
    <w:lsdException w:qFormat="1" w:uiPriority="0" w:semiHidden="0" w:name="heading 3" w:locked="1"/>
    <w:lsdException w:qFormat="1" w:unhideWhenUsed="0" w:uiPriority="0" w:semiHidden="0" w:name="heading 4" w:locked="1"/>
    <w:lsdException w:qFormat="1" w:uiPriority="0" w:name="heading 5" w:locked="1"/>
    <w:lsdException w:qFormat="1" w:uiPriority="0" w:name="heading 6" w:locked="1"/>
    <w:lsdException w:qFormat="1" w:uiPriority="0" w:name="heading 7" w:locked="1"/>
    <w:lsdException w:qFormat="1" w:uiPriority="0" w:name="heading 8" w:locked="1"/>
    <w:lsdException w:qFormat="1" w:uiPriority="0" w:name="heading 9" w:locked="1"/>
    <w:lsdException w:unhideWhenUsed="0" w:uiPriority="0" w:semiHidden="0" w:name="index 1" w:locked="1"/>
    <w:lsdException w:unhideWhenUsed="0" w:uiPriority="0" w:semiHidden="0" w:name="index 2" w:locked="1"/>
    <w:lsdException w:unhideWhenUsed="0" w:uiPriority="0" w:semiHidden="0" w:name="index 3" w:locked="1"/>
    <w:lsdException w:unhideWhenUsed="0" w:uiPriority="0" w:semiHidden="0" w:name="index 4" w:locked="1"/>
    <w:lsdException w:unhideWhenUsed="0" w:uiPriority="0" w:semiHidden="0" w:name="index 5" w:locked="1"/>
    <w:lsdException w:unhideWhenUsed="0" w:uiPriority="0" w:semiHidden="0" w:name="index 6" w:locked="1"/>
    <w:lsdException w:unhideWhenUsed="0" w:uiPriority="0" w:semiHidden="0" w:name="index 7" w:locked="1"/>
    <w:lsdException w:unhideWhenUsed="0" w:uiPriority="0" w:semiHidden="0" w:name="index 8" w:locked="1"/>
    <w:lsdException w:unhideWhenUsed="0" w:uiPriority="0" w:semiHidden="0" w:name="index 9" w:locked="1"/>
    <w:lsdException w:qFormat="1" w:unhideWhenUsed="0" w:uiPriority="0" w:semiHidden="0" w:name="toc 1" w:locked="1"/>
    <w:lsdException w:unhideWhenUsed="0" w:uiPriority="0" w:semiHidden="0" w:name="toc 2" w:locked="1"/>
    <w:lsdException w:unhideWhenUsed="0" w:uiPriority="0" w:semiHidden="0" w:name="toc 3" w:locked="1"/>
    <w:lsdException w:qFormat="1" w:unhideWhenUsed="0" w:uiPriority="0" w:semiHidden="0" w:name="toc 4" w:locked="1"/>
    <w:lsdException w:unhideWhenUsed="0" w:uiPriority="0" w:semiHidden="0" w:name="toc 5" w:locked="1"/>
    <w:lsdException w:unhideWhenUsed="0" w:uiPriority="0" w:semiHidden="0" w:name="toc 6" w:locked="1"/>
    <w:lsdException w:unhideWhenUsed="0" w:uiPriority="0" w:semiHidden="0" w:name="toc 7" w:locked="1"/>
    <w:lsdException w:qFormat="1" w:unhideWhenUsed="0" w:uiPriority="39" w:semiHidden="0" w:name="toc 8" w:locked="1"/>
    <w:lsdException w:unhideWhenUsed="0" w:uiPriority="0" w:semiHidden="0" w:name="toc 9" w:locked="1"/>
    <w:lsdException w:qFormat="1" w:unhideWhenUsed="0" w:uiPriority="0" w:semiHidden="0" w:name="Normal Indent" w:locked="1"/>
    <w:lsdException w:unhideWhenUsed="0" w:uiPriority="0" w:semiHidden="0" w:name="footnote text" w:locked="1"/>
    <w:lsdException w:qFormat="1" w:unhideWhenUsed="0" w:uiPriority="0" w:name="annotation text"/>
    <w:lsdException w:qFormat="1" w:unhideWhenUsed="0" w:uiPriority="0" w:semiHidden="0" w:name="header"/>
    <w:lsdException w:qFormat="1" w:unhideWhenUsed="0" w:uiPriority="99" w:semiHidden="0" w:name="footer"/>
    <w:lsdException w:unhideWhenUsed="0" w:uiPriority="0" w:semiHidden="0" w:name="index heading" w:locked="1"/>
    <w:lsdException w:qFormat="1" w:uiPriority="0" w:name="caption" w:locked="1"/>
    <w:lsdException w:unhideWhenUsed="0" w:uiPriority="0" w:semiHidden="0" w:name="table of figures" w:locked="1"/>
    <w:lsdException w:unhideWhenUsed="0" w:uiPriority="0" w:semiHidden="0" w:name="envelope address" w:locked="1"/>
    <w:lsdException w:unhideWhenUsed="0" w:uiPriority="0" w:semiHidden="0" w:name="envelope return" w:locked="1"/>
    <w:lsdException w:unhideWhenUsed="0" w:uiPriority="0" w:semiHidden="0" w:name="footnote reference" w:locked="1"/>
    <w:lsdException w:qFormat="1" w:unhideWhenUsed="0" w:uiPriority="0" w:name="annotation reference"/>
    <w:lsdException w:unhideWhenUsed="0" w:uiPriority="0" w:semiHidden="0" w:name="line number" w:locked="1"/>
    <w:lsdException w:qFormat="1" w:unhideWhenUsed="0" w:uiPriority="0" w:semiHidden="0" w:name="page number" w:locked="1"/>
    <w:lsdException w:unhideWhenUsed="0" w:uiPriority="0" w:semiHidden="0" w:name="endnote reference" w:locked="1"/>
    <w:lsdException w:qFormat="1" w:uiPriority="0" w:semiHidden="0" w:name="endnote text" w:locked="1"/>
    <w:lsdException w:unhideWhenUsed="0" w:uiPriority="0" w:semiHidden="0" w:name="table of authorities" w:locked="1"/>
    <w:lsdException w:unhideWhenUsed="0" w:uiPriority="0" w:semiHidden="0" w:name="macro" w:locked="1"/>
    <w:lsdException w:unhideWhenUsed="0" w:uiPriority="0" w:semiHidden="0" w:name="toa heading" w:locked="1"/>
    <w:lsdException w:unhideWhenUsed="0" w:uiPriority="0" w:semiHidden="0" w:name="List" w:locked="1"/>
    <w:lsdException w:unhideWhenUsed="0" w:uiPriority="0" w:semiHidden="0" w:name="List Bullet" w:locked="1"/>
    <w:lsdException w:unhideWhenUsed="0" w:uiPriority="0" w:semiHidden="0" w:name="List Number" w:locked="1"/>
    <w:lsdException w:unhideWhenUsed="0" w:uiPriority="0" w:semiHidden="0" w:name="List 2" w:locked="1"/>
    <w:lsdException w:unhideWhenUsed="0" w:uiPriority="0" w:semiHidden="0" w:name="List 3" w:locked="1"/>
    <w:lsdException w:unhideWhenUsed="0" w:uiPriority="0" w:semiHidden="0" w:name="List 4" w:locked="1"/>
    <w:lsdException w:unhideWhenUsed="0" w:uiPriority="0" w:semiHidden="0" w:name="List 5" w:locked="1"/>
    <w:lsdException w:unhideWhenUsed="0" w:uiPriority="0" w:semiHidden="0" w:name="List Bullet 2" w:locked="1"/>
    <w:lsdException w:unhideWhenUsed="0" w:uiPriority="0" w:semiHidden="0" w:name="List Bullet 3" w:locked="1"/>
    <w:lsdException w:unhideWhenUsed="0" w:uiPriority="0" w:semiHidden="0" w:name="List Bullet 4" w:locked="1"/>
    <w:lsdException w:unhideWhenUsed="0" w:uiPriority="0" w:semiHidden="0" w:name="List Bullet 5" w:locked="1"/>
    <w:lsdException w:unhideWhenUsed="0" w:uiPriority="0" w:semiHidden="0" w:name="List Number 2" w:locked="1"/>
    <w:lsdException w:unhideWhenUsed="0" w:uiPriority="0" w:semiHidden="0" w:name="List Number 3" w:locked="1"/>
    <w:lsdException w:unhideWhenUsed="0" w:uiPriority="0" w:semiHidden="0" w:name="List Number 4" w:locked="1"/>
    <w:lsdException w:unhideWhenUsed="0" w:uiPriority="0" w:semiHidden="0" w:name="List Number 5" w:locked="1"/>
    <w:lsdException w:qFormat="1" w:unhideWhenUsed="0" w:uiPriority="0" w:semiHidden="0" w:name="Title" w:locked="1"/>
    <w:lsdException w:unhideWhenUsed="0" w:uiPriority="0" w:semiHidden="0" w:name="Closing" w:locked="1"/>
    <w:lsdException w:unhideWhenUsed="0" w:uiPriority="0" w:semiHidden="0" w:name="Signature" w:locked="1"/>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ocked="1"/>
    <w:lsdException w:unhideWhenUsed="0" w:uiPriority="0" w:semiHidden="0" w:name="List Continue 2" w:locked="1"/>
    <w:lsdException w:unhideWhenUsed="0" w:uiPriority="0" w:semiHidden="0" w:name="List Continue 3" w:locked="1"/>
    <w:lsdException w:unhideWhenUsed="0" w:uiPriority="0" w:semiHidden="0" w:name="List Continue 4" w:locked="1"/>
    <w:lsdException w:unhideWhenUsed="0" w:uiPriority="0" w:semiHidden="0" w:name="List Continue 5" w:locked="1"/>
    <w:lsdException w:unhideWhenUsed="0" w:uiPriority="0" w:semiHidden="0" w:name="Message Header" w:locked="1"/>
    <w:lsdException w:qFormat="1" w:unhideWhenUsed="0" w:uiPriority="0" w:semiHidden="0" w:name="Subtitle" w:locked="1"/>
    <w:lsdException w:unhideWhenUsed="0" w:uiPriority="0" w:semiHidden="0" w:name="Salutation" w:locked="1"/>
    <w:lsdException w:qFormat="1" w:unhideWhenUsed="0" w:uiPriority="0" w:semiHidden="0" w:name="Date"/>
    <w:lsdException w:qFormat="1" w:unhideWhenUsed="0" w:uiPriority="0" w:semiHidden="0" w:name="Body Text First Indent" w:locked="1"/>
    <w:lsdException w:qFormat="1" w:unhideWhenUsed="0" w:uiPriority="0" w:semiHidden="0" w:name="Body Text First Indent 2" w:locked="1"/>
    <w:lsdException w:unhideWhenUsed="0" w:uiPriority="0" w:semiHidden="0" w:name="Note Heading" w:locked="1"/>
    <w:lsdException w:unhideWhenUsed="0" w:uiPriority="0" w:semiHidden="0" w:name="Body Text 2" w:locked="1"/>
    <w:lsdException w:unhideWhenUsed="0" w:uiPriority="0" w:semiHidden="0" w:name="Body Text 3" w:locked="1"/>
    <w:lsdException w:qFormat="1" w:unhideWhenUsed="0" w:uiPriority="0" w:semiHidden="0" w:name="Body Text Indent 2" w:locked="1"/>
    <w:lsdException w:unhideWhenUsed="0" w:uiPriority="0" w:semiHidden="0" w:name="Body Text Indent 3" w:locked="1"/>
    <w:lsdException w:qFormat="1" w:unhideWhenUsed="0" w:uiPriority="99" w:semiHidden="0" w:name="Block Text" w:locked="1"/>
    <w:lsdException w:unhideWhenUsed="0" w:uiPriority="0" w:semiHidden="0" w:name="Hyperlink" w:locked="1"/>
    <w:lsdException w:unhideWhenUsed="0" w:uiPriority="0" w:semiHidden="0" w:name="FollowedHyperlink" w:locked="1"/>
    <w:lsdException w:qFormat="1" w:unhideWhenUsed="0" w:uiPriority="0" w:semiHidden="0" w:name="Strong" w:locked="1"/>
    <w:lsdException w:qFormat="1" w:unhideWhenUsed="0" w:uiPriority="0" w:semiHidden="0" w:name="Emphasis" w:locked="1"/>
    <w:lsdException w:unhideWhenUsed="0" w:uiPriority="0" w:semiHidden="0" w:name="Document Map" w:locked="1"/>
    <w:lsdException w:qFormat="1" w:unhideWhenUsed="0" w:uiPriority="0" w:semiHidden="0" w:name="Plain Text" w:locked="1"/>
    <w:lsdException w:unhideWhenUsed="0" w:uiPriority="0" w:semiHidden="0" w:name="E-mail Signature" w:locked="1"/>
    <w:lsdException w:qFormat="1" w:unhideWhenUsed="0" w:uiPriority="0" w:semiHidden="0" w:name="Normal (Web)"/>
    <w:lsdException w:unhideWhenUsed="0" w:uiPriority="0" w:semiHidden="0" w:name="HTML Acronym" w:locked="1"/>
    <w:lsdException w:unhideWhenUsed="0" w:uiPriority="0" w:semiHidden="0" w:name="HTML Address" w:locked="1"/>
    <w:lsdException w:unhideWhenUsed="0" w:uiPriority="0" w:semiHidden="0" w:name="HTML Cite" w:locked="1"/>
    <w:lsdException w:unhideWhenUsed="0" w:uiPriority="0" w:semiHidden="0" w:name="HTML Code" w:locked="1"/>
    <w:lsdException w:unhideWhenUsed="0" w:uiPriority="0" w:semiHidden="0" w:name="HTML Definition" w:locked="1"/>
    <w:lsdException w:unhideWhenUsed="0" w:uiPriority="0" w:semiHidden="0" w:name="HTML Keyboard" w:locked="1"/>
    <w:lsdException w:unhideWhenUsed="0" w:uiPriority="0" w:semiHidden="0" w:name="HTML Preformatted" w:locked="1"/>
    <w:lsdException w:unhideWhenUsed="0" w:uiPriority="0" w:semiHidden="0" w:name="HTML Sample" w:locked="1"/>
    <w:lsdException w:unhideWhenUsed="0" w:uiPriority="0" w:semiHidden="0" w:name="HTML Typewriter" w:locked="1"/>
    <w:lsdException w:unhideWhenUsed="0" w:uiPriority="0" w:semiHidden="0" w:name="HTML Variable" w:locked="1"/>
    <w:lsdException w:qFormat="1" w:unhideWhenUsed="0" w:uiPriority="0" w:name="Normal Table"/>
    <w:lsdException w:qFormat="1" w:unhideWhenUsed="0" w:uiPriority="0" w:name="annotation subject"/>
    <w:lsdException w:unhideWhenUsed="0" w:uiPriority="0" w:semiHidden="0" w:name="Table Simple 1" w:locked="1"/>
    <w:lsdException w:unhideWhenUsed="0" w:uiPriority="0" w:semiHidden="0" w:name="Table Simple 2" w:locked="1"/>
    <w:lsdException w:unhideWhenUsed="0" w:uiPriority="0" w:semiHidden="0" w:name="Table Simple 3" w:locked="1"/>
    <w:lsdException w:unhideWhenUsed="0" w:uiPriority="0" w:semiHidden="0" w:name="Table Classic 1" w:locked="1"/>
    <w:lsdException w:unhideWhenUsed="0" w:uiPriority="0" w:semiHidden="0" w:name="Table Classic 2" w:locked="1"/>
    <w:lsdException w:unhideWhenUsed="0" w:uiPriority="0" w:semiHidden="0" w:name="Table Classic 3" w:locked="1"/>
    <w:lsdException w:unhideWhenUsed="0" w:uiPriority="0" w:semiHidden="0" w:name="Table Classic 4" w:locked="1"/>
    <w:lsdException w:unhideWhenUsed="0" w:uiPriority="0" w:semiHidden="0" w:name="Table Colorful 1" w:locked="1"/>
    <w:lsdException w:unhideWhenUsed="0" w:uiPriority="0" w:semiHidden="0" w:name="Table Colorful 2" w:locked="1"/>
    <w:lsdException w:unhideWhenUsed="0" w:uiPriority="0" w:semiHidden="0" w:name="Table Colorful 3" w:locked="1"/>
    <w:lsdException w:unhideWhenUsed="0" w:uiPriority="0" w:semiHidden="0" w:name="Table Columns 1" w:locked="1"/>
    <w:lsdException w:unhideWhenUsed="0" w:uiPriority="0" w:semiHidden="0" w:name="Table Columns 2" w:locked="1"/>
    <w:lsdException w:unhideWhenUsed="0" w:uiPriority="0" w:semiHidden="0" w:name="Table Columns 3" w:locked="1"/>
    <w:lsdException w:unhideWhenUsed="0" w:uiPriority="0" w:semiHidden="0" w:name="Table Columns 4" w:locked="1"/>
    <w:lsdException w:unhideWhenUsed="0" w:uiPriority="0" w:semiHidden="0" w:name="Table Columns 5" w:locked="1"/>
    <w:lsdException w:unhideWhenUsed="0" w:uiPriority="0" w:semiHidden="0" w:name="Table Grid 1" w:locked="1"/>
    <w:lsdException w:unhideWhenUsed="0" w:uiPriority="0" w:semiHidden="0" w:name="Table Grid 2" w:locked="1"/>
    <w:lsdException w:unhideWhenUsed="0" w:uiPriority="0" w:semiHidden="0" w:name="Table Grid 3" w:locked="1"/>
    <w:lsdException w:unhideWhenUsed="0" w:uiPriority="0" w:semiHidden="0" w:name="Table Grid 4" w:locked="1"/>
    <w:lsdException w:unhideWhenUsed="0" w:uiPriority="0" w:semiHidden="0" w:name="Table Grid 5" w:locked="1"/>
    <w:lsdException w:unhideWhenUsed="0" w:uiPriority="0" w:semiHidden="0" w:name="Table Grid 6" w:locked="1"/>
    <w:lsdException w:unhideWhenUsed="0" w:uiPriority="0" w:semiHidden="0" w:name="Table Grid 7" w:locked="1"/>
    <w:lsdException w:unhideWhenUsed="0" w:uiPriority="0" w:semiHidden="0" w:name="Table Grid 8" w:locked="1"/>
    <w:lsdException w:unhideWhenUsed="0" w:uiPriority="0" w:semiHidden="0" w:name="Table List 1" w:locked="1"/>
    <w:lsdException w:unhideWhenUsed="0" w:uiPriority="0" w:semiHidden="0" w:name="Table List 2" w:locked="1"/>
    <w:lsdException w:unhideWhenUsed="0" w:uiPriority="0" w:semiHidden="0" w:name="Table List 3" w:locked="1"/>
    <w:lsdException w:unhideWhenUsed="0" w:uiPriority="0" w:semiHidden="0" w:name="Table List 4" w:locked="1"/>
    <w:lsdException w:unhideWhenUsed="0" w:uiPriority="0" w:semiHidden="0" w:name="Table List 5" w:locked="1"/>
    <w:lsdException w:unhideWhenUsed="0" w:uiPriority="0" w:semiHidden="0" w:name="Table List 6" w:locked="1"/>
    <w:lsdException w:unhideWhenUsed="0" w:uiPriority="0" w:semiHidden="0" w:name="Table List 7" w:locked="1"/>
    <w:lsdException w:unhideWhenUsed="0" w:uiPriority="0" w:semiHidden="0" w:name="Table List 8" w:locked="1"/>
    <w:lsdException w:unhideWhenUsed="0" w:uiPriority="0" w:semiHidden="0" w:name="Table 3D effects 1" w:locked="1"/>
    <w:lsdException w:unhideWhenUsed="0" w:uiPriority="0" w:semiHidden="0" w:name="Table 3D effects 2" w:locked="1"/>
    <w:lsdException w:unhideWhenUsed="0" w:uiPriority="0" w:semiHidden="0" w:name="Table 3D effects 3" w:locked="1"/>
    <w:lsdException w:unhideWhenUsed="0" w:uiPriority="0" w:semiHidden="0" w:name="Table Contemporary" w:locked="1"/>
    <w:lsdException w:unhideWhenUsed="0" w:uiPriority="0" w:semiHidden="0" w:name="Table Elegant" w:locked="1"/>
    <w:lsdException w:unhideWhenUsed="0" w:uiPriority="0" w:semiHidden="0" w:name="Table Professional" w:locked="1"/>
    <w:lsdException w:unhideWhenUsed="0" w:uiPriority="0" w:semiHidden="0" w:name="Table Subtle 1" w:locked="1"/>
    <w:lsdException w:unhideWhenUsed="0" w:uiPriority="0" w:semiHidden="0" w:name="Table Subtle 2" w:locked="1"/>
    <w:lsdException w:unhideWhenUsed="0" w:uiPriority="0" w:semiHidden="0" w:name="Table Web 1" w:locked="1"/>
    <w:lsdException w:unhideWhenUsed="0" w:uiPriority="0" w:semiHidden="0" w:name="Table Web 2" w:locked="1"/>
    <w:lsdException w:unhideWhenUsed="0" w:uiPriority="0" w:semiHidden="0" w:name="Table Web 3" w:locked="1"/>
    <w:lsdException w:qFormat="1" w:unhideWhenUsed="0" w:uiPriority="0" w:name="Balloon Text"/>
    <w:lsdException w:qFormat="1" w:unhideWhenUsed="0" w:uiPriority="0" w:semiHidden="0" w:name="Table Grid"/>
    <w:lsdException w:unhideWhenUsed="0" w:uiPriority="0" w:semiHidden="0"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locked/>
    <w:uiPriority w:val="99"/>
    <w:pPr>
      <w:keepNext/>
      <w:overflowPunct w:val="0"/>
      <w:snapToGrid w:val="0"/>
      <w:spacing w:before="120" w:after="160" w:line="259" w:lineRule="auto"/>
      <w:ind w:left="432" w:hanging="432"/>
      <w:outlineLvl w:val="0"/>
    </w:pPr>
    <w:rPr>
      <w:rFonts w:eastAsia="黑体"/>
      <w:b/>
      <w:bCs/>
      <w:color w:val="000000"/>
      <w:kern w:val="44"/>
      <w:sz w:val="30"/>
      <w:szCs w:val="30"/>
    </w:rPr>
  </w:style>
  <w:style w:type="paragraph" w:styleId="4">
    <w:name w:val="heading 2"/>
    <w:basedOn w:val="1"/>
    <w:next w:val="1"/>
    <w:unhideWhenUsed/>
    <w:qFormat/>
    <w:locked/>
    <w:uiPriority w:val="0"/>
    <w:pPr>
      <w:spacing w:before="100" w:beforeAutospacing="1" w:after="100" w:afterAutospacing="1"/>
      <w:jc w:val="left"/>
      <w:outlineLvl w:val="1"/>
    </w:pPr>
    <w:rPr>
      <w:rFonts w:hint="eastAsia" w:ascii="宋体" w:hAnsi="宋体" w:eastAsia="宋体" w:cs="宋体"/>
      <w:b/>
      <w:bCs/>
      <w:kern w:val="0"/>
      <w:sz w:val="36"/>
      <w:szCs w:val="36"/>
      <w:lang w:val="en-US" w:eastAsia="zh-CN" w:bidi="ar"/>
    </w:rPr>
  </w:style>
  <w:style w:type="paragraph" w:styleId="5">
    <w:name w:val="heading 3"/>
    <w:basedOn w:val="1"/>
    <w:next w:val="1"/>
    <w:unhideWhenUsed/>
    <w:qFormat/>
    <w:locked/>
    <w:uiPriority w:val="0"/>
    <w:pPr>
      <w:spacing w:before="100" w:beforeAutospacing="1" w:after="100" w:afterAutospacing="1"/>
      <w:jc w:val="left"/>
      <w:outlineLvl w:val="2"/>
    </w:pPr>
    <w:rPr>
      <w:rFonts w:hint="eastAsia" w:ascii="宋体" w:hAnsi="宋体" w:eastAsia="宋体" w:cs="宋体"/>
      <w:b/>
      <w:bCs/>
      <w:kern w:val="0"/>
      <w:sz w:val="27"/>
      <w:szCs w:val="27"/>
      <w:lang w:val="en-US" w:eastAsia="zh-CN" w:bidi="ar"/>
    </w:rPr>
  </w:style>
  <w:style w:type="paragraph" w:styleId="6">
    <w:name w:val="heading 4"/>
    <w:basedOn w:val="7"/>
    <w:next w:val="8"/>
    <w:link w:val="34"/>
    <w:qFormat/>
    <w:locked/>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29">
    <w:name w:val="Default Paragraph Font"/>
    <w:semiHidden/>
    <w:qFormat/>
    <w:uiPriority w:val="0"/>
  </w:style>
  <w:style w:type="table" w:default="1" w:styleId="27">
    <w:name w:val="Normal Table"/>
    <w:semiHidden/>
    <w:qFormat/>
    <w:uiPriority w:val="0"/>
    <w:pPr>
      <w:keepNext w:val="0"/>
      <w:keepLines w:val="0"/>
      <w:widowControl/>
      <w:suppressLineNumbers w:val="0"/>
      <w:spacing w:before="0" w:beforeAutospacing="0" w:after="0" w:afterAutospacing="0"/>
      <w:ind w:left="0" w:right="0"/>
    </w:pPr>
    <w:rPr>
      <w:rFonts w:ascii="Calibri" w:hAnsi="Calibri" w:eastAsia="宋体" w:cs="Times New Roman"/>
      <w:kern w:val="2"/>
      <w:sz w:val="21"/>
      <w:szCs w:val="22"/>
    </w:rPr>
    <w:tblPr>
      <w:tblCellMar>
        <w:top w:w="0" w:type="dxa"/>
        <w:left w:w="108" w:type="dxa"/>
        <w:bottom w:w="0" w:type="dxa"/>
        <w:right w:w="108" w:type="dxa"/>
      </w:tblCellMar>
    </w:tblPr>
  </w:style>
  <w:style w:type="paragraph" w:styleId="2">
    <w:name w:val="Block Text"/>
    <w:basedOn w:val="1"/>
    <w:next w:val="1"/>
    <w:qFormat/>
    <w:locked/>
    <w:uiPriority w:val="99"/>
    <w:pPr>
      <w:ind w:left="1440" w:leftChars="700" w:right="700" w:rightChars="700"/>
    </w:pPr>
  </w:style>
  <w:style w:type="paragraph" w:styleId="7">
    <w:name w:val="toc 4"/>
    <w:basedOn w:val="1"/>
    <w:next w:val="1"/>
    <w:qFormat/>
    <w:locked/>
    <w:uiPriority w:val="0"/>
    <w:pPr>
      <w:ind w:left="720"/>
    </w:pPr>
    <w:rPr>
      <w:sz w:val="18"/>
      <w:szCs w:val="18"/>
    </w:rPr>
  </w:style>
  <w:style w:type="paragraph" w:styleId="8">
    <w:name w:val="Normal Indent"/>
    <w:basedOn w:val="1"/>
    <w:next w:val="6"/>
    <w:link w:val="35"/>
    <w:qFormat/>
    <w:locked/>
    <w:uiPriority w:val="0"/>
    <w:pPr>
      <w:keepNext w:val="0"/>
      <w:keepLines w:val="0"/>
      <w:widowControl w:val="0"/>
      <w:suppressLineNumbers w:val="0"/>
      <w:spacing w:before="0" w:beforeAutospacing="0" w:after="0" w:afterAutospacing="0"/>
      <w:ind w:left="0" w:right="0" w:firstLine="420"/>
      <w:jc w:val="both"/>
    </w:pPr>
    <w:rPr>
      <w:rFonts w:hint="eastAsia" w:ascii="华康简仿宋" w:hAnsi="华康简仿宋" w:eastAsia="华文中宋" w:cs="华康简仿宋"/>
      <w:kern w:val="2"/>
      <w:sz w:val="30"/>
      <w:szCs w:val="20"/>
      <w:lang w:val="en-US" w:eastAsia="zh-CN" w:bidi="ar-SA"/>
    </w:rPr>
  </w:style>
  <w:style w:type="paragraph" w:styleId="9">
    <w:name w:val="annotation text"/>
    <w:basedOn w:val="1"/>
    <w:link w:val="36"/>
    <w:semiHidden/>
    <w:qFormat/>
    <w:uiPriority w:val="0"/>
    <w:pPr>
      <w:jc w:val="left"/>
    </w:pPr>
    <w:rPr>
      <w:rFonts w:ascii="Times New Roman" w:hAnsi="Times New Roman" w:eastAsia="宋体" w:cs="Times New Roman"/>
      <w:kern w:val="0"/>
      <w:sz w:val="24"/>
      <w:szCs w:val="20"/>
    </w:rPr>
  </w:style>
  <w:style w:type="paragraph" w:styleId="10">
    <w:name w:val="Body Text"/>
    <w:basedOn w:val="1"/>
    <w:link w:val="37"/>
    <w:qFormat/>
    <w:uiPriority w:val="0"/>
    <w:pPr>
      <w:widowControl/>
      <w:snapToGrid w:val="0"/>
      <w:spacing w:before="60" w:after="160" w:line="259" w:lineRule="auto"/>
      <w:ind w:right="113"/>
    </w:pPr>
    <w:rPr>
      <w:rFonts w:cs="Times New Roman"/>
      <w:kern w:val="0"/>
      <w:sz w:val="18"/>
      <w:szCs w:val="20"/>
    </w:rPr>
  </w:style>
  <w:style w:type="paragraph" w:styleId="11">
    <w:name w:val="Body Text Indent"/>
    <w:basedOn w:val="1"/>
    <w:next w:val="12"/>
    <w:link w:val="38"/>
    <w:qFormat/>
    <w:uiPriority w:val="0"/>
    <w:pPr>
      <w:spacing w:after="120"/>
      <w:ind w:left="420" w:leftChars="200"/>
    </w:pPr>
    <w:rPr>
      <w:rFonts w:ascii="Times New Roman" w:hAnsi="Times New Roman" w:eastAsia="宋体" w:cs="Times New Roman"/>
      <w:kern w:val="0"/>
      <w:sz w:val="24"/>
      <w:szCs w:val="20"/>
    </w:rPr>
  </w:style>
  <w:style w:type="paragraph" w:styleId="12">
    <w:name w:val="header"/>
    <w:basedOn w:val="1"/>
    <w:next w:val="13"/>
    <w:link w:val="39"/>
    <w:qFormat/>
    <w:uiPriority w:val="0"/>
    <w:pPr>
      <w:pBdr>
        <w:bottom w:val="single" w:color="auto" w:sz="6" w:space="1"/>
      </w:pBdr>
      <w:tabs>
        <w:tab w:val="center" w:pos="4153"/>
        <w:tab w:val="right" w:pos="8306"/>
      </w:tabs>
      <w:snapToGrid w:val="0"/>
      <w:jc w:val="center"/>
    </w:pPr>
    <w:rPr>
      <w:rFonts w:cs="Times New Roman"/>
      <w:kern w:val="0"/>
      <w:sz w:val="18"/>
      <w:szCs w:val="20"/>
    </w:rPr>
  </w:style>
  <w:style w:type="paragraph" w:customStyle="1" w:styleId="13">
    <w:name w:val="样式5"/>
    <w:basedOn w:val="14"/>
    <w:next w:val="15"/>
    <w:qFormat/>
    <w:uiPriority w:val="0"/>
    <w:pPr>
      <w:snapToGrid w:val="0"/>
      <w:spacing w:line="360" w:lineRule="auto"/>
      <w:ind w:firstLine="510"/>
    </w:pPr>
    <w:rPr>
      <w:sz w:val="24"/>
    </w:rPr>
  </w:style>
  <w:style w:type="paragraph" w:customStyle="1" w:styleId="14">
    <w:name w:val="正文1"/>
    <w:basedOn w:val="1"/>
    <w:next w:val="1"/>
    <w:link w:val="40"/>
    <w:qFormat/>
    <w:uiPriority w:val="0"/>
    <w:pPr>
      <w:keepNext w:val="0"/>
      <w:keepLines w:val="0"/>
      <w:widowControl w:val="0"/>
      <w:suppressLineNumbers w:val="0"/>
      <w:adjustRightInd w:val="0"/>
      <w:snapToGrid w:val="0"/>
      <w:spacing w:before="0" w:beforeAutospacing="0" w:after="0" w:afterAutospacing="0" w:line="440" w:lineRule="exact"/>
      <w:ind w:left="0" w:right="0" w:firstLine="200" w:firstLineChars="200"/>
      <w:jc w:val="both"/>
    </w:pPr>
    <w:rPr>
      <w:rFonts w:hint="eastAsia" w:ascii="华康简仿宋" w:hAnsi="华康简仿宋" w:eastAsia="宋体" w:cs="华康简仿宋"/>
      <w:kern w:val="0"/>
      <w:sz w:val="24"/>
      <w:szCs w:val="20"/>
      <w:lang w:val="en-US" w:eastAsia="zh-CN" w:bidi="ar-SA"/>
    </w:rPr>
  </w:style>
  <w:style w:type="paragraph" w:styleId="15">
    <w:name w:val="endnote text"/>
    <w:basedOn w:val="1"/>
    <w:unhideWhenUsed/>
    <w:qFormat/>
    <w:locked/>
    <w:uiPriority w:val="0"/>
    <w:pPr>
      <w:snapToGrid w:val="0"/>
      <w:jc w:val="left"/>
    </w:pPr>
    <w:rPr>
      <w:rFonts w:ascii="Times New Roman"/>
      <w:sz w:val="24"/>
      <w:szCs w:val="22"/>
    </w:rPr>
  </w:style>
  <w:style w:type="paragraph" w:styleId="16">
    <w:name w:val="Plain Text"/>
    <w:basedOn w:val="1"/>
    <w:qFormat/>
    <w:locked/>
    <w:uiPriority w:val="0"/>
    <w:pPr>
      <w:adjustRightInd/>
      <w:spacing w:line="240" w:lineRule="auto"/>
      <w:textAlignment w:val="auto"/>
    </w:pPr>
    <w:rPr>
      <w:rFonts w:ascii="宋体" w:hAnsi="Courier New"/>
      <w:kern w:val="2"/>
    </w:rPr>
  </w:style>
  <w:style w:type="paragraph" w:styleId="17">
    <w:name w:val="toc 8"/>
    <w:basedOn w:val="1"/>
    <w:next w:val="1"/>
    <w:qFormat/>
    <w:locked/>
    <w:uiPriority w:val="39"/>
    <w:pPr>
      <w:ind w:left="1470"/>
      <w:jc w:val="left"/>
    </w:pPr>
    <w:rPr>
      <w:rFonts w:ascii="Times New Roman" w:hAnsi="Times New Roman"/>
      <w:kern w:val="0"/>
      <w:sz w:val="18"/>
      <w:szCs w:val="18"/>
    </w:rPr>
  </w:style>
  <w:style w:type="paragraph" w:styleId="18">
    <w:name w:val="Date"/>
    <w:basedOn w:val="1"/>
    <w:next w:val="1"/>
    <w:link w:val="41"/>
    <w:qFormat/>
    <w:uiPriority w:val="0"/>
    <w:pPr>
      <w:ind w:left="100" w:leftChars="2500"/>
    </w:pPr>
    <w:rPr>
      <w:rFonts w:ascii="Times New Roman" w:hAnsi="Times New Roman" w:eastAsia="宋体" w:cs="Times New Roman"/>
      <w:kern w:val="0"/>
      <w:sz w:val="24"/>
      <w:szCs w:val="20"/>
    </w:rPr>
  </w:style>
  <w:style w:type="paragraph" w:styleId="19">
    <w:name w:val="Body Text Indent 2"/>
    <w:basedOn w:val="1"/>
    <w:qFormat/>
    <w:locked/>
    <w:uiPriority w:val="0"/>
    <w:pPr>
      <w:spacing w:after="120" w:line="480" w:lineRule="auto"/>
      <w:ind w:left="420" w:leftChars="200"/>
    </w:pPr>
  </w:style>
  <w:style w:type="paragraph" w:styleId="20">
    <w:name w:val="Balloon Text"/>
    <w:basedOn w:val="1"/>
    <w:link w:val="42"/>
    <w:semiHidden/>
    <w:qFormat/>
    <w:uiPriority w:val="0"/>
    <w:rPr>
      <w:rFonts w:ascii="Times New Roman" w:hAnsi="Times New Roman" w:eastAsia="宋体" w:cs="Times New Roman"/>
      <w:kern w:val="0"/>
      <w:sz w:val="18"/>
      <w:szCs w:val="20"/>
    </w:rPr>
  </w:style>
  <w:style w:type="paragraph" w:styleId="21">
    <w:name w:val="footer"/>
    <w:basedOn w:val="1"/>
    <w:link w:val="43"/>
    <w:qFormat/>
    <w:uiPriority w:val="99"/>
    <w:pPr>
      <w:tabs>
        <w:tab w:val="center" w:pos="4153"/>
        <w:tab w:val="right" w:pos="8306"/>
      </w:tabs>
      <w:snapToGrid w:val="0"/>
      <w:jc w:val="left"/>
    </w:pPr>
    <w:rPr>
      <w:rFonts w:cs="Times New Roman"/>
      <w:kern w:val="0"/>
      <w:sz w:val="18"/>
      <w:szCs w:val="20"/>
    </w:rPr>
  </w:style>
  <w:style w:type="paragraph" w:styleId="22">
    <w:name w:val="toc 1"/>
    <w:basedOn w:val="1"/>
    <w:next w:val="1"/>
    <w:qFormat/>
    <w:locked/>
    <w:uiPriority w:val="0"/>
  </w:style>
  <w:style w:type="paragraph" w:styleId="23">
    <w:name w:val="Normal (Web)"/>
    <w:basedOn w:val="1"/>
    <w:next w:val="17"/>
    <w:link w:val="44"/>
    <w:qFormat/>
    <w:uiPriority w:val="0"/>
    <w:pPr>
      <w:widowControl/>
      <w:spacing w:before="100" w:beforeAutospacing="1" w:after="100" w:afterAutospacing="1"/>
      <w:jc w:val="left"/>
    </w:pPr>
    <w:rPr>
      <w:rFonts w:ascii="宋体" w:hAnsi="宋体" w:eastAsia="宋体" w:cs="Times New Roman"/>
      <w:kern w:val="0"/>
      <w:sz w:val="24"/>
      <w:szCs w:val="20"/>
    </w:rPr>
  </w:style>
  <w:style w:type="paragraph" w:styleId="24">
    <w:name w:val="annotation subject"/>
    <w:basedOn w:val="9"/>
    <w:next w:val="9"/>
    <w:link w:val="45"/>
    <w:semiHidden/>
    <w:qFormat/>
    <w:uiPriority w:val="0"/>
    <w:rPr>
      <w:b/>
      <w:kern w:val="2"/>
    </w:rPr>
  </w:style>
  <w:style w:type="paragraph" w:styleId="25">
    <w:name w:val="Body Text First Indent"/>
    <w:basedOn w:val="10"/>
    <w:link w:val="46"/>
    <w:qFormat/>
    <w:locked/>
    <w:uiPriority w:val="0"/>
    <w:pPr>
      <w:keepNext w:val="0"/>
      <w:keepLines w:val="0"/>
      <w:widowControl w:val="0"/>
      <w:suppressLineNumbers w:val="0"/>
      <w:spacing w:before="0" w:beforeAutospacing="0" w:after="120" w:afterAutospacing="0"/>
      <w:ind w:left="0" w:right="0" w:firstLine="420" w:firstLineChars="100"/>
      <w:jc w:val="both"/>
    </w:pPr>
    <w:rPr>
      <w:kern w:val="2"/>
      <w:sz w:val="21"/>
      <w:szCs w:val="24"/>
    </w:rPr>
  </w:style>
  <w:style w:type="paragraph" w:styleId="26">
    <w:name w:val="Body Text First Indent 2"/>
    <w:basedOn w:val="11"/>
    <w:next w:val="1"/>
    <w:qFormat/>
    <w:locked/>
    <w:uiPriority w:val="0"/>
    <w:pPr>
      <w:spacing w:after="120"/>
      <w:ind w:left="420" w:leftChars="200" w:firstLine="420"/>
    </w:pPr>
    <w:rPr>
      <w:sz w:val="21"/>
    </w:rPr>
  </w:style>
  <w:style w:type="table" w:styleId="28">
    <w:name w:val="Table Grid"/>
    <w:basedOn w:val="27"/>
    <w:qFormat/>
    <w:uiPriority w:val="0"/>
    <w:rPr>
      <w:lang w:val="en-US" w:eastAsia="zh-CN" w:bidi="ar-SA"/>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0">
    <w:name w:val="Strong"/>
    <w:qFormat/>
    <w:locked/>
    <w:uiPriority w:val="0"/>
    <w:rPr>
      <w:b/>
    </w:rPr>
  </w:style>
  <w:style w:type="character" w:styleId="31">
    <w:name w:val="page number"/>
    <w:qFormat/>
    <w:locked/>
    <w:uiPriority w:val="0"/>
  </w:style>
  <w:style w:type="character" w:styleId="32">
    <w:name w:val="Emphasis"/>
    <w:basedOn w:val="29"/>
    <w:qFormat/>
    <w:locked/>
    <w:uiPriority w:val="0"/>
    <w:rPr>
      <w:i/>
    </w:rPr>
  </w:style>
  <w:style w:type="character" w:styleId="33">
    <w:name w:val="annotation reference"/>
    <w:semiHidden/>
    <w:qFormat/>
    <w:uiPriority w:val="0"/>
    <w:rPr>
      <w:sz w:val="21"/>
    </w:rPr>
  </w:style>
  <w:style w:type="character" w:customStyle="1" w:styleId="34">
    <w:name w:val="标题 4 字符"/>
    <w:link w:val="6"/>
    <w:qFormat/>
    <w:uiPriority w:val="0"/>
    <w:rPr>
      <w:rFonts w:ascii="Cambria" w:hAnsi="Cambria" w:eastAsia="宋体" w:cs="Times New Roman"/>
      <w:b/>
      <w:kern w:val="2"/>
      <w:sz w:val="28"/>
      <w:szCs w:val="28"/>
    </w:rPr>
  </w:style>
  <w:style w:type="character" w:customStyle="1" w:styleId="35">
    <w:name w:val="正文缩进 字符"/>
    <w:link w:val="8"/>
    <w:qFormat/>
    <w:uiPriority w:val="0"/>
    <w:rPr>
      <w:kern w:val="2"/>
      <w:sz w:val="30"/>
    </w:rPr>
  </w:style>
  <w:style w:type="character" w:customStyle="1" w:styleId="36">
    <w:name w:val="批注文字 字符"/>
    <w:link w:val="9"/>
    <w:qFormat/>
    <w:locked/>
    <w:uiPriority w:val="0"/>
    <w:rPr>
      <w:rFonts w:ascii="Times New Roman" w:hAnsi="Times New Roman" w:eastAsia="宋体"/>
      <w:sz w:val="24"/>
    </w:rPr>
  </w:style>
  <w:style w:type="character" w:customStyle="1" w:styleId="37">
    <w:name w:val="正文文本 字符"/>
    <w:link w:val="10"/>
    <w:qFormat/>
    <w:locked/>
    <w:uiPriority w:val="0"/>
    <w:rPr>
      <w:sz w:val="18"/>
    </w:rPr>
  </w:style>
  <w:style w:type="character" w:customStyle="1" w:styleId="38">
    <w:name w:val="正文文本缩进 字符"/>
    <w:link w:val="11"/>
    <w:qFormat/>
    <w:uiPriority w:val="0"/>
    <w:rPr>
      <w:kern w:val="2"/>
      <w:sz w:val="21"/>
      <w:szCs w:val="24"/>
    </w:rPr>
  </w:style>
  <w:style w:type="character" w:customStyle="1" w:styleId="39">
    <w:name w:val="页眉 字符"/>
    <w:link w:val="12"/>
    <w:qFormat/>
    <w:locked/>
    <w:uiPriority w:val="0"/>
    <w:rPr>
      <w:sz w:val="18"/>
    </w:rPr>
  </w:style>
  <w:style w:type="character" w:customStyle="1" w:styleId="40">
    <w:name w:val="正文1 Char Char"/>
    <w:link w:val="14"/>
    <w:qFormat/>
    <w:uiPriority w:val="0"/>
    <w:rPr>
      <w:rFonts w:hint="eastAsia" w:ascii="宋体" w:hAnsi="宋体" w:eastAsia="宋体" w:cs="宋体"/>
      <w:sz w:val="24"/>
    </w:rPr>
  </w:style>
  <w:style w:type="character" w:customStyle="1" w:styleId="41">
    <w:name w:val="日期 字符1"/>
    <w:link w:val="18"/>
    <w:qFormat/>
    <w:locked/>
    <w:uiPriority w:val="0"/>
    <w:rPr>
      <w:rFonts w:ascii="Times New Roman" w:hAnsi="Times New Roman" w:eastAsia="宋体"/>
      <w:sz w:val="24"/>
    </w:rPr>
  </w:style>
  <w:style w:type="character" w:customStyle="1" w:styleId="42">
    <w:name w:val="批注框文本 字符"/>
    <w:link w:val="20"/>
    <w:semiHidden/>
    <w:qFormat/>
    <w:locked/>
    <w:uiPriority w:val="0"/>
    <w:rPr>
      <w:rFonts w:ascii="Times New Roman" w:hAnsi="Times New Roman" w:eastAsia="宋体"/>
      <w:sz w:val="18"/>
    </w:rPr>
  </w:style>
  <w:style w:type="character" w:customStyle="1" w:styleId="43">
    <w:name w:val="页脚 字符1"/>
    <w:link w:val="21"/>
    <w:qFormat/>
    <w:locked/>
    <w:uiPriority w:val="99"/>
    <w:rPr>
      <w:sz w:val="18"/>
    </w:rPr>
  </w:style>
  <w:style w:type="character" w:customStyle="1" w:styleId="44">
    <w:name w:val="普通(网站) 字符"/>
    <w:link w:val="23"/>
    <w:qFormat/>
    <w:locked/>
    <w:uiPriority w:val="0"/>
    <w:rPr>
      <w:rFonts w:ascii="宋体" w:hAnsi="宋体" w:eastAsia="宋体"/>
      <w:sz w:val="24"/>
    </w:rPr>
  </w:style>
  <w:style w:type="character" w:customStyle="1" w:styleId="45">
    <w:name w:val="批注主题 字符"/>
    <w:link w:val="24"/>
    <w:semiHidden/>
    <w:qFormat/>
    <w:locked/>
    <w:uiPriority w:val="0"/>
    <w:rPr>
      <w:rFonts w:ascii="Times New Roman" w:hAnsi="Times New Roman" w:eastAsia="宋体"/>
      <w:b/>
      <w:kern w:val="2"/>
      <w:sz w:val="24"/>
    </w:rPr>
  </w:style>
  <w:style w:type="character" w:customStyle="1" w:styleId="46">
    <w:name w:val="正文文本首行缩进 字符"/>
    <w:link w:val="25"/>
    <w:qFormat/>
    <w:uiPriority w:val="0"/>
    <w:rPr>
      <w:rFonts w:ascii="Arial" w:hAnsi="Arial" w:eastAsia="Arial" w:cs="Arial"/>
      <w:spacing w:val="-20"/>
      <w:kern w:val="2"/>
      <w:sz w:val="21"/>
      <w:szCs w:val="24"/>
    </w:rPr>
  </w:style>
  <w:style w:type="paragraph" w:customStyle="1" w:styleId="47">
    <w:name w:val="Default"/>
    <w:basedOn w:val="48"/>
    <w:next w:val="49"/>
    <w:qFormat/>
    <w:uiPriority w:val="0"/>
    <w:pPr>
      <w:keepNext w:val="0"/>
      <w:keepLines w:val="0"/>
      <w:widowControl w:val="0"/>
      <w:suppressLineNumbers w:val="0"/>
      <w:tabs>
        <w:tab w:val="left" w:pos="0"/>
        <w:tab w:val="left" w:pos="360"/>
        <w:tab w:val="left" w:pos="540"/>
        <w:tab w:val="left" w:pos="900"/>
      </w:tabs>
      <w:autoSpaceDE w:val="0"/>
      <w:autoSpaceDN w:val="0"/>
      <w:adjustRightInd w:val="0"/>
      <w:spacing w:before="0" w:beforeAutospacing="0" w:after="0" w:afterAutospacing="0"/>
      <w:ind w:left="0" w:right="0"/>
      <w:jc w:val="left"/>
    </w:pPr>
    <w:rPr>
      <w:rFonts w:hint="eastAsia" w:ascii="华文中宋" w:hAnsi="Calibri" w:eastAsia="华文中宋" w:cs="华文中宋"/>
      <w:color w:val="000000"/>
      <w:kern w:val="0"/>
      <w:sz w:val="24"/>
      <w:szCs w:val="24"/>
      <w:lang w:val="en-US" w:eastAsia="zh-CN" w:bidi="ar-SA"/>
    </w:rPr>
  </w:style>
  <w:style w:type="paragraph" w:customStyle="1" w:styleId="48">
    <w:name w:val="纯文本1"/>
    <w:basedOn w:val="1"/>
    <w:qFormat/>
    <w:uiPriority w:val="0"/>
    <w:pPr>
      <w:widowControl w:val="0"/>
      <w:tabs>
        <w:tab w:val="left" w:pos="0"/>
        <w:tab w:val="left" w:pos="360"/>
        <w:tab w:val="left" w:pos="540"/>
        <w:tab w:val="left" w:pos="900"/>
      </w:tabs>
      <w:autoSpaceDE w:val="0"/>
      <w:autoSpaceDN w:val="0"/>
      <w:adjustRightInd w:val="0"/>
      <w:snapToGrid w:val="0"/>
      <w:spacing w:beforeLines="50" w:line="360" w:lineRule="auto"/>
      <w:ind w:firstLine="480" w:firstLineChars="200"/>
      <w:jc w:val="both"/>
    </w:pPr>
    <w:rPr>
      <w:rFonts w:ascii="宋体" w:hAnsi="宋体"/>
      <w:color w:val="000000"/>
      <w:szCs w:val="21"/>
    </w:rPr>
  </w:style>
  <w:style w:type="paragraph" w:customStyle="1" w:styleId="49">
    <w:name w:val=" Char Char Char Char Char Char Char Char Char Char Char Char Char"/>
    <w:basedOn w:val="5"/>
    <w:next w:val="50"/>
    <w:qFormat/>
    <w:uiPriority w:val="0"/>
    <w:pPr>
      <w:tabs>
        <w:tab w:val="left" w:pos="360"/>
        <w:tab w:val="left" w:pos="900"/>
      </w:tabs>
      <w:snapToGrid w:val="0"/>
      <w:spacing w:before="120" w:beforeLines="0" w:after="120" w:afterLines="0" w:line="360" w:lineRule="auto"/>
      <w:ind w:left="542" w:leftChars="-12"/>
      <w:jc w:val="left"/>
    </w:pPr>
    <w:rPr>
      <w:rFonts w:eastAsia="黑体"/>
      <w:b w:val="0"/>
      <w:snapToGrid w:val="0"/>
      <w:sz w:val="24"/>
      <w:szCs w:val="24"/>
    </w:rPr>
  </w:style>
  <w:style w:type="paragraph" w:customStyle="1" w:styleId="50">
    <w:name w:val="point101"/>
    <w:basedOn w:val="1"/>
    <w:next w:val="51"/>
    <w:qFormat/>
    <w:uiPriority w:val="0"/>
    <w:pPr>
      <w:widowControl/>
      <w:spacing w:before="100" w:beforeAutospacing="1" w:after="100" w:afterAutospacing="1" w:line="390" w:lineRule="atLeast"/>
      <w:jc w:val="left"/>
    </w:pPr>
    <w:rPr>
      <w:rFonts w:ascii="宋体" w:hAnsi="宋体" w:cs="宋体"/>
      <w:kern w:val="0"/>
      <w:sz w:val="18"/>
      <w:szCs w:val="18"/>
    </w:rPr>
  </w:style>
  <w:style w:type="paragraph" w:customStyle="1" w:styleId="51">
    <w:name w:val="样式1"/>
    <w:basedOn w:val="12"/>
    <w:next w:val="52"/>
    <w:qFormat/>
    <w:uiPriority w:val="0"/>
    <w:pPr>
      <w:suppressAutoHyphens/>
      <w:spacing w:line="480" w:lineRule="exact"/>
      <w:ind w:firstLine="198"/>
    </w:pPr>
    <w:rPr>
      <w:spacing w:val="18"/>
      <w:kern w:val="0"/>
      <w:sz w:val="24"/>
      <w:szCs w:val="20"/>
    </w:rPr>
  </w:style>
  <w:style w:type="paragraph" w:customStyle="1" w:styleId="52">
    <w:name w:val="标题样式2"/>
    <w:basedOn w:val="4"/>
    <w:next w:val="23"/>
    <w:qFormat/>
    <w:uiPriority w:val="0"/>
    <w:pPr>
      <w:widowControl/>
      <w:tabs>
        <w:tab w:val="left" w:pos="1890"/>
      </w:tabs>
      <w:spacing w:before="120" w:after="120" w:line="360" w:lineRule="auto"/>
    </w:pPr>
    <w:rPr>
      <w:rFonts w:ascii="黑体" w:hAnsi="Times New Roman" w:cs="宋体"/>
      <w:color w:val="0000FF"/>
      <w:kern w:val="0"/>
      <w:sz w:val="24"/>
      <w:szCs w:val="24"/>
    </w:rPr>
  </w:style>
  <w:style w:type="character" w:customStyle="1" w:styleId="53">
    <w:name w:val="表格 Char Char"/>
    <w:qFormat/>
    <w:uiPriority w:val="0"/>
    <w:rPr>
      <w:rFonts w:hint="eastAsia" w:ascii="宋体" w:hAnsi="宋体" w:eastAsia="宋体" w:cs="Times New Roman"/>
      <w:sz w:val="21"/>
      <w:szCs w:val="21"/>
    </w:rPr>
  </w:style>
  <w:style w:type="character" w:customStyle="1" w:styleId="54">
    <w:name w:val="页脚 字符"/>
    <w:qFormat/>
    <w:uiPriority w:val="99"/>
  </w:style>
  <w:style w:type="character" w:customStyle="1" w:styleId="55">
    <w:name w:val="日期 字符"/>
    <w:semiHidden/>
    <w:qFormat/>
    <w:uiPriority w:val="0"/>
    <w:rPr>
      <w:rFonts w:ascii="Times New Roman" w:hAnsi="Times New Roman" w:eastAsia="宋体"/>
      <w:sz w:val="24"/>
    </w:rPr>
  </w:style>
  <w:style w:type="character" w:customStyle="1" w:styleId="56">
    <w:name w:val="正文文本缩进 Char"/>
    <w:semiHidden/>
    <w:qFormat/>
    <w:locked/>
    <w:uiPriority w:val="0"/>
    <w:rPr>
      <w:rFonts w:ascii="Times New Roman" w:hAnsi="Times New Roman" w:eastAsia="宋体"/>
      <w:sz w:val="24"/>
    </w:rPr>
  </w:style>
  <w:style w:type="character" w:customStyle="1" w:styleId="57">
    <w:name w:val="正文首行缩进 Char1"/>
    <w:qFormat/>
    <w:uiPriority w:val="0"/>
    <w:rPr>
      <w:kern w:val="2"/>
      <w:sz w:val="21"/>
      <w:szCs w:val="24"/>
    </w:rPr>
  </w:style>
  <w:style w:type="character" w:customStyle="1" w:styleId="58">
    <w:name w:val="表格 Char"/>
    <w:link w:val="59"/>
    <w:qFormat/>
    <w:locked/>
    <w:uiPriority w:val="0"/>
    <w:rPr>
      <w:rFonts w:ascii="宋体"/>
      <w:sz w:val="21"/>
    </w:rPr>
  </w:style>
  <w:style w:type="paragraph" w:customStyle="1" w:styleId="59">
    <w:name w:val="表格"/>
    <w:basedOn w:val="1"/>
    <w:next w:val="1"/>
    <w:link w:val="58"/>
    <w:qFormat/>
    <w:uiPriority w:val="0"/>
    <w:pPr>
      <w:adjustRightInd w:val="0"/>
      <w:snapToGrid w:val="0"/>
      <w:spacing w:beforeLines="10" w:afterLines="10" w:line="259" w:lineRule="auto"/>
      <w:jc w:val="center"/>
    </w:pPr>
    <w:rPr>
      <w:rFonts w:ascii="宋体" w:cs="Times New Roman"/>
      <w:kern w:val="0"/>
      <w:szCs w:val="20"/>
    </w:rPr>
  </w:style>
  <w:style w:type="character" w:customStyle="1" w:styleId="60">
    <w:name w:val="批注文字 字符1"/>
    <w:semiHidden/>
    <w:qFormat/>
    <w:uiPriority w:val="0"/>
    <w:rPr>
      <w:rFonts w:ascii="Times New Roman" w:hAnsi="Times New Roman" w:eastAsia="宋体"/>
      <w:sz w:val="24"/>
    </w:rPr>
  </w:style>
  <w:style w:type="character" w:customStyle="1" w:styleId="61">
    <w:name w:val="正文文本 字符1"/>
    <w:semiHidden/>
    <w:qFormat/>
    <w:uiPriority w:val="0"/>
    <w:rPr>
      <w:rFonts w:ascii="Times New Roman" w:hAnsi="Times New Roman" w:eastAsia="宋体"/>
      <w:sz w:val="24"/>
    </w:rPr>
  </w:style>
  <w:style w:type="character" w:customStyle="1" w:styleId="62">
    <w:name w:val="fontstyle01"/>
    <w:qFormat/>
    <w:uiPriority w:val="0"/>
    <w:rPr>
      <w:rFonts w:hint="eastAsia" w:ascii="宋体" w:hAnsi="宋体" w:eastAsia="宋体"/>
      <w:color w:val="000000"/>
      <w:sz w:val="24"/>
      <w:szCs w:val="24"/>
    </w:rPr>
  </w:style>
  <w:style w:type="paragraph" w:customStyle="1" w:styleId="63">
    <w:name w:val="正文内容"/>
    <w:basedOn w:val="1"/>
    <w:qFormat/>
    <w:uiPriority w:val="0"/>
    <w:pPr>
      <w:adjustRightInd/>
      <w:spacing w:line="360" w:lineRule="auto"/>
      <w:ind w:firstLine="567"/>
      <w:textAlignment w:val="auto"/>
    </w:pPr>
    <w:rPr>
      <w:rFonts w:ascii="宋体" w:hAnsi="Times New Roman"/>
      <w:kern w:val="2"/>
      <w:szCs w:val="24"/>
    </w:rPr>
  </w:style>
  <w:style w:type="paragraph" w:customStyle="1" w:styleId="64">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65">
    <w:name w:val="图图"/>
    <w:basedOn w:val="1"/>
    <w:qFormat/>
    <w:uiPriority w:val="0"/>
    <w:pPr>
      <w:adjustRightInd/>
      <w:spacing w:line="240" w:lineRule="auto"/>
      <w:jc w:val="center"/>
      <w:textAlignment w:val="auto"/>
    </w:pPr>
    <w:rPr>
      <w:rFonts w:ascii="Times New Roman" w:hAnsi="Times New Roman"/>
      <w:kern w:val="2"/>
      <w:sz w:val="21"/>
      <w:szCs w:val="24"/>
    </w:rPr>
  </w:style>
  <w:style w:type="paragraph" w:customStyle="1" w:styleId="66">
    <w:name w:val="正文_1"/>
    <w:qFormat/>
    <w:uiPriority w:val="0"/>
    <w:pPr>
      <w:widowControl w:val="0"/>
      <w:jc w:val="both"/>
    </w:pPr>
    <w:rPr>
      <w:rFonts w:ascii="Calibri" w:hAnsi="Calibri" w:eastAsia="宋体" w:cs="Times New Roman"/>
      <w:kern w:val="2"/>
      <w:sz w:val="21"/>
      <w:lang w:val="en-US" w:eastAsia="zh-CN" w:bidi="ar-SA"/>
    </w:rPr>
  </w:style>
  <w:style w:type="paragraph" w:customStyle="1" w:styleId="67">
    <w:name w:val="样式 正文文字 + 首行缩进:  2 字符 行距: 最小值 24 磅"/>
    <w:basedOn w:val="1"/>
    <w:qFormat/>
    <w:uiPriority w:val="0"/>
    <w:pPr>
      <w:keepNext w:val="0"/>
      <w:keepLines w:val="0"/>
      <w:widowControl w:val="0"/>
      <w:suppressLineNumbers w:val="0"/>
      <w:adjustRightInd w:val="0"/>
      <w:snapToGrid w:val="0"/>
      <w:spacing w:before="0" w:beforeAutospacing="0" w:after="0" w:afterAutospacing="0" w:line="480" w:lineRule="atLeast"/>
      <w:ind w:left="0" w:right="0" w:firstLine="480" w:firstLineChars="200"/>
      <w:jc w:val="both"/>
    </w:pPr>
    <w:rPr>
      <w:rFonts w:hint="default" w:ascii="Times New Roman" w:hAnsi="Times New Roman" w:eastAsia="宋体" w:cs="宋体"/>
      <w:kern w:val="2"/>
      <w:sz w:val="24"/>
      <w:szCs w:val="20"/>
      <w:lang w:val="en-US" w:eastAsia="zh-CN" w:bidi="ar-SA"/>
    </w:rPr>
  </w:style>
  <w:style w:type="paragraph" w:styleId="68">
    <w:name w:val="List Paragraph"/>
    <w:basedOn w:val="1"/>
    <w:qFormat/>
    <w:uiPriority w:val="34"/>
    <w:pPr>
      <w:ind w:firstLine="420" w:firstLineChars="200"/>
    </w:pPr>
  </w:style>
  <w:style w:type="paragraph" w:customStyle="1" w:styleId="69">
    <w:name w:val="正文_4"/>
    <w:qFormat/>
    <w:uiPriority w:val="0"/>
    <w:pPr>
      <w:widowControl w:val="0"/>
      <w:jc w:val="both"/>
    </w:pPr>
    <w:rPr>
      <w:rFonts w:ascii="Calibri" w:hAnsi="Calibri" w:eastAsia="宋体" w:cs="Times New Roman"/>
      <w:kern w:val="2"/>
      <w:sz w:val="21"/>
      <w:lang w:val="en-US" w:eastAsia="zh-CN" w:bidi="ar-SA"/>
    </w:rPr>
  </w:style>
  <w:style w:type="paragraph" w:customStyle="1" w:styleId="70">
    <w:name w:val="正文01"/>
    <w:basedOn w:val="1"/>
    <w:qFormat/>
    <w:uiPriority w:val="0"/>
    <w:pPr>
      <w:spacing w:before="60" w:line="460" w:lineRule="exact"/>
      <w:ind w:firstLine="200" w:firstLineChars="200"/>
    </w:pPr>
    <w:rPr>
      <w:rFonts w:ascii="Arial" w:hAnsi="Arial"/>
      <w:sz w:val="24"/>
      <w:szCs w:val="20"/>
    </w:rPr>
  </w:style>
  <w:style w:type="paragraph" w:customStyle="1" w:styleId="71">
    <w:name w:val="表格文字"/>
    <w:basedOn w:val="1"/>
    <w:qFormat/>
    <w:uiPriority w:val="0"/>
    <w:pPr>
      <w:jc w:val="center"/>
    </w:pPr>
    <w:rPr>
      <w:rFonts w:ascii="仿宋_GB2312" w:hAnsi="Arial Black" w:eastAsia="仿宋_GB2312"/>
      <w:kern w:val="44"/>
      <w:sz w:val="24"/>
      <w:szCs w:val="20"/>
    </w:rPr>
  </w:style>
  <w:style w:type="paragraph" w:customStyle="1" w:styleId="72">
    <w:name w:val="Table Paragraph"/>
    <w:basedOn w:val="1"/>
    <w:qFormat/>
    <w:uiPriority w:val="0"/>
    <w:pPr>
      <w:keepNext w:val="0"/>
      <w:keepLines w:val="0"/>
      <w:widowControl/>
      <w:suppressLineNumbers w:val="0"/>
      <w:spacing w:before="0" w:beforeAutospacing="0" w:after="0" w:afterAutospacing="0" w:line="500" w:lineRule="exact"/>
      <w:ind w:left="0" w:right="0"/>
      <w:jc w:val="center"/>
    </w:pPr>
    <w:rPr>
      <w:rFonts w:hint="eastAsia" w:ascii="宋体" w:hAnsi="宋体" w:eastAsia="宋体" w:cs="宋体"/>
      <w:kern w:val="0"/>
      <w:sz w:val="24"/>
      <w:szCs w:val="24"/>
      <w:lang w:val="en-US" w:eastAsia="zh-CN" w:bidi="ar-SA"/>
    </w:rPr>
  </w:style>
  <w:style w:type="paragraph" w:customStyle="1" w:styleId="73">
    <w:name w:val="表标题"/>
    <w:basedOn w:val="1"/>
    <w:qFormat/>
    <w:uiPriority w:val="0"/>
    <w:pPr>
      <w:widowControl w:val="0"/>
      <w:jc w:val="center"/>
    </w:pPr>
    <w:rPr>
      <w:b/>
      <w:kern w:val="2"/>
    </w:rPr>
  </w:style>
  <w:style w:type="paragraph" w:customStyle="1" w:styleId="74">
    <w:name w:val="正文_10"/>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75">
    <w:name w:val="普通(网站)2"/>
    <w:basedOn w:val="1"/>
    <w:qFormat/>
    <w:uiPriority w:val="0"/>
    <w:pPr>
      <w:widowControl/>
      <w:spacing w:before="100" w:beforeAutospacing="1" w:after="100" w:afterAutospacing="1"/>
      <w:jc w:val="left"/>
    </w:pPr>
    <w:rPr>
      <w:rFonts w:ascii="宋体" w:hAnsi="宋体"/>
      <w:sz w:val="24"/>
      <w:szCs w:val="20"/>
    </w:rPr>
  </w:style>
  <w:style w:type="paragraph" w:customStyle="1" w:styleId="76">
    <w:name w:val="表头"/>
    <w:basedOn w:val="1"/>
    <w:qFormat/>
    <w:uiPriority w:val="0"/>
    <w:pPr>
      <w:spacing w:line="300" w:lineRule="auto"/>
      <w:ind w:left="-50" w:leftChars="-50"/>
      <w:jc w:val="center"/>
    </w:pPr>
    <w:rPr>
      <w:rFonts w:ascii="宋体" w:hAnsi="宋体"/>
      <w:bCs/>
      <w:snapToGrid w:val="0"/>
      <w:szCs w:val="18"/>
    </w:rPr>
  </w:style>
  <w:style w:type="paragraph" w:customStyle="1" w:styleId="77">
    <w:name w:val="Other|1"/>
    <w:basedOn w:val="1"/>
    <w:qFormat/>
    <w:uiPriority w:val="0"/>
    <w:pPr>
      <w:widowControl w:val="0"/>
      <w:shd w:val="clear" w:color="auto" w:fill="auto"/>
      <w:spacing w:line="278" w:lineRule="exact"/>
      <w:jc w:val="center"/>
    </w:pPr>
    <w:rPr>
      <w:rFonts w:ascii="宋体" w:hAnsi="宋体" w:eastAsia="宋体" w:cs="宋体"/>
      <w:sz w:val="19"/>
      <w:szCs w:val="19"/>
      <w:u w:val="none"/>
      <w:shd w:val="clear" w:color="auto" w:fill="auto"/>
      <w:lang w:val="zh-TW" w:eastAsia="zh-TW" w:bidi="zh-TW"/>
    </w:rPr>
  </w:style>
  <w:style w:type="paragraph" w:customStyle="1" w:styleId="78">
    <w:name w:val="正文233"/>
    <w:basedOn w:val="1"/>
    <w:qFormat/>
    <w:uiPriority w:val="0"/>
    <w:pPr>
      <w:autoSpaceDE w:val="0"/>
      <w:autoSpaceDN w:val="0"/>
      <w:adjustRightInd w:val="0"/>
      <w:snapToGrid w:val="0"/>
      <w:spacing w:line="480" w:lineRule="exact"/>
      <w:ind w:firstLine="200" w:firstLineChars="200"/>
      <w:jc w:val="both"/>
    </w:pPr>
    <w:rPr>
      <w:szCs w:val="20"/>
    </w:rPr>
  </w:style>
  <w:style w:type="character" w:customStyle="1" w:styleId="79">
    <w:name w:val="font01"/>
    <w:basedOn w:val="29"/>
    <w:qFormat/>
    <w:uiPriority w:val="0"/>
    <w:rPr>
      <w:rFonts w:hint="eastAsia" w:ascii="宋体" w:hAnsi="宋体" w:eastAsia="宋体" w:cs="宋体"/>
      <w:color w:val="000000"/>
      <w:sz w:val="18"/>
      <w:szCs w:val="18"/>
      <w:u w:val="none"/>
    </w:rPr>
  </w:style>
  <w:style w:type="character" w:customStyle="1" w:styleId="80">
    <w:name w:val="font21"/>
    <w:basedOn w:val="29"/>
    <w:qFormat/>
    <w:uiPriority w:val="0"/>
    <w:rPr>
      <w:rFonts w:hint="default" w:ascii="Times New Roman" w:hAnsi="Times New Roman" w:cs="Times New Roman"/>
      <w:color w:val="000000"/>
      <w:sz w:val="18"/>
      <w:szCs w:val="18"/>
      <w:u w:val="none"/>
    </w:rPr>
  </w:style>
  <w:style w:type="paragraph" w:customStyle="1" w:styleId="81">
    <w:name w:val="2表格内正文"/>
    <w:basedOn w:val="1"/>
    <w:qFormat/>
    <w:uiPriority w:val="0"/>
    <w:pPr>
      <w:jc w:val="center"/>
    </w:pPr>
    <w:rPr>
      <w:sz w:val="24"/>
      <w:szCs w:val="24"/>
    </w:rPr>
  </w:style>
  <w:style w:type="paragraph" w:customStyle="1" w:styleId="82">
    <w:name w:val="1正文2重点"/>
    <w:basedOn w:val="83"/>
    <w:qFormat/>
    <w:uiPriority w:val="0"/>
    <w:pPr>
      <w:ind w:firstLine="562"/>
    </w:pPr>
    <w:rPr>
      <w:rFonts w:ascii="宋体" w:hAnsi="宋体" w:cs="宋体"/>
      <w:b/>
      <w:bCs/>
      <w:szCs w:val="20"/>
      <w:lang w:val="en-US" w:eastAsia="zh-CN"/>
    </w:rPr>
  </w:style>
  <w:style w:type="paragraph" w:customStyle="1" w:styleId="83">
    <w:name w:val="1正文"/>
    <w:basedOn w:val="1"/>
    <w:qFormat/>
    <w:uiPriority w:val="0"/>
    <w:pPr>
      <w:adjustRightInd w:val="0"/>
      <w:snapToGrid w:val="0"/>
      <w:spacing w:line="360" w:lineRule="auto"/>
      <w:ind w:firstLine="560" w:firstLineChars="200"/>
    </w:pPr>
    <w:rPr>
      <w:rFonts w:eastAsia="仿宋_GB2312"/>
      <w:sz w:val="28"/>
      <w:szCs w:val="28"/>
    </w:rPr>
  </w:style>
  <w:style w:type="character" w:customStyle="1" w:styleId="84">
    <w:name w:val="font51"/>
    <w:basedOn w:val="29"/>
    <w:qFormat/>
    <w:uiPriority w:val="0"/>
    <w:rPr>
      <w:rFonts w:hint="eastAsia" w:ascii="宋体" w:hAnsi="宋体" w:eastAsia="宋体" w:cs="宋体"/>
      <w:color w:val="000000"/>
      <w:sz w:val="20"/>
      <w:szCs w:val="20"/>
      <w:u w:val="none"/>
    </w:rPr>
  </w:style>
  <w:style w:type="character" w:customStyle="1" w:styleId="85">
    <w:name w:val="font31"/>
    <w:basedOn w:val="29"/>
    <w:qFormat/>
    <w:uiPriority w:val="0"/>
    <w:rPr>
      <w:rFonts w:hint="eastAsia" w:ascii="宋体" w:hAnsi="宋体" w:eastAsia="宋体" w:cs="宋体"/>
      <w:color w:val="000000"/>
      <w:sz w:val="20"/>
      <w:szCs w:val="20"/>
      <w:u w:val="none"/>
      <w:vertAlign w:val="superscript"/>
    </w:rPr>
  </w:style>
  <w:style w:type="character" w:customStyle="1" w:styleId="86">
    <w:name w:val="font11"/>
    <w:basedOn w:val="29"/>
    <w:qFormat/>
    <w:uiPriority w:val="0"/>
    <w:rPr>
      <w:rFonts w:hint="eastAsia" w:ascii="宋体" w:hAnsi="宋体" w:eastAsia="宋体" w:cs="宋体"/>
      <w:color w:val="000000"/>
      <w:sz w:val="21"/>
      <w:szCs w:val="21"/>
      <w:u w:val="none"/>
    </w:rPr>
  </w:style>
  <w:style w:type="paragraph" w:customStyle="1" w:styleId="87">
    <w:name w:val="WPSOffice手动目录 1"/>
    <w:qFormat/>
    <w:uiPriority w:val="0"/>
    <w:pPr>
      <w:ind w:leftChars="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emf"/><Relationship Id="rId7" Type="http://schemas.openxmlformats.org/officeDocument/2006/relationships/oleObject" Target="embeddings/oleObject1.bin"/><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ops>
  <customShpExts>
    <customShpInfo spid="_x0000_s2052" textRotate="1"/>
    <customShpInfo spid="_x0000_s2051" textRotate="1"/>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73</Pages>
  <Words>41550</Words>
  <Characters>45780</Characters>
  <Lines>192</Lines>
  <Paragraphs>54</Paragraphs>
  <TotalTime>39</TotalTime>
  <ScaleCrop>false</ScaleCrop>
  <LinksUpToDate>false</LinksUpToDate>
  <CharactersWithSpaces>46189</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2021-04-07T03:35:00Z</dcterms:created>
  <dc:creator>西西里</dc:creator>
  <cp:lastModifiedBy>PC12138</cp:lastModifiedBy>
  <cp:lastPrinted>2020-12-29T02:43:00Z</cp:lastPrinted>
  <dcterms:modified xsi:type="dcterms:W3CDTF">2024-06-04T07:31:52Z</dcterms:modified>
  <dc:title>附件2</dc:title>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E85766175750491880DF02097D5233AA_13</vt:lpwstr>
  </property>
</Properties>
</file>