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3345"/>
          <w:tab w:val="left" w:pos="5496"/>
        </w:tabs>
        <w:rPr>
          <w:rFonts w:eastAsia="仿宋_GB2312"/>
          <w:color w:val="auto"/>
          <w:sz w:val="36"/>
          <w:szCs w:val="36"/>
          <w:highlight w:val="none"/>
        </w:rPr>
      </w:pPr>
      <w:bookmarkStart w:id="0" w:name="_Hlk57883707"/>
    </w:p>
    <w:p>
      <w:pPr>
        <w:rPr>
          <w:rFonts w:eastAsia="仿宋_GB2312"/>
          <w:color w:val="auto"/>
          <w:sz w:val="36"/>
          <w:szCs w:val="36"/>
          <w:highlight w:val="none"/>
        </w:rPr>
      </w:pPr>
    </w:p>
    <w:p>
      <w:pPr>
        <w:rPr>
          <w:rFonts w:eastAsia="仿宋_GB2312"/>
          <w:color w:val="auto"/>
          <w:sz w:val="36"/>
          <w:szCs w:val="36"/>
          <w:highlight w:val="none"/>
        </w:rPr>
      </w:pPr>
    </w:p>
    <w:bookmarkEnd w:id="0"/>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0"/>
        <w:rPr>
          <w:rFonts w:eastAsia="方正小标宋_GBK"/>
          <w:bCs/>
          <w:color w:val="auto"/>
          <w:sz w:val="72"/>
          <w:szCs w:val="72"/>
          <w:highlight w:val="none"/>
        </w:rPr>
      </w:pPr>
      <w:r>
        <w:rPr>
          <w:rFonts w:eastAsia="方正小标宋_GBK"/>
          <w:bCs/>
          <w:color w:val="auto"/>
          <w:sz w:val="72"/>
          <w:szCs w:val="72"/>
          <w:highlight w:val="none"/>
        </w:rPr>
        <w:t>建设项目环境影响报告表</w:t>
      </w:r>
    </w:p>
    <w:p>
      <w:pPr>
        <w:keepNext w:val="0"/>
        <w:keepLines w:val="0"/>
        <w:pageBreakBefore w:val="0"/>
        <w:widowControl w:val="0"/>
        <w:kinsoku/>
        <w:wordWrap/>
        <w:overflowPunct/>
        <w:topLinePunct w:val="0"/>
        <w:autoSpaceDE/>
        <w:autoSpaceDN/>
        <w:bidi w:val="0"/>
        <w:adjustRightInd w:val="0"/>
        <w:snapToGrid w:val="0"/>
        <w:spacing w:before="192" w:beforeLines="80" w:line="240" w:lineRule="auto"/>
        <w:jc w:val="center"/>
        <w:textAlignment w:val="auto"/>
        <w:rPr>
          <w:rFonts w:eastAsia="楷体_GB2312"/>
          <w:bCs/>
          <w:color w:val="auto"/>
          <w:sz w:val="48"/>
          <w:szCs w:val="48"/>
          <w:highlight w:val="none"/>
        </w:rPr>
      </w:pPr>
      <w:r>
        <w:rPr>
          <w:rFonts w:eastAsia="楷体_GB2312"/>
          <w:bCs/>
          <w:color w:val="auto"/>
          <w:sz w:val="48"/>
          <w:szCs w:val="48"/>
          <w:highlight w:val="none"/>
        </w:rPr>
        <w:t>（生态影响类）</w:t>
      </w:r>
    </w:p>
    <w:p>
      <w:pPr>
        <w:adjustRightInd w:val="0"/>
        <w:snapToGrid w:val="0"/>
        <w:spacing w:line="288" w:lineRule="auto"/>
        <w:jc w:val="center"/>
        <w:outlineLvl w:val="0"/>
        <w:rPr>
          <w:rFonts w:eastAsia="华文仿宋"/>
          <w:color w:val="auto"/>
          <w:kern w:val="44"/>
          <w:sz w:val="44"/>
          <w:szCs w:val="44"/>
          <w:highlight w:val="none"/>
        </w:rPr>
      </w:pPr>
      <w:bookmarkStart w:id="1" w:name="_Hlk57883728"/>
    </w:p>
    <w:p>
      <w:pPr>
        <w:ind w:firstLine="1040"/>
        <w:rPr>
          <w:rFonts w:eastAsia="仿宋"/>
          <w:color w:val="auto"/>
          <w:sz w:val="44"/>
          <w:szCs w:val="44"/>
          <w:highlight w:val="none"/>
        </w:rPr>
      </w:pPr>
    </w:p>
    <w:p>
      <w:pPr>
        <w:ind w:firstLine="1040"/>
        <w:rPr>
          <w:rFonts w:eastAsia="仿宋"/>
          <w:color w:val="auto"/>
          <w:sz w:val="44"/>
          <w:szCs w:val="44"/>
          <w:highlight w:val="none"/>
        </w:rPr>
      </w:pPr>
    </w:p>
    <w:p>
      <w:pPr>
        <w:pStyle w:val="14"/>
        <w:rPr>
          <w:rFonts w:eastAsia="仿宋"/>
          <w:color w:val="auto"/>
          <w:sz w:val="44"/>
          <w:szCs w:val="44"/>
          <w:highlight w:val="none"/>
        </w:rPr>
      </w:pPr>
    </w:p>
    <w:p>
      <w:pPr>
        <w:rPr>
          <w:rFonts w:eastAsia="仿宋"/>
          <w:color w:val="auto"/>
          <w:sz w:val="44"/>
          <w:szCs w:val="44"/>
          <w:highlight w:val="none"/>
        </w:rPr>
      </w:pPr>
    </w:p>
    <w:p>
      <w:pPr>
        <w:pStyle w:val="14"/>
        <w:rPr>
          <w:color w:val="auto"/>
          <w:highlight w:val="none"/>
        </w:rPr>
      </w:pPr>
    </w:p>
    <w:p>
      <w:pPr>
        <w:ind w:firstLine="1040"/>
        <w:rPr>
          <w:rFonts w:eastAsia="仿宋"/>
          <w:color w:val="auto"/>
          <w:sz w:val="44"/>
          <w:szCs w:val="44"/>
          <w:highlight w:val="none"/>
        </w:rPr>
      </w:pPr>
    </w:p>
    <w:bookmarkEnd w:id="1"/>
    <w:p>
      <w:pPr>
        <w:keepNext w:val="0"/>
        <w:keepLines w:val="0"/>
        <w:pageBreakBefore w:val="0"/>
        <w:widowControl w:val="0"/>
        <w:kinsoku/>
        <w:wordWrap/>
        <w:overflowPunct/>
        <w:topLinePunct w:val="0"/>
        <w:autoSpaceDE/>
        <w:autoSpaceDN/>
        <w:bidi w:val="0"/>
        <w:adjustRightInd w:val="0"/>
        <w:snapToGrid w:val="0"/>
        <w:spacing w:line="288" w:lineRule="auto"/>
        <w:ind w:firstLine="1037"/>
        <w:textAlignment w:val="auto"/>
        <w:rPr>
          <w:rFonts w:eastAsia="仿宋_GB2312"/>
          <w:color w:val="auto"/>
          <w:sz w:val="36"/>
          <w:szCs w:val="36"/>
          <w:highlight w:val="none"/>
          <w:u w:val="single"/>
        </w:rPr>
      </w:pPr>
      <w:r>
        <w:rPr>
          <w:rFonts w:eastAsia="仿宋_GB2312"/>
          <w:color w:val="auto"/>
          <w:sz w:val="36"/>
          <w:szCs w:val="36"/>
          <w:highlight w:val="none"/>
        </w:rPr>
        <w:t xml:space="preserve">项目名称： </w:t>
      </w:r>
      <w:r>
        <w:rPr>
          <w:rFonts w:eastAsia="仿宋_GB2312"/>
          <w:color w:val="auto"/>
          <w:sz w:val="36"/>
          <w:szCs w:val="36"/>
          <w:highlight w:val="none"/>
          <w:u w:val="single"/>
        </w:rPr>
        <w:t xml:space="preserve"> </w:t>
      </w:r>
      <w:r>
        <w:rPr>
          <w:rFonts w:hint="eastAsia" w:eastAsia="仿宋_GB2312"/>
          <w:color w:val="auto"/>
          <w:sz w:val="36"/>
          <w:szCs w:val="36"/>
          <w:highlight w:val="none"/>
          <w:u w:val="single"/>
          <w:lang w:eastAsia="zh-CN"/>
        </w:rPr>
        <w:t>乐港路跨沿海公路立交桥项目</w:t>
      </w:r>
      <w:r>
        <w:rPr>
          <w:rFonts w:hint="eastAsia" w:eastAsia="仿宋_GB2312"/>
          <w:color w:val="auto"/>
          <w:sz w:val="36"/>
          <w:szCs w:val="36"/>
          <w:highlight w:val="none"/>
          <w:u w:val="single"/>
          <w:lang w:val="en-US" w:eastAsia="zh-CN"/>
        </w:rPr>
        <w:t xml:space="preserve">     </w:t>
      </w:r>
      <w:r>
        <w:rPr>
          <w:rFonts w:eastAsia="仿宋_GB2312"/>
          <w:color w:val="auto"/>
          <w:sz w:val="36"/>
          <w:szCs w:val="36"/>
          <w:highlight w:val="none"/>
          <w:u w:val="single"/>
        </w:rPr>
        <w:t xml:space="preserve">   </w:t>
      </w:r>
    </w:p>
    <w:p>
      <w:pPr>
        <w:keepNext w:val="0"/>
        <w:keepLines w:val="0"/>
        <w:pageBreakBefore w:val="0"/>
        <w:widowControl w:val="0"/>
        <w:kinsoku/>
        <w:wordWrap/>
        <w:overflowPunct/>
        <w:topLinePunct w:val="0"/>
        <w:autoSpaceDE/>
        <w:autoSpaceDN/>
        <w:bidi w:val="0"/>
        <w:adjustRightInd w:val="0"/>
        <w:snapToGrid w:val="0"/>
        <w:spacing w:line="288" w:lineRule="auto"/>
        <w:ind w:firstLine="1037"/>
        <w:textAlignment w:val="auto"/>
        <w:rPr>
          <w:rFonts w:eastAsia="仿宋_GB2312"/>
          <w:color w:val="auto"/>
          <w:spacing w:val="-11"/>
          <w:sz w:val="36"/>
          <w:szCs w:val="36"/>
          <w:highlight w:val="none"/>
          <w:u w:val="single"/>
        </w:rPr>
      </w:pPr>
      <w:r>
        <w:rPr>
          <w:rFonts w:eastAsia="仿宋_GB2312"/>
          <w:color w:val="auto"/>
          <w:spacing w:val="-11"/>
          <w:sz w:val="36"/>
          <w:szCs w:val="36"/>
          <w:highlight w:val="none"/>
        </w:rPr>
        <w:t>建设单位（盖章）：</w:t>
      </w:r>
      <w:r>
        <w:rPr>
          <w:rFonts w:hint="eastAsia" w:eastAsia="仿宋_GB2312"/>
          <w:color w:val="auto"/>
          <w:spacing w:val="-11"/>
          <w:sz w:val="36"/>
          <w:szCs w:val="36"/>
          <w:highlight w:val="none"/>
          <w:u w:val="single"/>
          <w:lang w:eastAsia="zh-CN"/>
        </w:rPr>
        <w:t>唐山海港经济开发区交通运输局</w:t>
      </w:r>
    </w:p>
    <w:p>
      <w:pPr>
        <w:keepNext w:val="0"/>
        <w:keepLines w:val="0"/>
        <w:pageBreakBefore w:val="0"/>
        <w:widowControl w:val="0"/>
        <w:kinsoku/>
        <w:wordWrap/>
        <w:overflowPunct/>
        <w:topLinePunct w:val="0"/>
        <w:autoSpaceDE/>
        <w:autoSpaceDN/>
        <w:bidi w:val="0"/>
        <w:adjustRightInd w:val="0"/>
        <w:snapToGrid w:val="0"/>
        <w:spacing w:line="288" w:lineRule="auto"/>
        <w:ind w:firstLine="1037"/>
        <w:textAlignment w:val="auto"/>
        <w:rPr>
          <w:rFonts w:eastAsia="仿宋_GB2312"/>
          <w:color w:val="auto"/>
          <w:sz w:val="36"/>
          <w:szCs w:val="36"/>
          <w:highlight w:val="none"/>
          <w:u w:val="single"/>
        </w:rPr>
      </w:pPr>
      <w:r>
        <w:rPr>
          <w:rFonts w:eastAsia="仿宋_GB2312"/>
          <w:color w:val="auto"/>
          <w:sz w:val="36"/>
          <w:szCs w:val="36"/>
          <w:highlight w:val="none"/>
        </w:rPr>
        <w:t>编制日期：</w:t>
      </w:r>
      <w:r>
        <w:rPr>
          <w:rFonts w:eastAsia="仿宋_GB2312"/>
          <w:color w:val="auto"/>
          <w:sz w:val="36"/>
          <w:szCs w:val="36"/>
          <w:highlight w:val="none"/>
          <w:u w:val="single"/>
        </w:rPr>
        <w:t xml:space="preserve">         202</w:t>
      </w:r>
      <w:r>
        <w:rPr>
          <w:rFonts w:hint="eastAsia" w:eastAsia="仿宋_GB2312"/>
          <w:color w:val="auto"/>
          <w:sz w:val="36"/>
          <w:szCs w:val="36"/>
          <w:highlight w:val="none"/>
          <w:u w:val="single"/>
          <w:lang w:val="en-US" w:eastAsia="zh-CN"/>
        </w:rPr>
        <w:t>4</w:t>
      </w:r>
      <w:r>
        <w:rPr>
          <w:rFonts w:eastAsia="仿宋_GB2312"/>
          <w:color w:val="auto"/>
          <w:sz w:val="36"/>
          <w:szCs w:val="36"/>
          <w:highlight w:val="none"/>
          <w:u w:val="single"/>
        </w:rPr>
        <w:t>年</w:t>
      </w:r>
      <w:r>
        <w:rPr>
          <w:rFonts w:hint="eastAsia" w:eastAsia="仿宋_GB2312"/>
          <w:color w:val="auto"/>
          <w:sz w:val="36"/>
          <w:szCs w:val="36"/>
          <w:highlight w:val="none"/>
          <w:u w:val="single"/>
          <w:lang w:val="en-US" w:eastAsia="zh-CN"/>
        </w:rPr>
        <w:t>1</w:t>
      </w:r>
      <w:r>
        <w:rPr>
          <w:rFonts w:eastAsia="仿宋_GB2312"/>
          <w:color w:val="auto"/>
          <w:sz w:val="36"/>
          <w:szCs w:val="36"/>
          <w:highlight w:val="none"/>
          <w:u w:val="single"/>
        </w:rPr>
        <w:t xml:space="preserve">月    </w:t>
      </w:r>
      <w:r>
        <w:rPr>
          <w:rFonts w:hint="eastAsia" w:eastAsia="仿宋_GB2312"/>
          <w:color w:val="auto"/>
          <w:sz w:val="36"/>
          <w:szCs w:val="36"/>
          <w:highlight w:val="none"/>
          <w:u w:val="single"/>
          <w:lang w:val="en-US" w:eastAsia="zh-CN"/>
        </w:rPr>
        <w:t xml:space="preserve"> </w:t>
      </w:r>
      <w:r>
        <w:rPr>
          <w:rFonts w:eastAsia="仿宋_GB2312"/>
          <w:color w:val="auto"/>
          <w:sz w:val="36"/>
          <w:szCs w:val="36"/>
          <w:highlight w:val="none"/>
          <w:u w:val="single"/>
        </w:rPr>
        <w:t xml:space="preserve">           </w:t>
      </w:r>
    </w:p>
    <w:p>
      <w:pPr>
        <w:adjustRightInd w:val="0"/>
        <w:snapToGrid w:val="0"/>
        <w:spacing w:line="288" w:lineRule="auto"/>
        <w:ind w:firstLine="1040"/>
        <w:rPr>
          <w:rFonts w:eastAsia="仿宋_GB2312"/>
          <w:color w:val="auto"/>
          <w:sz w:val="36"/>
          <w:szCs w:val="36"/>
          <w:highlight w:val="none"/>
          <w:u w:val="single"/>
        </w:rPr>
      </w:pPr>
    </w:p>
    <w:p>
      <w:pPr>
        <w:adjustRightInd w:val="0"/>
        <w:snapToGrid w:val="0"/>
        <w:spacing w:line="288" w:lineRule="auto"/>
        <w:ind w:firstLine="1040"/>
        <w:rPr>
          <w:rFonts w:eastAsia="仿宋_GB2312"/>
          <w:color w:val="auto"/>
          <w:sz w:val="36"/>
          <w:szCs w:val="36"/>
          <w:highlight w:val="none"/>
        </w:rPr>
      </w:pPr>
    </w:p>
    <w:p>
      <w:pPr>
        <w:adjustRightInd w:val="0"/>
        <w:snapToGrid w:val="0"/>
        <w:spacing w:line="288" w:lineRule="auto"/>
        <w:ind w:firstLine="1040"/>
        <w:rPr>
          <w:rFonts w:eastAsia="仿宋_GB2312"/>
          <w:color w:val="auto"/>
          <w:sz w:val="36"/>
          <w:szCs w:val="36"/>
          <w:highlight w:val="none"/>
        </w:rPr>
      </w:pPr>
    </w:p>
    <w:p>
      <w:pPr>
        <w:adjustRightInd w:val="0"/>
        <w:snapToGrid w:val="0"/>
        <w:spacing w:line="288" w:lineRule="auto"/>
        <w:jc w:val="center"/>
        <w:rPr>
          <w:rFonts w:eastAsia="楷体_GB2312"/>
          <w:color w:val="auto"/>
          <w:sz w:val="36"/>
          <w:szCs w:val="36"/>
          <w:highlight w:val="none"/>
        </w:rPr>
      </w:pPr>
      <w:r>
        <w:rPr>
          <w:rFonts w:eastAsia="楷体_GB2312"/>
          <w:color w:val="auto"/>
          <w:sz w:val="36"/>
          <w:szCs w:val="36"/>
          <w:highlight w:val="none"/>
        </w:rPr>
        <w:t>中华人民共和国生态环境部制</w:t>
      </w:r>
    </w:p>
    <w:p>
      <w:pPr>
        <w:adjustRightInd w:val="0"/>
        <w:snapToGrid w:val="0"/>
        <w:spacing w:line="288" w:lineRule="auto"/>
        <w:ind w:firstLine="1040"/>
        <w:rPr>
          <w:rFonts w:eastAsia="仿宋_GB2312"/>
          <w:color w:val="auto"/>
          <w:sz w:val="36"/>
          <w:szCs w:val="36"/>
          <w:highlight w:val="none"/>
        </w:rPr>
        <w:sectPr>
          <w:headerReference r:id="rId5" w:type="default"/>
          <w:footerReference r:id="rId6" w:type="default"/>
          <w:footerReference r:id="rId7" w:type="even"/>
          <w:pgSz w:w="11905" w:h="16838"/>
          <w:pgMar w:top="1701" w:right="1531" w:bottom="1701" w:left="1531" w:header="851" w:footer="1077" w:gutter="0"/>
          <w:pgBorders w:offsetFrom="page">
            <w:top w:val="none" w:sz="0" w:space="0"/>
            <w:left w:val="none" w:sz="0" w:space="0"/>
            <w:bottom w:val="none" w:sz="0" w:space="0"/>
            <w:right w:val="none" w:sz="0" w:space="0"/>
          </w:pgBorders>
          <w:pgNumType w:fmt="decimal" w:start="21"/>
          <w:cols w:space="720" w:num="1"/>
          <w:rtlGutter w:val="0"/>
          <w:docGrid w:type="linesAndChars" w:linePitch="312" w:charSpace="-205"/>
        </w:sectPr>
      </w:pPr>
    </w:p>
    <w:p>
      <w:pPr>
        <w:pStyle w:val="21"/>
        <w:rPr>
          <w:highlight w:val="none"/>
        </w:rPr>
        <w:sectPr>
          <w:pgSz w:w="11905" w:h="16838"/>
          <w:pgMar w:top="1701" w:right="1531" w:bottom="1701" w:left="1531" w:header="851" w:footer="1077" w:gutter="0"/>
          <w:pgBorders w:offsetFrom="page">
            <w:top w:val="none" w:sz="0" w:space="0"/>
            <w:left w:val="none" w:sz="0" w:space="0"/>
            <w:bottom w:val="none" w:sz="0" w:space="0"/>
            <w:right w:val="none" w:sz="0" w:space="0"/>
          </w:pgBorders>
          <w:pgNumType w:fmt="decimal" w:start="21"/>
          <w:cols w:space="720" w:num="1"/>
          <w:rtlGutter w:val="0"/>
          <w:docGrid w:type="linesAndChars" w:linePitch="312" w:charSpace="-205"/>
        </w:sectPr>
      </w:pPr>
    </w:p>
    <w:p>
      <w:pPr>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240" w:lineRule="auto"/>
        <w:jc w:val="center"/>
        <w:textAlignment w:val="auto"/>
        <w:outlineLvl w:val="0"/>
        <w:rPr>
          <w:rFonts w:ascii="Times New Roman" w:hAnsi="Times New Roman" w:eastAsia="黑体"/>
          <w:snapToGrid w:val="0"/>
          <w:color w:val="auto"/>
          <w:sz w:val="30"/>
          <w:szCs w:val="30"/>
          <w:highlight w:val="none"/>
        </w:rPr>
      </w:pPr>
      <w:r>
        <w:rPr>
          <w:rFonts w:ascii="Times New Roman" w:hAnsi="Times New Roman" w:eastAsia="黑体"/>
          <w:snapToGrid w:val="0"/>
          <w:color w:val="auto"/>
          <w:sz w:val="30"/>
          <w:szCs w:val="30"/>
          <w:highlight w:val="none"/>
        </w:rPr>
        <w:t>一、建设项目基本情况</w:t>
      </w:r>
    </w:p>
    <w:tbl>
      <w:tblPr>
        <w:tblStyle w:val="22"/>
        <w:tblW w:w="5011"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1640"/>
        <w:gridCol w:w="3001"/>
        <w:gridCol w:w="1627"/>
        <w:gridCol w:w="263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color w:val="auto"/>
                <w:highlight w:val="none"/>
              </w:rPr>
            </w:pPr>
            <w:r>
              <w:rPr>
                <w:color w:val="auto"/>
                <w:highlight w:val="none"/>
              </w:rPr>
              <w:t>建设项目名称</w:t>
            </w:r>
          </w:p>
        </w:tc>
        <w:tc>
          <w:tcPr>
            <w:tcW w:w="4078" w:type="pct"/>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ascii="Times New Roman" w:hAnsi="Times New Roman" w:eastAsia="宋体"/>
                <w:color w:val="auto"/>
                <w:sz w:val="24"/>
                <w:highlight w:val="none"/>
              </w:rPr>
            </w:pPr>
            <w:r>
              <w:rPr>
                <w:rFonts w:hint="eastAsia" w:ascii="Times New Roman" w:hAnsi="Times New Roman" w:eastAsia="宋体" w:cs="Times New Roman"/>
                <w:color w:val="auto"/>
                <w:kern w:val="2"/>
                <w:sz w:val="21"/>
                <w:szCs w:val="24"/>
                <w:highlight w:val="none"/>
                <w:lang w:val="en-US" w:eastAsia="zh-CN" w:bidi="ar-SA"/>
              </w:rPr>
              <w:t>乐港路跨沿海公路立交桥项目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color w:val="auto"/>
                <w:highlight w:val="none"/>
              </w:rPr>
            </w:pPr>
            <w:r>
              <w:rPr>
                <w:color w:val="auto"/>
                <w:highlight w:val="none"/>
              </w:rPr>
              <w:t>项目代码</w:t>
            </w:r>
          </w:p>
        </w:tc>
        <w:tc>
          <w:tcPr>
            <w:tcW w:w="4078" w:type="pct"/>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default" w:ascii="Times New Roman" w:hAnsi="Times New Roman" w:eastAsia="宋体"/>
                <w:color w:val="auto"/>
                <w:sz w:val="24"/>
                <w:highlight w:val="none"/>
                <w:lang w:val="en-US" w:eastAsia="zh-CN"/>
              </w:rPr>
            </w:pPr>
            <w:r>
              <w:rPr>
                <w:rFonts w:hint="eastAsia" w:ascii="Times New Roman" w:hAnsi="Times New Roman" w:eastAsia="宋体" w:cs="Times New Roman"/>
                <w:color w:val="auto"/>
                <w:kern w:val="2"/>
                <w:sz w:val="21"/>
                <w:szCs w:val="24"/>
                <w:highlight w:val="none"/>
                <w:lang w:val="en-US" w:eastAsia="zh-CN" w:bidi="ar-SA"/>
              </w:rPr>
              <w:t>2311-130274-89-01-750926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color w:val="auto"/>
                <w:highlight w:val="none"/>
              </w:rPr>
            </w:pPr>
            <w:r>
              <w:rPr>
                <w:color w:val="auto"/>
                <w:highlight w:val="none"/>
              </w:rPr>
              <w:t>建设单位联系人</w:t>
            </w:r>
          </w:p>
        </w:tc>
        <w:tc>
          <w:tcPr>
            <w:tcW w:w="16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olor w:val="auto"/>
                <w:sz w:val="24"/>
                <w:highlight w:val="none"/>
                <w:lang w:eastAsia="zh-CN"/>
              </w:rPr>
            </w:pPr>
            <w:r>
              <w:rPr>
                <w:rFonts w:hint="eastAsia" w:ascii="Times New Roman" w:hAnsi="Times New Roman" w:eastAsia="宋体" w:cs="Times New Roman"/>
                <w:color w:val="auto"/>
                <w:kern w:val="2"/>
                <w:sz w:val="21"/>
                <w:szCs w:val="24"/>
                <w:highlight w:val="none"/>
                <w:lang w:val="en-US" w:eastAsia="zh-CN" w:bidi="ar-SA"/>
              </w:rPr>
              <w:t>汪洋</w:t>
            </w:r>
          </w:p>
        </w:tc>
        <w:tc>
          <w:tcPr>
            <w:tcW w:w="91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联系方式</w:t>
            </w:r>
          </w:p>
        </w:tc>
        <w:tc>
          <w:tcPr>
            <w:tcW w:w="148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default"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15127525567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color w:val="auto"/>
                <w:highlight w:val="none"/>
              </w:rPr>
            </w:pPr>
            <w:r>
              <w:rPr>
                <w:color w:val="auto"/>
                <w:highlight w:val="none"/>
              </w:rPr>
              <w:t>建设地点</w:t>
            </w:r>
          </w:p>
        </w:tc>
        <w:tc>
          <w:tcPr>
            <w:tcW w:w="4078" w:type="pct"/>
            <w:gridSpan w:val="3"/>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left="0" w:leftChars="0" w:firstLine="0" w:firstLineChars="0"/>
              <w:jc w:val="center"/>
              <w:textAlignment w:val="auto"/>
              <w:rPr>
                <w:rFonts w:hint="eastAsia" w:ascii="Times New Roman" w:hAnsi="Times New Roman" w:eastAsia="宋体"/>
                <w:color w:val="auto"/>
                <w:highlight w:val="none"/>
                <w:lang w:eastAsia="zh-CN"/>
              </w:rPr>
            </w:pPr>
            <w:bookmarkStart w:id="2" w:name="OLE_LINK16"/>
            <w:bookmarkStart w:id="3" w:name="OLE_LINK15"/>
            <w:r>
              <w:rPr>
                <w:color w:val="auto"/>
                <w:highlight w:val="none"/>
              </w:rPr>
              <w:t>河北省唐山市</w:t>
            </w:r>
            <w:bookmarkEnd w:id="2"/>
            <w:bookmarkEnd w:id="3"/>
            <w:r>
              <w:rPr>
                <w:rFonts w:hint="eastAsia"/>
                <w:color w:val="auto"/>
                <w:highlight w:val="none"/>
                <w:lang w:eastAsia="zh-CN"/>
              </w:rPr>
              <w:t>海港经济开发区北部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地理坐标</w:t>
            </w:r>
          </w:p>
        </w:tc>
        <w:tc>
          <w:tcPr>
            <w:tcW w:w="4078" w:type="pct"/>
            <w:gridSpan w:val="3"/>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hint="default"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主线起点</w:t>
            </w:r>
            <w:r>
              <w:rPr>
                <w:rFonts w:hint="default" w:ascii="Times New Roman" w:hAnsi="Times New Roman" w:eastAsia="宋体" w:cs="Times New Roman"/>
                <w:color w:val="auto"/>
                <w:highlight w:val="none"/>
                <w:lang w:val="en-US" w:eastAsia="zh-CN"/>
              </w:rPr>
              <w:t>：118°57′41.317″，39°16′38.550″；</w:t>
            </w:r>
            <w:r>
              <w:rPr>
                <w:rFonts w:hint="eastAsia" w:ascii="Times New Roman" w:hAnsi="Times New Roman" w:eastAsia="宋体" w:cs="Times New Roman"/>
                <w:color w:val="auto"/>
                <w:highlight w:val="none"/>
                <w:lang w:val="en-US" w:eastAsia="zh-CN"/>
              </w:rPr>
              <w:t>终点：</w:t>
            </w:r>
            <w:r>
              <w:rPr>
                <w:rFonts w:hint="default" w:ascii="Times New Roman" w:hAnsi="Times New Roman" w:eastAsia="宋体" w:cs="Times New Roman"/>
                <w:color w:val="auto"/>
                <w:highlight w:val="none"/>
                <w:lang w:val="en-US" w:eastAsia="zh-CN"/>
              </w:rPr>
              <w:t>118°58′45.088″，39°16′14.152″</w:t>
            </w:r>
          </w:p>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hint="eastAsia" w:eastAsia="宋体" w:cs="Times New Roman"/>
                <w:color w:val="auto"/>
                <w:highlight w:val="none"/>
                <w:lang w:val="en-US" w:eastAsia="zh-CN"/>
              </w:rPr>
            </w:pPr>
            <w:r>
              <w:rPr>
                <w:rFonts w:hint="eastAsia" w:eastAsia="宋体" w:cs="Times New Roman"/>
                <w:color w:val="auto"/>
                <w:highlight w:val="none"/>
                <w:lang w:val="en-US" w:eastAsia="zh-CN"/>
              </w:rPr>
              <w:t>A辅道起点：</w:t>
            </w:r>
            <w:r>
              <w:rPr>
                <w:rFonts w:hint="default" w:ascii="Times New Roman" w:hAnsi="Times New Roman" w:eastAsia="宋体" w:cs="Times New Roman"/>
                <w:color w:val="auto"/>
                <w:highlight w:val="none"/>
                <w:lang w:val="en-US" w:eastAsia="zh-CN"/>
              </w:rPr>
              <w:t>118°57′</w:t>
            </w:r>
            <w:r>
              <w:rPr>
                <w:rFonts w:hint="eastAsia" w:ascii="Times New Roman" w:hAnsi="Times New Roman" w:eastAsia="宋体" w:cs="Times New Roman"/>
                <w:color w:val="auto"/>
                <w:highlight w:val="none"/>
                <w:lang w:val="en-US" w:eastAsia="zh-CN"/>
              </w:rPr>
              <w:t>51.919</w:t>
            </w:r>
            <w:r>
              <w:rPr>
                <w:rFonts w:hint="default" w:ascii="Times New Roman" w:hAnsi="Times New Roman" w:eastAsia="宋体" w:cs="Times New Roman"/>
                <w:color w:val="auto"/>
                <w:highlight w:val="none"/>
                <w:lang w:val="en-US" w:eastAsia="zh-CN"/>
              </w:rPr>
              <w:t>″，39°16′3</w:t>
            </w:r>
            <w:r>
              <w:rPr>
                <w:rFonts w:hint="eastAsia" w:ascii="Times New Roman" w:hAnsi="Times New Roman" w:eastAsia="宋体" w:cs="Times New Roman"/>
                <w:color w:val="auto"/>
                <w:highlight w:val="none"/>
                <w:lang w:val="en-US" w:eastAsia="zh-CN"/>
              </w:rPr>
              <w:t>4.718</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终点：</w:t>
            </w:r>
            <w:r>
              <w:rPr>
                <w:rFonts w:hint="default" w:ascii="Times New Roman" w:hAnsi="Times New Roman" w:eastAsia="宋体" w:cs="Times New Roman"/>
                <w:color w:val="auto"/>
                <w:highlight w:val="none"/>
                <w:lang w:val="en-US" w:eastAsia="zh-CN"/>
              </w:rPr>
              <w:t>118°58′</w:t>
            </w:r>
            <w:r>
              <w:rPr>
                <w:rFonts w:hint="eastAsia" w:ascii="Times New Roman" w:hAnsi="Times New Roman" w:eastAsia="宋体" w:cs="Times New Roman"/>
                <w:color w:val="auto"/>
                <w:highlight w:val="none"/>
                <w:lang w:val="en-US" w:eastAsia="zh-CN"/>
              </w:rPr>
              <w:t>37.247</w:t>
            </w:r>
            <w:r>
              <w:rPr>
                <w:rFonts w:hint="default" w:ascii="Times New Roman" w:hAnsi="Times New Roman" w:eastAsia="宋体" w:cs="Times New Roman"/>
                <w:color w:val="auto"/>
                <w:highlight w:val="none"/>
                <w:lang w:val="en-US" w:eastAsia="zh-CN"/>
              </w:rPr>
              <w:t>″，39°16′1</w:t>
            </w:r>
            <w:r>
              <w:rPr>
                <w:rFonts w:hint="eastAsia" w:ascii="Times New Roman" w:hAnsi="Times New Roman" w:eastAsia="宋体" w:cs="Times New Roman"/>
                <w:color w:val="auto"/>
                <w:highlight w:val="none"/>
                <w:lang w:val="en-US" w:eastAsia="zh-CN"/>
              </w:rPr>
              <w:t>9.590</w:t>
            </w:r>
            <w:r>
              <w:rPr>
                <w:rFonts w:hint="default" w:ascii="Times New Roman" w:hAnsi="Times New Roman" w:eastAsia="宋体" w:cs="Times New Roman"/>
                <w:color w:val="auto"/>
                <w:highlight w:val="none"/>
                <w:lang w:val="en-US" w:eastAsia="zh-CN"/>
              </w:rPr>
              <w:t>″</w:t>
            </w:r>
          </w:p>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hint="default" w:eastAsia="宋体" w:cs="Times New Roman"/>
                <w:color w:val="auto"/>
                <w:highlight w:val="none"/>
                <w:lang w:val="en-US" w:eastAsia="zh-CN"/>
              </w:rPr>
            </w:pPr>
            <w:r>
              <w:rPr>
                <w:rFonts w:hint="eastAsia" w:eastAsia="宋体" w:cs="Times New Roman"/>
                <w:color w:val="auto"/>
                <w:highlight w:val="none"/>
                <w:lang w:val="en-US" w:eastAsia="zh-CN"/>
              </w:rPr>
              <w:t>B辅道起点：</w:t>
            </w:r>
            <w:r>
              <w:rPr>
                <w:rFonts w:hint="default" w:ascii="Times New Roman" w:hAnsi="Times New Roman" w:eastAsia="宋体" w:cs="Times New Roman"/>
                <w:color w:val="auto"/>
                <w:highlight w:val="none"/>
                <w:lang w:val="en-US" w:eastAsia="zh-CN"/>
              </w:rPr>
              <w:t>118°5</w:t>
            </w:r>
            <w:r>
              <w:rPr>
                <w:rFonts w:hint="eastAsia" w:ascii="Times New Roman" w:hAnsi="Times New Roman" w:eastAsia="宋体" w:cs="Times New Roman"/>
                <w:color w:val="auto"/>
                <w:highlight w:val="none"/>
                <w:lang w:val="en-US" w:eastAsia="zh-CN"/>
              </w:rPr>
              <w:t>7</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51.334</w:t>
            </w:r>
            <w:r>
              <w:rPr>
                <w:rFonts w:hint="default" w:ascii="Times New Roman" w:hAnsi="Times New Roman" w:eastAsia="宋体" w:cs="Times New Roman"/>
                <w:color w:val="auto"/>
                <w:highlight w:val="none"/>
                <w:lang w:val="en-US" w:eastAsia="zh-CN"/>
              </w:rPr>
              <w:t>″，39°16′</w:t>
            </w:r>
            <w:r>
              <w:rPr>
                <w:rFonts w:hint="eastAsia" w:ascii="Times New Roman" w:hAnsi="Times New Roman" w:eastAsia="宋体" w:cs="Times New Roman"/>
                <w:color w:val="auto"/>
                <w:highlight w:val="none"/>
                <w:lang w:val="en-US" w:eastAsia="zh-CN"/>
              </w:rPr>
              <w:t>35.577</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终点：</w:t>
            </w:r>
            <w:r>
              <w:rPr>
                <w:rFonts w:hint="default" w:ascii="Times New Roman" w:hAnsi="Times New Roman" w:eastAsia="宋体" w:cs="Times New Roman"/>
                <w:color w:val="auto"/>
                <w:highlight w:val="none"/>
                <w:lang w:val="en-US" w:eastAsia="zh-CN"/>
              </w:rPr>
              <w:t>118°5</w:t>
            </w:r>
            <w:r>
              <w:rPr>
                <w:rFonts w:hint="eastAsia" w:ascii="Times New Roman" w:hAnsi="Times New Roman" w:eastAsia="宋体" w:cs="Times New Roman"/>
                <w:color w:val="auto"/>
                <w:highlight w:val="none"/>
                <w:lang w:val="en-US" w:eastAsia="zh-CN"/>
              </w:rPr>
              <w:t>8</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36.045</w:t>
            </w:r>
            <w:r>
              <w:rPr>
                <w:rFonts w:hint="default" w:ascii="Times New Roman" w:hAnsi="Times New Roman" w:eastAsia="宋体" w:cs="Times New Roman"/>
                <w:color w:val="auto"/>
                <w:highlight w:val="none"/>
                <w:lang w:val="en-US" w:eastAsia="zh-CN"/>
              </w:rPr>
              <w:t>″，39°16′</w:t>
            </w:r>
            <w:r>
              <w:rPr>
                <w:rFonts w:hint="eastAsia" w:ascii="Times New Roman" w:hAnsi="Times New Roman" w:eastAsia="宋体" w:cs="Times New Roman"/>
                <w:color w:val="auto"/>
                <w:highlight w:val="none"/>
                <w:lang w:val="en-US" w:eastAsia="zh-CN"/>
              </w:rPr>
              <w:t>20.859</w:t>
            </w:r>
            <w:r>
              <w:rPr>
                <w:rFonts w:hint="default" w:ascii="Times New Roman" w:hAnsi="Times New Roman" w:eastAsia="宋体" w:cs="Times New Roman"/>
                <w:color w:val="auto"/>
                <w:highlight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color w:val="auto"/>
                <w:highlight w:val="none"/>
              </w:rPr>
            </w:pPr>
            <w:r>
              <w:rPr>
                <w:color w:val="auto"/>
                <w:highlight w:val="none"/>
              </w:rPr>
              <w:t>建设项目</w:t>
            </w:r>
          </w:p>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color w:val="auto"/>
                <w:highlight w:val="none"/>
              </w:rPr>
            </w:pPr>
            <w:r>
              <w:rPr>
                <w:color w:val="auto"/>
                <w:highlight w:val="none"/>
              </w:rPr>
              <w:t>行业类别</w:t>
            </w:r>
          </w:p>
        </w:tc>
        <w:tc>
          <w:tcPr>
            <w:tcW w:w="168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left="0" w:leftChars="0" w:firstLine="0" w:firstLineChars="0"/>
              <w:textAlignment w:val="auto"/>
              <w:rPr>
                <w:rFonts w:hint="eastAsia" w:ascii="Times New Roman" w:hAnsi="Times New Roman" w:eastAsia="宋体"/>
                <w:color w:val="auto"/>
                <w:highlight w:val="none"/>
                <w:lang w:eastAsia="zh-CN"/>
              </w:rPr>
            </w:pPr>
            <w:r>
              <w:rPr>
                <w:color w:val="auto"/>
                <w:highlight w:val="none"/>
              </w:rPr>
              <w:t>五十二、交通运输业、管道运输业</w:t>
            </w:r>
            <w:r>
              <w:rPr>
                <w:rFonts w:hint="default" w:ascii="Times New Roman" w:hAnsi="Times New Roman" w:cs="Times New Roman"/>
                <w:color w:val="auto"/>
                <w:highlight w:val="none"/>
                <w:lang w:eastAsia="zh-CN"/>
              </w:rPr>
              <w:t>——</w:t>
            </w:r>
            <w:r>
              <w:rPr>
                <w:color w:val="auto"/>
                <w:highlight w:val="none"/>
              </w:rPr>
              <w:t>13</w:t>
            </w:r>
            <w:r>
              <w:rPr>
                <w:rFonts w:hint="eastAsia"/>
                <w:color w:val="auto"/>
                <w:highlight w:val="none"/>
                <w:lang w:val="en-US" w:eastAsia="zh-CN"/>
              </w:rPr>
              <w:t>0</w:t>
            </w:r>
            <w:r>
              <w:rPr>
                <w:color w:val="auto"/>
                <w:highlight w:val="none"/>
              </w:rPr>
              <w:t>、</w:t>
            </w:r>
            <w:r>
              <w:rPr>
                <w:rFonts w:hint="eastAsia"/>
                <w:color w:val="auto"/>
                <w:highlight w:val="none"/>
                <w:lang w:eastAsia="zh-CN"/>
              </w:rPr>
              <w:t>等级公路（不含维护；不含生命救援、应急保通工程以及国防交通保障项目；不含改扩建四级公路）</w:t>
            </w:r>
            <w:r>
              <w:rPr>
                <w:rFonts w:hint="default" w:ascii="Times New Roman" w:hAnsi="Times New Roman" w:cs="Times New Roman"/>
                <w:color w:val="auto"/>
                <w:highlight w:val="none"/>
                <w:lang w:eastAsia="zh-CN"/>
              </w:rPr>
              <w:t>——</w:t>
            </w:r>
            <w:r>
              <w:rPr>
                <w:rFonts w:hint="eastAsia"/>
                <w:color w:val="auto"/>
                <w:highlight w:val="none"/>
                <w:lang w:eastAsia="zh-CN"/>
              </w:rPr>
              <w:t>其他</w:t>
            </w:r>
          </w:p>
        </w:tc>
        <w:tc>
          <w:tcPr>
            <w:tcW w:w="913"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ascii="Times New Roman" w:hAnsi="Times New Roman" w:eastAsia="宋体" w:cs="Times New Roman"/>
                <w:color w:val="auto"/>
                <w:highlight w:val="none"/>
              </w:rPr>
            </w:pPr>
            <w:r>
              <w:rPr>
                <w:rFonts w:ascii="Times New Roman" w:hAnsi="Times New Roman" w:eastAsia="宋体" w:cs="Times New Roman"/>
                <w:color w:val="auto"/>
                <w:highlight w:val="none"/>
              </w:rPr>
              <w:t>用地（用海）面积（m</w:t>
            </w:r>
            <w:r>
              <w:rPr>
                <w:rFonts w:ascii="Times New Roman" w:hAnsi="Times New Roman" w:eastAsia="宋体" w:cs="Times New Roman"/>
                <w:color w:val="auto"/>
                <w:highlight w:val="none"/>
                <w:vertAlign w:val="superscript"/>
              </w:rPr>
              <w:t>2</w:t>
            </w:r>
            <w:r>
              <w:rPr>
                <w:rFonts w:ascii="Times New Roman" w:hAnsi="Times New Roman" w:eastAsia="宋体" w:cs="Times New Roman"/>
                <w:color w:val="auto"/>
                <w:highlight w:val="none"/>
              </w:rPr>
              <w:t>）/长度（km）</w:t>
            </w:r>
          </w:p>
        </w:tc>
        <w:tc>
          <w:tcPr>
            <w:tcW w:w="1480"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ascii="Times New Roman" w:hAnsi="Times New Roman" w:eastAsia="宋体" w:cs="Times New Roman"/>
                <w:color w:val="auto"/>
                <w:highlight w:val="none"/>
              </w:rPr>
            </w:pPr>
            <w:r>
              <w:rPr>
                <w:rFonts w:ascii="Times New Roman" w:hAnsi="Times New Roman" w:eastAsia="宋体" w:cs="Times New Roman"/>
                <w:color w:val="auto"/>
                <w:highlight w:val="none"/>
              </w:rPr>
              <w:t>占地面积</w:t>
            </w:r>
            <w:r>
              <w:rPr>
                <w:rFonts w:hint="eastAsia" w:ascii="Times New Roman" w:hAnsi="Times New Roman" w:eastAsia="宋体" w:cs="Times New Roman"/>
                <w:color w:val="auto"/>
                <w:highlight w:val="none"/>
                <w:lang w:val="en-US" w:eastAsia="zh-CN"/>
              </w:rPr>
              <w:t>75800m</w:t>
            </w:r>
            <w:r>
              <w:rPr>
                <w:rFonts w:hint="eastAsia" w:ascii="Times New Roman" w:hAnsi="Times New Roman" w:eastAsia="宋体" w:cs="Times New Roman"/>
                <w:color w:val="auto"/>
                <w:highlight w:val="none"/>
                <w:vertAlign w:val="superscript"/>
                <w:lang w:val="en-US" w:eastAsia="zh-CN"/>
              </w:rPr>
              <w:t>2</w:t>
            </w:r>
            <w:r>
              <w:rPr>
                <w:rFonts w:ascii="Times New Roman" w:hAnsi="Times New Roman" w:eastAsia="宋体" w:cs="Times New Roman"/>
                <w:color w:val="auto"/>
                <w:highlight w:val="none"/>
              </w:rPr>
              <w:t>/</w:t>
            </w:r>
            <w:r>
              <w:rPr>
                <w:rFonts w:hint="eastAsia" w:ascii="Times New Roman" w:hAnsi="Times New Roman" w:eastAsia="宋体" w:cs="Times New Roman"/>
                <w:color w:val="auto"/>
                <w:highlight w:val="none"/>
                <w:lang w:eastAsia="zh-CN"/>
              </w:rPr>
              <w:t>主线里程</w:t>
            </w:r>
            <w:r>
              <w:rPr>
                <w:rFonts w:hint="eastAsia" w:ascii="Times New Roman" w:hAnsi="Times New Roman" w:eastAsia="宋体" w:cs="Times New Roman"/>
                <w:color w:val="auto"/>
                <w:highlight w:val="none"/>
                <w:lang w:val="en-US" w:eastAsia="zh-CN"/>
              </w:rPr>
              <w:t>1.72km，辅道设计里程2.2km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建设性质</w:t>
            </w:r>
          </w:p>
        </w:tc>
        <w:tc>
          <w:tcPr>
            <w:tcW w:w="16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☑新建（迁建）</w:t>
            </w:r>
          </w:p>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sym w:font="Wingdings 2" w:char="00A3"/>
            </w:r>
            <w:r>
              <w:rPr>
                <w:rFonts w:hint="eastAsia" w:ascii="Times New Roman" w:hAnsi="Times New Roman" w:eastAsia="宋体" w:cs="Times New Roman"/>
                <w:color w:val="auto"/>
                <w:kern w:val="2"/>
                <w:sz w:val="21"/>
                <w:szCs w:val="24"/>
                <w:highlight w:val="none"/>
                <w:lang w:val="en-US" w:eastAsia="zh-CN" w:bidi="ar-SA"/>
              </w:rPr>
              <w:t>改建</w:t>
            </w:r>
          </w:p>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□扩建</w:t>
            </w:r>
          </w:p>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□技术改造</w:t>
            </w:r>
          </w:p>
        </w:tc>
        <w:tc>
          <w:tcPr>
            <w:tcW w:w="91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建设项目</w:t>
            </w:r>
          </w:p>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申报情形</w:t>
            </w:r>
          </w:p>
        </w:tc>
        <w:tc>
          <w:tcPr>
            <w:tcW w:w="148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sym w:font="Wingdings 2" w:char="0052"/>
            </w:r>
            <w:r>
              <w:rPr>
                <w:rFonts w:hint="eastAsia" w:ascii="Times New Roman" w:hAnsi="Times New Roman" w:eastAsia="宋体" w:cs="Times New Roman"/>
                <w:color w:val="auto"/>
                <w:kern w:val="2"/>
                <w:sz w:val="21"/>
                <w:szCs w:val="24"/>
                <w:highlight w:val="none"/>
                <w:lang w:val="en-US" w:eastAsia="zh-CN" w:bidi="ar-SA"/>
              </w:rPr>
              <w:t>首次申报项目</w:t>
            </w:r>
          </w:p>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□不予批准后再次申报项目</w:t>
            </w:r>
          </w:p>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□超五年重新审核项目</w:t>
            </w:r>
          </w:p>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项目审批（核准/</w:t>
            </w:r>
          </w:p>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备案）部门（选填）</w:t>
            </w:r>
          </w:p>
        </w:tc>
        <w:tc>
          <w:tcPr>
            <w:tcW w:w="16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olor w:val="auto"/>
                <w:sz w:val="24"/>
                <w:highlight w:val="none"/>
                <w:lang w:eastAsia="zh-CN"/>
              </w:rPr>
            </w:pPr>
            <w:r>
              <w:rPr>
                <w:rFonts w:hint="eastAsia" w:ascii="Times New Roman" w:hAnsi="Times New Roman" w:eastAsia="宋体" w:cs="Times New Roman"/>
                <w:color w:val="auto"/>
                <w:kern w:val="2"/>
                <w:sz w:val="21"/>
                <w:szCs w:val="24"/>
                <w:highlight w:val="none"/>
                <w:lang w:val="en-US" w:eastAsia="zh-CN" w:bidi="ar-SA"/>
              </w:rPr>
              <w:t>唐山海港经济开发区行政审批局</w:t>
            </w:r>
          </w:p>
        </w:tc>
        <w:tc>
          <w:tcPr>
            <w:tcW w:w="91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项目审批（核准/</w:t>
            </w:r>
          </w:p>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备案）文号（选填）</w:t>
            </w:r>
          </w:p>
        </w:tc>
        <w:tc>
          <w:tcPr>
            <w:tcW w:w="148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海审批投资〔2023〕90号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总投资（万元）</w:t>
            </w:r>
          </w:p>
        </w:tc>
        <w:tc>
          <w:tcPr>
            <w:tcW w:w="16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default"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14748.8</w:t>
            </w:r>
          </w:p>
        </w:tc>
        <w:tc>
          <w:tcPr>
            <w:tcW w:w="913"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环保投资（万元）</w:t>
            </w:r>
          </w:p>
        </w:tc>
        <w:tc>
          <w:tcPr>
            <w:tcW w:w="148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default" w:ascii="Times New Roman" w:hAnsi="Times New Roman" w:eastAsia="宋体" w:cs="Times New Roman"/>
                <w:color w:val="auto"/>
                <w:kern w:val="2"/>
                <w:sz w:val="21"/>
                <w:szCs w:val="24"/>
                <w:highlight w:val="none"/>
                <w:lang w:val="en-US" w:eastAsia="zh-CN" w:bidi="ar-SA"/>
              </w:rPr>
            </w:pPr>
            <w:r>
              <w:rPr>
                <w:rFonts w:hint="eastAsia" w:cs="Times New Roman"/>
                <w:color w:val="auto"/>
                <w:kern w:val="2"/>
                <w:sz w:val="21"/>
                <w:szCs w:val="24"/>
                <w:highlight w:val="none"/>
                <w:lang w:val="en-US" w:eastAsia="zh-CN" w:bidi="ar-SA"/>
              </w:rPr>
              <w:t>64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环保投资占比（%）</w:t>
            </w:r>
          </w:p>
        </w:tc>
        <w:tc>
          <w:tcPr>
            <w:tcW w:w="16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default" w:ascii="Times New Roman" w:hAnsi="Times New Roman" w:eastAsia="宋体" w:cs="Times New Roman"/>
                <w:color w:val="auto"/>
                <w:kern w:val="2"/>
                <w:sz w:val="21"/>
                <w:szCs w:val="24"/>
                <w:highlight w:val="none"/>
                <w:lang w:val="en-US" w:eastAsia="zh-CN" w:bidi="ar-SA"/>
              </w:rPr>
            </w:pPr>
            <w:r>
              <w:rPr>
                <w:rFonts w:hint="eastAsia" w:cs="Times New Roman"/>
                <w:color w:val="auto"/>
                <w:kern w:val="2"/>
                <w:sz w:val="21"/>
                <w:szCs w:val="24"/>
                <w:highlight w:val="none"/>
                <w:lang w:val="en-US" w:eastAsia="zh-CN" w:bidi="ar-SA"/>
              </w:rPr>
              <w:t>0.43</w:t>
            </w:r>
          </w:p>
        </w:tc>
        <w:tc>
          <w:tcPr>
            <w:tcW w:w="913" w:type="pct"/>
            <w:noWrap w:val="0"/>
            <w:tcMar>
              <w:top w:w="16" w:type="dxa"/>
              <w:left w:w="16" w:type="dxa"/>
              <w:right w:w="16" w:type="dxa"/>
            </w:tcMar>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施工工期</w:t>
            </w:r>
          </w:p>
        </w:tc>
        <w:tc>
          <w:tcPr>
            <w:tcW w:w="1480"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13个月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是否开工建设</w:t>
            </w:r>
          </w:p>
        </w:tc>
        <w:tc>
          <w:tcPr>
            <w:tcW w:w="4078" w:type="pct"/>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sym w:font="Wingdings 2" w:char="0052"/>
            </w:r>
            <w:r>
              <w:rPr>
                <w:rFonts w:hint="eastAsia" w:ascii="Times New Roman" w:hAnsi="Times New Roman" w:eastAsia="宋体" w:cs="Times New Roman"/>
                <w:color w:val="auto"/>
                <w:kern w:val="2"/>
                <w:sz w:val="21"/>
                <w:szCs w:val="24"/>
                <w:highlight w:val="none"/>
                <w:lang w:val="en-US" w:eastAsia="zh-CN" w:bidi="ar-SA"/>
              </w:rPr>
              <w:t>否</w:t>
            </w:r>
          </w:p>
          <w:p>
            <w:pPr>
              <w:keepNext w:val="0"/>
              <w:keepLines w:val="0"/>
              <w:pageBreakBefore w:val="0"/>
              <w:widowControl w:val="0"/>
              <w:kinsoku/>
              <w:wordWrap/>
              <w:overflowPunct/>
              <w:topLinePunct w:val="0"/>
              <w:autoSpaceDE/>
              <w:autoSpaceDN/>
              <w:bidi w:val="0"/>
              <w:adjustRightInd w:val="0"/>
              <w:snapToGrid w:val="0"/>
              <w:spacing w:line="300" w:lineRule="exact"/>
              <w:jc w:val="left"/>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□是：</w:t>
            </w:r>
            <w:r>
              <w:rPr>
                <w:rFonts w:hint="eastAsia" w:ascii="Times New Roman" w:hAnsi="Times New Roman" w:eastAsia="宋体" w:cs="Times New Roman"/>
                <w:color w:val="auto"/>
                <w:kern w:val="2"/>
                <w:sz w:val="21"/>
                <w:szCs w:val="24"/>
                <w:highlight w:val="none"/>
                <w:u w:val="single"/>
                <w:lang w:val="en-US" w:eastAsia="zh-CN" w:bidi="ar-SA"/>
              </w:rPr>
              <w:t xml:space="preserve">                  </w:t>
            </w:r>
            <w:r>
              <w:rPr>
                <w:rFonts w:hint="eastAsia" w:ascii="Times New Roman" w:hAnsi="Times New Roman" w:eastAsia="宋体" w:cs="Times New Roman"/>
                <w:color w:val="auto"/>
                <w:kern w:val="2"/>
                <w:sz w:val="21"/>
                <w:szCs w:val="24"/>
                <w:highlight w:val="none"/>
                <w:lang w:val="en-US" w:eastAsia="zh-CN" w:bidi="ar-SA"/>
              </w:rPr>
              <w:t xml:space="preserve">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专项评价设置</w:t>
            </w:r>
          </w:p>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情况</w:t>
            </w:r>
          </w:p>
        </w:tc>
        <w:tc>
          <w:tcPr>
            <w:tcW w:w="4078" w:type="pct"/>
            <w:gridSpan w:val="3"/>
            <w:noWrap w:val="0"/>
            <w:tcMar>
              <w:top w:w="16" w:type="dxa"/>
              <w:left w:w="16" w:type="dxa"/>
              <w:right w:w="16" w:type="dxa"/>
            </w:tcMar>
            <w:vAlign w:val="center"/>
          </w:tcPr>
          <w:p>
            <w:pPr>
              <w:pStyle w:val="33"/>
              <w:bidi w:val="0"/>
              <w:rPr>
                <w:rFonts w:hint="default"/>
                <w:color w:val="auto"/>
                <w:highlight w:val="none"/>
                <w:lang w:val="zh-CN" w:eastAsia="zh-CN"/>
              </w:rPr>
            </w:pPr>
            <w:r>
              <w:rPr>
                <w:rFonts w:hint="eastAsia"/>
                <w:color w:val="FF0000"/>
                <w:highlight w:val="none"/>
                <w:lang w:val="zh-CN" w:eastAsia="zh-CN"/>
              </w:rPr>
              <w:t>根据《中华人民共和国公路法》中“本法所称公路，包括公路桥梁、公路隧道和公路渡口”、“公路按其在公路路网中的地位分为国道、省道、县道和乡道”，本项目建设起、终点均位于现状国道 G509（乐港路），且项目建成后管理单位为唐山海港经济开发区交通运输局，因此项目属于公路桥梁，行业类别为等级公路中其他。根据《建设项目环境影响报告表编制技术指南</w:t>
            </w:r>
            <w:r>
              <w:rPr>
                <w:rFonts w:hint="eastAsia"/>
                <w:color w:val="FF0000"/>
                <w:highlight w:val="none"/>
                <w:lang w:val="en-US" w:eastAsia="zh-CN"/>
              </w:rPr>
              <w:t xml:space="preserve"> 生态影响类</w:t>
            </w:r>
            <w:r>
              <w:rPr>
                <w:rFonts w:hint="eastAsia"/>
                <w:color w:val="FF0000"/>
                <w:highlight w:val="none"/>
                <w:lang w:val="zh-CN" w:eastAsia="zh-CN"/>
              </w:rPr>
              <w:t>》</w:t>
            </w:r>
            <w:r>
              <w:rPr>
                <w:rFonts w:hint="eastAsia"/>
                <w:color w:val="FF0000"/>
                <w:highlight w:val="none"/>
                <w:lang w:val="en-US" w:eastAsia="zh-CN"/>
              </w:rPr>
              <w:t>（试行），本项目属于公路交通运输业，且不涉及环境敏感区，因此可不设噪声专项评价。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规划情况</w:t>
            </w:r>
          </w:p>
        </w:tc>
        <w:tc>
          <w:tcPr>
            <w:tcW w:w="4078" w:type="pct"/>
            <w:gridSpan w:val="3"/>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规划环境影响</w:t>
            </w:r>
          </w:p>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评价情况</w:t>
            </w:r>
          </w:p>
        </w:tc>
        <w:tc>
          <w:tcPr>
            <w:tcW w:w="4078" w:type="pct"/>
            <w:gridSpan w:val="3"/>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keepNext w:val="0"/>
              <w:keepLines w:val="0"/>
              <w:pageBreakBefore w:val="0"/>
              <w:widowControl w:val="0"/>
              <w:kinsoku/>
              <w:wordWrap/>
              <w:overflowPunct/>
              <w:topLinePunct w:val="0"/>
              <w:autoSpaceDE/>
              <w:autoSpaceDN/>
              <w:bidi w:val="0"/>
              <w:adjustRightInd w:val="0"/>
              <w:snapToGrid w:val="0"/>
              <w:spacing w:line="300" w:lineRule="exact"/>
              <w:jc w:val="center"/>
              <w:textAlignment w:val="auto"/>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规划及规划环境影响评价符合性分析</w:t>
            </w:r>
          </w:p>
        </w:tc>
        <w:tc>
          <w:tcPr>
            <w:tcW w:w="4078" w:type="pct"/>
            <w:gridSpan w:val="3"/>
            <w:noWrap w:val="0"/>
            <w:tcMar>
              <w:top w:w="16" w:type="dxa"/>
              <w:left w:w="16" w:type="dxa"/>
              <w:right w:w="16" w:type="dxa"/>
            </w:tcMar>
            <w:vAlign w:val="center"/>
          </w:tcPr>
          <w:p>
            <w:pPr>
              <w:adjustRightInd w:val="0"/>
              <w:snapToGrid w:val="0"/>
              <w:spacing w:line="240" w:lineRule="auto"/>
              <w:jc w:val="center"/>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zh-CN" w:bidi="ar-SA"/>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921" w:type="pct"/>
            <w:noWrap w:val="0"/>
            <w:tcMar>
              <w:top w:w="16" w:type="dxa"/>
              <w:left w:w="16" w:type="dxa"/>
              <w:right w:w="16" w:type="dxa"/>
            </w:tcMar>
            <w:vAlign w:val="center"/>
          </w:tcPr>
          <w:p>
            <w:pPr>
              <w:autoSpaceDE w:val="0"/>
              <w:autoSpaceDN w:val="0"/>
              <w:adjustRightInd w:val="0"/>
              <w:snapToGrid w:val="0"/>
              <w:jc w:val="center"/>
              <w:rPr>
                <w:rFonts w:ascii="Times New Roman" w:hAnsi="Times New Roman" w:eastAsia="宋体"/>
                <w:color w:val="auto"/>
                <w:kern w:val="0"/>
                <w:sz w:val="24"/>
                <w:highlight w:val="none"/>
              </w:rPr>
            </w:pPr>
            <w:bookmarkStart w:id="4" w:name="_Hlk56690880"/>
            <w:r>
              <w:rPr>
                <w:rFonts w:hint="eastAsia" w:ascii="Times New Roman" w:hAnsi="Times New Roman" w:eastAsia="宋体" w:cs="Times New Roman"/>
                <w:color w:val="auto"/>
                <w:kern w:val="2"/>
                <w:sz w:val="21"/>
                <w:szCs w:val="24"/>
                <w:highlight w:val="none"/>
                <w:lang w:val="en-US" w:eastAsia="zh-CN" w:bidi="ar-SA"/>
              </w:rPr>
              <w:t>其他符合性分析</w:t>
            </w:r>
            <w:bookmarkEnd w:id="4"/>
          </w:p>
        </w:tc>
        <w:tc>
          <w:tcPr>
            <w:tcW w:w="4078" w:type="pct"/>
            <w:gridSpan w:val="3"/>
            <w:noWrap w:val="0"/>
            <w:tcMar>
              <w:top w:w="16" w:type="dxa"/>
              <w:left w:w="16" w:type="dxa"/>
              <w:right w:w="16" w:type="dxa"/>
            </w:tcMar>
            <w:vAlign w:val="center"/>
          </w:tcPr>
          <w:p>
            <w:pPr>
              <w:pStyle w:val="33"/>
              <w:bidi w:val="0"/>
              <w:rPr>
                <w:b/>
                <w:bCs/>
                <w:color w:val="auto"/>
                <w:highlight w:val="none"/>
              </w:rPr>
            </w:pPr>
            <w:r>
              <w:rPr>
                <w:b/>
                <w:bCs/>
                <w:color w:val="auto"/>
                <w:highlight w:val="none"/>
              </w:rPr>
              <w:t>1.产业政策符合性</w:t>
            </w:r>
          </w:p>
          <w:p>
            <w:pPr>
              <w:pStyle w:val="33"/>
              <w:bidi w:val="0"/>
              <w:rPr>
                <w:rFonts w:hint="eastAsia"/>
                <w:color w:val="auto"/>
                <w:highlight w:val="none"/>
                <w:lang w:eastAsia="zh-CN"/>
              </w:rPr>
            </w:pPr>
            <w:r>
              <w:rPr>
                <w:color w:val="auto"/>
                <w:highlight w:val="none"/>
              </w:rPr>
              <w:t>本项目属于</w:t>
            </w:r>
            <w:r>
              <w:rPr>
                <w:rFonts w:hint="eastAsia"/>
                <w:color w:val="auto"/>
                <w:highlight w:val="none"/>
                <w:lang w:eastAsia="zh-CN"/>
              </w:rPr>
              <w:t>等级公路</w:t>
            </w:r>
            <w:r>
              <w:rPr>
                <w:color w:val="auto"/>
                <w:highlight w:val="none"/>
              </w:rPr>
              <w:t>项目，</w:t>
            </w:r>
            <w:r>
              <w:rPr>
                <w:rFonts w:hint="eastAsia"/>
                <w:color w:val="auto"/>
                <w:highlight w:val="none"/>
              </w:rPr>
              <w:t>对照《产业结构调整指导目录（2019年本）》及《国家发展改革委关于修改&lt;产业结构调整指导目录（2019 年本）&gt;的决定》（中华人民共和国国家发展和改革委员会令第49号）要求，</w:t>
            </w:r>
            <w:r>
              <w:rPr>
                <w:rFonts w:hint="eastAsia"/>
                <w:color w:val="auto"/>
                <w:highlight w:val="none"/>
                <w:lang w:eastAsia="zh-CN"/>
              </w:rPr>
              <w:t>不</w:t>
            </w:r>
            <w:r>
              <w:rPr>
                <w:rFonts w:hint="eastAsia"/>
                <w:color w:val="auto"/>
                <w:highlight w:val="none"/>
              </w:rPr>
              <w:t>属于</w:t>
            </w:r>
            <w:r>
              <w:rPr>
                <w:rFonts w:hint="eastAsia"/>
                <w:color w:val="auto"/>
                <w:highlight w:val="none"/>
                <w:lang w:eastAsia="zh-CN"/>
              </w:rPr>
              <w:t>目录中</w:t>
            </w:r>
            <w:r>
              <w:rPr>
                <w:rFonts w:hint="eastAsia"/>
                <w:color w:val="auto"/>
                <w:highlight w:val="none"/>
              </w:rPr>
              <w:t>鼓励类</w:t>
            </w:r>
            <w:r>
              <w:rPr>
                <w:rFonts w:hint="eastAsia"/>
                <w:color w:val="auto"/>
                <w:highlight w:val="none"/>
                <w:lang w:eastAsia="zh-CN"/>
              </w:rPr>
              <w:t>、淘汰类</w:t>
            </w:r>
            <w:r>
              <w:rPr>
                <w:rFonts w:hint="eastAsia"/>
                <w:color w:val="auto"/>
                <w:highlight w:val="none"/>
              </w:rPr>
              <w:t>项目</w:t>
            </w:r>
            <w:r>
              <w:rPr>
                <w:color w:val="auto"/>
                <w:highlight w:val="none"/>
              </w:rPr>
              <w:t>，</w:t>
            </w:r>
            <w:r>
              <w:rPr>
                <w:rFonts w:hint="eastAsia"/>
                <w:color w:val="auto"/>
                <w:highlight w:val="none"/>
                <w:lang w:eastAsia="zh-CN"/>
              </w:rPr>
              <w:t>属于允许类项目；本项目可行性研究报告已取得唐山海港经济开发区行政审批局出具的“关于乐港路跨沿海公路立交桥项目可行性研究报告的批复”（文号：海审批投资〔2023〕</w:t>
            </w:r>
            <w:r>
              <w:rPr>
                <w:rFonts w:hint="eastAsia"/>
                <w:color w:val="auto"/>
                <w:highlight w:val="none"/>
                <w:lang w:val="en-US" w:eastAsia="zh-CN"/>
              </w:rPr>
              <w:t>90</w:t>
            </w:r>
            <w:r>
              <w:rPr>
                <w:rFonts w:hint="eastAsia"/>
                <w:color w:val="auto"/>
                <w:highlight w:val="none"/>
                <w:lang w:eastAsia="zh-CN"/>
              </w:rPr>
              <w:t xml:space="preserve">号），项目符合国家及地方产业政策。 </w:t>
            </w:r>
          </w:p>
          <w:p>
            <w:pPr>
              <w:pStyle w:val="33"/>
              <w:bidi w:val="0"/>
              <w:rPr>
                <w:b/>
                <w:bCs/>
                <w:color w:val="auto"/>
                <w:highlight w:val="none"/>
              </w:rPr>
            </w:pPr>
            <w:r>
              <w:rPr>
                <w:rFonts w:hint="eastAsia"/>
                <w:b/>
                <w:bCs/>
                <w:color w:val="auto"/>
                <w:highlight w:val="none"/>
                <w:lang w:val="en-US" w:eastAsia="zh-CN"/>
              </w:rPr>
              <w:t>2</w:t>
            </w:r>
            <w:r>
              <w:rPr>
                <w:b/>
                <w:bCs/>
                <w:color w:val="auto"/>
                <w:highlight w:val="none"/>
              </w:rPr>
              <w:t>、选址合理性</w:t>
            </w:r>
          </w:p>
          <w:p>
            <w:pPr>
              <w:pStyle w:val="33"/>
              <w:bidi w:val="0"/>
              <w:rPr>
                <w:rFonts w:hint="eastAsia"/>
                <w:color w:val="auto"/>
                <w:highlight w:val="none"/>
                <w:lang w:val="en-US" w:eastAsia="zh-CN"/>
              </w:rPr>
            </w:pPr>
            <w:r>
              <w:rPr>
                <w:color w:val="auto"/>
                <w:highlight w:val="none"/>
              </w:rPr>
              <w:t>本项目位于河北省唐山市</w:t>
            </w:r>
            <w:r>
              <w:rPr>
                <w:rFonts w:hint="eastAsia"/>
                <w:color w:val="auto"/>
                <w:highlight w:val="none"/>
                <w:lang w:eastAsia="zh-CN"/>
              </w:rPr>
              <w:t>海港经济开发区北部</w:t>
            </w:r>
            <w:r>
              <w:rPr>
                <w:rFonts w:hint="eastAsia"/>
                <w:color w:val="auto"/>
                <w:highlight w:val="none"/>
                <w:lang w:val="en-US" w:eastAsia="zh-CN"/>
              </w:rPr>
              <w:t>G509（乐港路）与G228（沿海公路）交叉口</w:t>
            </w:r>
            <w:r>
              <w:rPr>
                <w:color w:val="auto"/>
                <w:highlight w:val="none"/>
              </w:rPr>
              <w:t>，</w:t>
            </w:r>
            <w:r>
              <w:rPr>
                <w:rFonts w:hint="eastAsia"/>
                <w:color w:val="auto"/>
                <w:highlight w:val="none"/>
                <w:lang w:eastAsia="zh-CN"/>
              </w:rPr>
              <w:t>项目起、终点均位于现状国道 G509（乐港路），在</w:t>
            </w:r>
            <w:r>
              <w:rPr>
                <w:rFonts w:hint="eastAsia"/>
                <w:color w:val="auto"/>
                <w:highlight w:val="none"/>
                <w:lang w:val="en-US" w:eastAsia="zh-CN"/>
              </w:rPr>
              <w:t>国道 G509（乐港路）原道路平面及周边建设。本项目总占地面积75800m</w:t>
            </w:r>
            <w:r>
              <w:rPr>
                <w:rFonts w:hint="eastAsia"/>
                <w:color w:val="auto"/>
                <w:highlight w:val="none"/>
                <w:vertAlign w:val="superscript"/>
                <w:lang w:val="en-US" w:eastAsia="zh-CN"/>
              </w:rPr>
              <w:t>2</w:t>
            </w:r>
            <w:r>
              <w:rPr>
                <w:rFonts w:hint="eastAsia"/>
                <w:color w:val="auto"/>
                <w:highlight w:val="none"/>
                <w:lang w:val="en-US" w:eastAsia="zh-CN"/>
              </w:rPr>
              <w:t>，其中新增</w:t>
            </w:r>
            <w:bookmarkStart w:id="64" w:name="_GoBack"/>
            <w:r>
              <w:rPr>
                <w:rFonts w:hint="eastAsia"/>
                <w:color w:val="auto"/>
                <w:highlight w:val="none"/>
                <w:lang w:val="en-US" w:eastAsia="zh-CN"/>
              </w:rPr>
              <w:t>用地</w:t>
            </w:r>
            <w:bookmarkEnd w:id="64"/>
            <w:r>
              <w:rPr>
                <w:rFonts w:hint="eastAsia"/>
                <w:color w:val="auto"/>
                <w:highlight w:val="none"/>
                <w:lang w:val="en-US" w:eastAsia="zh-CN"/>
              </w:rPr>
              <w:t>15600m</w:t>
            </w:r>
            <w:r>
              <w:rPr>
                <w:rFonts w:hint="eastAsia"/>
                <w:color w:val="auto"/>
                <w:highlight w:val="none"/>
                <w:vertAlign w:val="superscript"/>
                <w:lang w:val="en-US" w:eastAsia="zh-CN"/>
              </w:rPr>
              <w:t>2</w:t>
            </w:r>
            <w:r>
              <w:rPr>
                <w:rFonts w:hint="eastAsia"/>
                <w:color w:val="auto"/>
                <w:highlight w:val="none"/>
                <w:lang w:val="en-US" w:eastAsia="zh-CN"/>
              </w:rPr>
              <w:t>。建设单位按照有关规定和要求，正在办理土地征用手续。</w:t>
            </w:r>
          </w:p>
          <w:p>
            <w:pPr>
              <w:pStyle w:val="33"/>
              <w:bidi w:val="0"/>
              <w:rPr>
                <w:rFonts w:hint="eastAsia"/>
                <w:color w:val="FF0000"/>
                <w:highlight w:val="none"/>
                <w:lang w:val="en-US" w:eastAsia="zh-CN"/>
              </w:rPr>
            </w:pPr>
            <w:r>
              <w:rPr>
                <w:rFonts w:hint="eastAsia"/>
                <w:color w:val="FF0000"/>
                <w:highlight w:val="none"/>
                <w:lang w:val="en-US" w:eastAsia="zh-CN"/>
              </w:rPr>
              <w:t>根据《唐山市交通运输发展“十四五”规划》，G509（乐港路）与G228（沿海公路）为现有已建成国道，本项目建设地点位于G509（乐港路）与G228（沿海公路）交叉口，选址符合唐山市和海港区交通规划要求，符合国土空间用途管制要求。</w:t>
            </w:r>
          </w:p>
          <w:p>
            <w:pPr>
              <w:pStyle w:val="33"/>
              <w:bidi w:val="0"/>
              <w:rPr>
                <w:rFonts w:hint="eastAsia"/>
                <w:color w:val="FF0000"/>
                <w:highlight w:val="none"/>
                <w:lang w:val="en-US" w:eastAsia="zh-CN"/>
              </w:rPr>
            </w:pPr>
            <w:r>
              <w:rPr>
                <w:rFonts w:hint="eastAsia"/>
                <w:color w:val="FF0000"/>
                <w:highlight w:val="none"/>
                <w:lang w:val="en-US" w:eastAsia="zh-CN"/>
              </w:rPr>
              <w:t>根据《关于进一步做好沙区建设项目环境影响评价工作的通知》（冀环办字函[2023]326号）相关内容要求，本项目占地红线范围内不涉及占用沙地。</w:t>
            </w:r>
          </w:p>
          <w:p>
            <w:pPr>
              <w:pStyle w:val="33"/>
              <w:bidi w:val="0"/>
              <w:rPr>
                <w:color w:val="auto"/>
                <w:highlight w:val="none"/>
              </w:rPr>
            </w:pPr>
            <w:r>
              <w:rPr>
                <w:rFonts w:hint="eastAsia"/>
                <w:color w:val="auto"/>
                <w:highlight w:val="none"/>
                <w:lang w:eastAsia="zh-CN"/>
              </w:rPr>
              <w:t>综上，</w:t>
            </w:r>
            <w:r>
              <w:rPr>
                <w:color w:val="auto"/>
                <w:highlight w:val="none"/>
              </w:rPr>
              <w:t>本项目选址合理。</w:t>
            </w:r>
          </w:p>
          <w:p>
            <w:pPr>
              <w:pStyle w:val="33"/>
              <w:bidi w:val="0"/>
              <w:rPr>
                <w:b/>
                <w:bCs/>
                <w:color w:val="auto"/>
                <w:highlight w:val="none"/>
              </w:rPr>
            </w:pPr>
            <w:r>
              <w:rPr>
                <w:rFonts w:hint="eastAsia"/>
                <w:b/>
                <w:bCs/>
                <w:color w:val="auto"/>
                <w:highlight w:val="none"/>
                <w:lang w:val="en-US" w:eastAsia="zh-CN"/>
              </w:rPr>
              <w:t>3</w:t>
            </w:r>
            <w:r>
              <w:rPr>
                <w:b/>
                <w:bCs/>
                <w:color w:val="auto"/>
                <w:highlight w:val="none"/>
              </w:rPr>
              <w:t>、“三线一单”符合性分析</w:t>
            </w:r>
          </w:p>
          <w:p>
            <w:pPr>
              <w:pStyle w:val="33"/>
              <w:bidi w:val="0"/>
              <w:rPr>
                <w:color w:val="auto"/>
                <w:highlight w:val="none"/>
              </w:rPr>
            </w:pPr>
            <w:r>
              <w:rPr>
                <w:rFonts w:hint="eastAsia"/>
                <w:color w:val="auto"/>
                <w:highlight w:val="none"/>
              </w:rPr>
              <w:t xml:space="preserve">根据《关于以改善环境质量为核心加强环境影响评价管理的通知》（环环评[2016]150号），要求以生态保护红线、环境质量底线、资源利用上线和生态环境准入负面清单（以下简称“三线一单”）为手段，强化空间、总量和准入环境管理项目建设与上述要求的符合性分析如下： </w:t>
            </w:r>
          </w:p>
          <w:p>
            <w:pPr>
              <w:pStyle w:val="33"/>
              <w:bidi w:val="0"/>
              <w:rPr>
                <w:color w:val="auto"/>
                <w:highlight w:val="none"/>
              </w:rPr>
            </w:pPr>
            <w:r>
              <w:rPr>
                <w:color w:val="auto"/>
                <w:highlight w:val="none"/>
              </w:rPr>
              <w:t>（1）生态保护红线</w:t>
            </w:r>
          </w:p>
          <w:p>
            <w:pPr>
              <w:pStyle w:val="33"/>
              <w:bidi w:val="0"/>
              <w:rPr>
                <w:rFonts w:hint="eastAsia"/>
                <w:color w:val="auto"/>
                <w:highlight w:val="none"/>
              </w:rPr>
            </w:pPr>
            <w:r>
              <w:rPr>
                <w:rFonts w:hint="eastAsia"/>
                <w:color w:val="auto"/>
                <w:highlight w:val="none"/>
              </w:rPr>
              <w:t>海港经济开发区规划范围内无水源保护地的核心区、风景名胜区、森林公园等自然和人文景观保护区等生态红线。开发区规划边界距离湖林新河至新潮河岸段自然岸线最近距离45m，开发区规划范围不侵占生态保护红线。</w:t>
            </w:r>
          </w:p>
          <w:p>
            <w:pPr>
              <w:pStyle w:val="33"/>
              <w:bidi w:val="0"/>
              <w:rPr>
                <w:color w:val="auto"/>
                <w:highlight w:val="none"/>
              </w:rPr>
            </w:pPr>
            <w:r>
              <w:rPr>
                <w:color w:val="auto"/>
                <w:highlight w:val="none"/>
              </w:rPr>
              <w:t>根据河北省人民政府关于发布《河北省生态保护红线》的通知（冀政字〔2018〕23号）及唐山市生态保护红线分布图，</w:t>
            </w:r>
            <w:r>
              <w:rPr>
                <w:rFonts w:hint="eastAsia"/>
                <w:color w:val="auto"/>
                <w:highlight w:val="none"/>
              </w:rPr>
              <w:t>本项目选址位于河北省唐山市</w:t>
            </w:r>
            <w:r>
              <w:rPr>
                <w:rFonts w:hint="eastAsia"/>
                <w:color w:val="auto"/>
                <w:highlight w:val="none"/>
                <w:lang w:eastAsia="zh-CN"/>
              </w:rPr>
              <w:t>海港经济开发区北部</w:t>
            </w:r>
            <w:r>
              <w:rPr>
                <w:rFonts w:hint="eastAsia"/>
                <w:color w:val="auto"/>
                <w:highlight w:val="none"/>
                <w:lang w:val="en-US" w:eastAsia="zh-CN"/>
              </w:rPr>
              <w:t>乐港路G509与沿海公路G228交叉口</w:t>
            </w:r>
            <w:r>
              <w:rPr>
                <w:rFonts w:hint="eastAsia"/>
                <w:color w:val="auto"/>
                <w:highlight w:val="none"/>
                <w:lang w:eastAsia="zh-CN"/>
              </w:rPr>
              <w:t>，</w:t>
            </w:r>
            <w:r>
              <w:rPr>
                <w:rFonts w:hint="eastAsia"/>
                <w:color w:val="auto"/>
                <w:highlight w:val="none"/>
              </w:rPr>
              <w:t>项目选址不在河北省生态保护红线范围内，也不在唐山市海洋生态保护红线范围内，项目不占用湖林新河至新潮河岸段自然岸线，满足生态保护红线要求。项目与生态保护红线位置关系见附图。</w:t>
            </w:r>
          </w:p>
          <w:p>
            <w:pPr>
              <w:pStyle w:val="33"/>
              <w:bidi w:val="0"/>
              <w:rPr>
                <w:color w:val="auto"/>
                <w:highlight w:val="none"/>
              </w:rPr>
            </w:pPr>
            <w:r>
              <w:rPr>
                <w:color w:val="auto"/>
                <w:highlight w:val="none"/>
              </w:rPr>
              <w:t>（2）环境质量底线</w:t>
            </w:r>
          </w:p>
          <w:p>
            <w:pPr>
              <w:pStyle w:val="33"/>
              <w:bidi w:val="0"/>
              <w:rPr>
                <w:color w:val="auto"/>
                <w:highlight w:val="none"/>
              </w:rPr>
            </w:pPr>
            <w:r>
              <w:rPr>
                <w:rFonts w:hint="eastAsia"/>
                <w:color w:val="auto"/>
                <w:highlight w:val="none"/>
              </w:rPr>
              <w:t>环境质量底线是国家和地方设置的大气、水和土壤环境质量目标，也是改善环境质量的基准线。本项目环评应对照区域环境质量目标，深入分析预测项目建设对环境质量的影响，强化污染防治措施和污染物排放控制要求。</w:t>
            </w:r>
          </w:p>
          <w:p>
            <w:pPr>
              <w:pStyle w:val="33"/>
              <w:bidi w:val="0"/>
              <w:rPr>
                <w:color w:val="auto"/>
                <w:highlight w:val="none"/>
              </w:rPr>
            </w:pPr>
            <w:r>
              <w:rPr>
                <w:rFonts w:hint="eastAsia"/>
                <w:color w:val="auto"/>
                <w:highlight w:val="none"/>
              </w:rPr>
              <w:t>本项目所在区域的环境底线为：环境空气质量目标为《环境空气质量标准》（GB3095-2012）二级标准及其修改单；水环境质量目标为《地表水环境质量标准》（GB3838-2002）</w:t>
            </w:r>
            <w:r>
              <w:rPr>
                <w:color w:val="auto"/>
                <w:highlight w:val="none"/>
              </w:rPr>
              <w:t>Ⅴ</w:t>
            </w:r>
            <w:r>
              <w:rPr>
                <w:rFonts w:hint="eastAsia"/>
                <w:color w:val="auto"/>
                <w:highlight w:val="none"/>
              </w:rPr>
              <w:t>类标准，《地下水质量标准》（GB/T14848-2017）Ⅲ类水质标准；项目所在区域声环境执行《声环境质量标准》（GB3096-2008）</w:t>
            </w:r>
            <w:r>
              <w:rPr>
                <w:rFonts w:hint="eastAsia"/>
                <w:color w:val="auto"/>
                <w:highlight w:val="none"/>
                <w:lang w:val="en-US" w:eastAsia="zh-CN"/>
              </w:rPr>
              <w:t>2</w:t>
            </w:r>
            <w:r>
              <w:rPr>
                <w:rFonts w:hint="eastAsia"/>
                <w:color w:val="auto"/>
                <w:highlight w:val="none"/>
              </w:rPr>
              <w:t>、4a类区；土壤环境质量目标为《土壤环境质量 建设用地土壤污染风险管控标准（试行）》（GB36600-2018）中第二类用地标准。</w:t>
            </w:r>
          </w:p>
          <w:p>
            <w:pPr>
              <w:pStyle w:val="33"/>
              <w:bidi w:val="0"/>
              <w:rPr>
                <w:color w:val="auto"/>
                <w:highlight w:val="none"/>
              </w:rPr>
            </w:pPr>
            <w:r>
              <w:rPr>
                <w:rFonts w:hint="eastAsia"/>
                <w:color w:val="auto"/>
                <w:highlight w:val="none"/>
              </w:rPr>
              <w:t>本项目产生的污染物均采取了严格的治理和处理、处置措施，污染物均能达标排放，符合环境质量底线的要求，满足区域环境质量标准，不会对环境质量底线产生冲击。</w:t>
            </w:r>
          </w:p>
          <w:p>
            <w:pPr>
              <w:pStyle w:val="33"/>
              <w:bidi w:val="0"/>
              <w:rPr>
                <w:color w:val="auto"/>
                <w:highlight w:val="none"/>
              </w:rPr>
            </w:pPr>
            <w:r>
              <w:rPr>
                <w:color w:val="auto"/>
                <w:highlight w:val="none"/>
              </w:rPr>
              <w:t>（3）资源利用上线</w:t>
            </w:r>
          </w:p>
          <w:p>
            <w:pPr>
              <w:pStyle w:val="33"/>
              <w:bidi w:val="0"/>
              <w:rPr>
                <w:color w:val="auto"/>
                <w:highlight w:val="none"/>
              </w:rPr>
            </w:pPr>
            <w:r>
              <w:rPr>
                <w:color w:val="auto"/>
                <w:highlight w:val="none"/>
              </w:rPr>
              <w:t>本项目为</w:t>
            </w:r>
            <w:r>
              <w:rPr>
                <w:rFonts w:hint="eastAsia"/>
                <w:color w:val="auto"/>
                <w:highlight w:val="none"/>
                <w:lang w:eastAsia="zh-CN"/>
              </w:rPr>
              <w:t>公路</w:t>
            </w:r>
            <w:r>
              <w:rPr>
                <w:color w:val="auto"/>
                <w:highlight w:val="none"/>
              </w:rPr>
              <w:t>建设项目，</w:t>
            </w:r>
            <w:r>
              <w:rPr>
                <w:rFonts w:hint="eastAsia"/>
                <w:color w:val="FF0000"/>
                <w:highlight w:val="none"/>
                <w:lang w:eastAsia="zh-CN"/>
              </w:rPr>
              <w:t>用地未占用基本农田等，新增占地土地类型为道路与交通设施用地，新增占地未超过土地资源利用上限；</w:t>
            </w:r>
            <w:r>
              <w:rPr>
                <w:rFonts w:hint="eastAsia"/>
                <w:color w:val="auto"/>
                <w:highlight w:val="none"/>
                <w:lang w:eastAsia="zh-CN"/>
              </w:rPr>
              <w:t>项目</w:t>
            </w:r>
            <w:r>
              <w:rPr>
                <w:color w:val="auto"/>
                <w:highlight w:val="none"/>
              </w:rPr>
              <w:t>建设过程中仅利用的资源主要为水资源和电、建筑材料，资源丰富，原料供应有保障，能源消耗量相对于区域资源利用量较小。因此，本项目符合资源利用上线要求。</w:t>
            </w:r>
          </w:p>
          <w:p>
            <w:pPr>
              <w:pStyle w:val="33"/>
              <w:bidi w:val="0"/>
              <w:rPr>
                <w:color w:val="auto"/>
                <w:highlight w:val="none"/>
              </w:rPr>
            </w:pPr>
            <w:r>
              <w:rPr>
                <w:color w:val="auto"/>
                <w:highlight w:val="none"/>
              </w:rPr>
              <w:t>（4）生态环境准入清单</w:t>
            </w:r>
          </w:p>
          <w:p>
            <w:pPr>
              <w:pStyle w:val="33"/>
              <w:bidi w:val="0"/>
              <w:rPr>
                <w:rFonts w:hint="eastAsia" w:eastAsia="宋体"/>
                <w:color w:val="auto"/>
                <w:highlight w:val="none"/>
                <w:lang w:eastAsia="zh-CN"/>
              </w:rPr>
            </w:pPr>
            <w:r>
              <w:rPr>
                <w:rFonts w:hint="eastAsia"/>
                <w:color w:val="auto"/>
                <w:highlight w:val="none"/>
              </w:rPr>
              <w:t>对照《市场准入负面清单》（发改体改规[2022] 397号），本项目不在</w:t>
            </w:r>
            <w:r>
              <w:rPr>
                <w:rFonts w:hint="eastAsia"/>
                <w:color w:val="auto"/>
                <w:highlight w:val="none"/>
                <w:lang w:eastAsia="zh-CN"/>
              </w:rPr>
              <w:t>负面</w:t>
            </w:r>
            <w:r>
              <w:rPr>
                <w:rFonts w:hint="eastAsia"/>
                <w:color w:val="auto"/>
                <w:highlight w:val="none"/>
              </w:rPr>
              <w:t>清单</w:t>
            </w:r>
            <w:r>
              <w:rPr>
                <w:rFonts w:hint="eastAsia"/>
                <w:color w:val="auto"/>
                <w:highlight w:val="none"/>
                <w:lang w:eastAsia="zh-CN"/>
              </w:rPr>
              <w:t>目录</w:t>
            </w:r>
            <w:r>
              <w:rPr>
                <w:rFonts w:hint="eastAsia"/>
                <w:color w:val="auto"/>
                <w:highlight w:val="none"/>
              </w:rPr>
              <w:t>内</w:t>
            </w:r>
            <w:r>
              <w:rPr>
                <w:rFonts w:hint="eastAsia"/>
                <w:color w:val="auto"/>
                <w:highlight w:val="none"/>
                <w:lang w:eastAsia="zh-CN"/>
              </w:rPr>
              <w:t>。</w:t>
            </w:r>
          </w:p>
          <w:p>
            <w:pPr>
              <w:pStyle w:val="33"/>
              <w:bidi w:val="0"/>
              <w:rPr>
                <w:color w:val="auto"/>
                <w:highlight w:val="none"/>
                <w:lang w:val="en-US" w:eastAsia="zh-CN"/>
              </w:rPr>
            </w:pPr>
            <w:r>
              <w:rPr>
                <w:color w:val="auto"/>
                <w:highlight w:val="none"/>
                <w:lang w:val="en-US" w:eastAsia="zh-CN"/>
              </w:rPr>
              <w:t>综上所述，本项目符合“三线一单”的要求。</w:t>
            </w:r>
          </w:p>
          <w:p>
            <w:pPr>
              <w:pStyle w:val="33"/>
              <w:bidi w:val="0"/>
              <w:rPr>
                <w:b/>
                <w:bCs/>
                <w:color w:val="auto"/>
                <w:highlight w:val="none"/>
              </w:rPr>
            </w:pPr>
            <w:r>
              <w:rPr>
                <w:rFonts w:hint="eastAsia"/>
                <w:b/>
                <w:bCs/>
                <w:color w:val="auto"/>
                <w:highlight w:val="none"/>
                <w:lang w:val="en-US" w:eastAsia="zh-CN"/>
              </w:rPr>
              <w:t>4</w:t>
            </w:r>
            <w:r>
              <w:rPr>
                <w:b/>
                <w:bCs/>
                <w:color w:val="auto"/>
                <w:highlight w:val="none"/>
              </w:rPr>
              <w:t>、</w:t>
            </w:r>
            <w:r>
              <w:rPr>
                <w:rFonts w:hint="eastAsia"/>
                <w:b/>
                <w:bCs/>
                <w:color w:val="auto"/>
                <w:highlight w:val="none"/>
              </w:rPr>
              <w:t>与《唐山市人民政府关于实施“三线一单”生态环境分区管控的意见》（唐政字</w:t>
            </w:r>
            <w:r>
              <w:rPr>
                <w:b/>
                <w:bCs/>
                <w:color w:val="auto"/>
                <w:highlight w:val="none"/>
              </w:rPr>
              <w:t>[2021]48</w:t>
            </w:r>
            <w:r>
              <w:rPr>
                <w:rFonts w:hint="eastAsia"/>
                <w:b/>
                <w:bCs/>
                <w:color w:val="auto"/>
                <w:highlight w:val="none"/>
              </w:rPr>
              <w:t xml:space="preserve">号）文件符合性 </w:t>
            </w:r>
          </w:p>
          <w:p>
            <w:pPr>
              <w:pStyle w:val="33"/>
              <w:bidi w:val="0"/>
              <w:rPr>
                <w:rFonts w:hint="eastAsia"/>
                <w:color w:val="auto"/>
                <w:highlight w:val="none"/>
              </w:rPr>
            </w:pPr>
            <w:r>
              <w:rPr>
                <w:rFonts w:hint="eastAsia"/>
                <w:color w:val="auto"/>
                <w:highlight w:val="none"/>
              </w:rPr>
              <w:t>根据《唐山市人民政府关于实施“三线一单”生态环境分区管控的意见》(唐政字[2021]48号)及《唐山市生态环境准入清单动态更新成果》相关要求，本项目位于河北唐山海港经济开发区</w:t>
            </w:r>
            <w:r>
              <w:rPr>
                <w:rFonts w:hint="eastAsia"/>
                <w:color w:val="auto"/>
                <w:highlight w:val="none"/>
                <w:lang w:eastAsia="zh-CN"/>
              </w:rPr>
              <w:t>北部</w:t>
            </w:r>
            <w:r>
              <w:rPr>
                <w:rFonts w:hint="eastAsia"/>
                <w:color w:val="auto"/>
                <w:highlight w:val="none"/>
              </w:rPr>
              <w:t>，所在区域属于唐山市环境管控单元中重点管控单元，对比分析详见下表。</w:t>
            </w:r>
          </w:p>
          <w:p>
            <w:pPr>
              <w:pStyle w:val="36"/>
              <w:bidi w:val="0"/>
              <w:rPr>
                <w:color w:val="auto"/>
                <w:highlight w:val="none"/>
              </w:rPr>
            </w:pPr>
            <w:r>
              <w:rPr>
                <w:rFonts w:hint="eastAsia"/>
                <w:color w:val="auto"/>
                <w:highlight w:val="none"/>
              </w:rPr>
              <w:t>表1-3    唐山市总体准入要求</w:t>
            </w:r>
          </w:p>
          <w:tbl>
            <w:tblPr>
              <w:tblStyle w:val="23"/>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355"/>
              <w:gridCol w:w="434"/>
              <w:gridCol w:w="295"/>
              <w:gridCol w:w="3987"/>
              <w:gridCol w:w="1469"/>
              <w:gridCol w:w="6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46" w:type="pct"/>
                  <w:tcBorders>
                    <w:tl2br w:val="nil"/>
                    <w:tr2bl w:val="nil"/>
                  </w:tcBorders>
                  <w:noWrap w:val="0"/>
                  <w:vAlign w:val="center"/>
                </w:tcPr>
                <w:p>
                  <w:pPr>
                    <w:pStyle w:val="32"/>
                    <w:bidi w:val="0"/>
                    <w:rPr>
                      <w:color w:val="auto"/>
                      <w:highlight w:val="none"/>
                    </w:rPr>
                  </w:pPr>
                  <w:r>
                    <w:rPr>
                      <w:rFonts w:hint="eastAsia"/>
                      <w:color w:val="auto"/>
                      <w:highlight w:val="none"/>
                    </w:rPr>
                    <w:t>属性</w:t>
                  </w:r>
                </w:p>
              </w:tc>
              <w:tc>
                <w:tcPr>
                  <w:tcW w:w="504" w:type="pct"/>
                  <w:gridSpan w:val="2"/>
                  <w:tcBorders>
                    <w:tl2br w:val="nil"/>
                    <w:tr2bl w:val="nil"/>
                  </w:tcBorders>
                  <w:noWrap w:val="0"/>
                  <w:vAlign w:val="center"/>
                </w:tcPr>
                <w:p>
                  <w:pPr>
                    <w:pStyle w:val="32"/>
                    <w:bidi w:val="0"/>
                    <w:rPr>
                      <w:color w:val="auto"/>
                      <w:highlight w:val="none"/>
                    </w:rPr>
                  </w:pPr>
                  <w:r>
                    <w:rPr>
                      <w:rFonts w:hint="eastAsia"/>
                      <w:color w:val="auto"/>
                      <w:highlight w:val="none"/>
                    </w:rPr>
                    <w:t>管控</w:t>
                  </w:r>
                </w:p>
                <w:p>
                  <w:pPr>
                    <w:pStyle w:val="32"/>
                    <w:bidi w:val="0"/>
                    <w:rPr>
                      <w:color w:val="auto"/>
                      <w:highlight w:val="none"/>
                    </w:rPr>
                  </w:pPr>
                  <w:r>
                    <w:rPr>
                      <w:rFonts w:hint="eastAsia"/>
                      <w:color w:val="auto"/>
                      <w:highlight w:val="none"/>
                    </w:rPr>
                    <w:t>类别</w:t>
                  </w:r>
                </w:p>
              </w:tc>
              <w:tc>
                <w:tcPr>
                  <w:tcW w:w="2758" w:type="pct"/>
                  <w:tcBorders>
                    <w:tl2br w:val="nil"/>
                    <w:tr2bl w:val="nil"/>
                  </w:tcBorders>
                  <w:noWrap w:val="0"/>
                  <w:vAlign w:val="center"/>
                </w:tcPr>
                <w:p>
                  <w:pPr>
                    <w:pStyle w:val="32"/>
                    <w:bidi w:val="0"/>
                    <w:rPr>
                      <w:color w:val="auto"/>
                      <w:highlight w:val="none"/>
                    </w:rPr>
                  </w:pPr>
                  <w:r>
                    <w:rPr>
                      <w:rFonts w:hint="eastAsia"/>
                      <w:color w:val="auto"/>
                      <w:highlight w:val="none"/>
                    </w:rPr>
                    <w:t>管控要求</w:t>
                  </w:r>
                </w:p>
              </w:tc>
              <w:tc>
                <w:tcPr>
                  <w:tcW w:w="1016" w:type="pct"/>
                  <w:tcBorders>
                    <w:tl2br w:val="nil"/>
                    <w:tr2bl w:val="nil"/>
                  </w:tcBorders>
                  <w:noWrap w:val="0"/>
                  <w:vAlign w:val="center"/>
                </w:tcPr>
                <w:p>
                  <w:pPr>
                    <w:pStyle w:val="32"/>
                    <w:bidi w:val="0"/>
                    <w:rPr>
                      <w:color w:val="auto"/>
                      <w:highlight w:val="none"/>
                    </w:rPr>
                  </w:pPr>
                  <w:r>
                    <w:rPr>
                      <w:rFonts w:hint="eastAsia"/>
                      <w:color w:val="auto"/>
                      <w:highlight w:val="none"/>
                    </w:rPr>
                    <w:t>项目情况</w:t>
                  </w:r>
                </w:p>
              </w:tc>
              <w:tc>
                <w:tcPr>
                  <w:tcW w:w="473" w:type="pct"/>
                  <w:tcBorders>
                    <w:tl2br w:val="nil"/>
                    <w:tr2bl w:val="nil"/>
                  </w:tcBorders>
                  <w:noWrap w:val="0"/>
                  <w:vAlign w:val="center"/>
                </w:tcPr>
                <w:p>
                  <w:pPr>
                    <w:pStyle w:val="32"/>
                    <w:bidi w:val="0"/>
                    <w:rPr>
                      <w:color w:val="auto"/>
                      <w:highlight w:val="none"/>
                    </w:rPr>
                  </w:pPr>
                  <w:r>
                    <w:rPr>
                      <w:rFonts w:hint="eastAsia"/>
                      <w:color w:val="auto"/>
                      <w:highlight w:val="none"/>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46" w:type="pct"/>
                  <w:vMerge w:val="restart"/>
                  <w:tcBorders>
                    <w:tl2br w:val="nil"/>
                    <w:tr2bl w:val="nil"/>
                  </w:tcBorders>
                  <w:noWrap w:val="0"/>
                  <w:vAlign w:val="center"/>
                </w:tcPr>
                <w:p>
                  <w:pPr>
                    <w:pStyle w:val="32"/>
                    <w:bidi w:val="0"/>
                    <w:rPr>
                      <w:color w:val="auto"/>
                      <w:highlight w:val="none"/>
                    </w:rPr>
                  </w:pPr>
                  <w:r>
                    <w:rPr>
                      <w:color w:val="auto"/>
                      <w:highlight w:val="none"/>
                    </w:rPr>
                    <w:t>生态保护红线</w:t>
                  </w:r>
                  <w:r>
                    <w:rPr>
                      <w:rFonts w:hint="eastAsia"/>
                      <w:color w:val="auto"/>
                      <w:highlight w:val="none"/>
                    </w:rPr>
                    <w:t>区</w:t>
                  </w:r>
                </w:p>
              </w:tc>
              <w:tc>
                <w:tcPr>
                  <w:tcW w:w="300" w:type="pct"/>
                  <w:vMerge w:val="restart"/>
                  <w:tcBorders>
                    <w:tl2br w:val="nil"/>
                    <w:tr2bl w:val="nil"/>
                  </w:tcBorders>
                  <w:noWrap w:val="0"/>
                  <w:vAlign w:val="center"/>
                </w:tcPr>
                <w:p>
                  <w:pPr>
                    <w:pStyle w:val="32"/>
                    <w:bidi w:val="0"/>
                    <w:rPr>
                      <w:color w:val="auto"/>
                      <w:highlight w:val="none"/>
                    </w:rPr>
                  </w:pPr>
                  <w:r>
                    <w:rPr>
                      <w:rFonts w:hint="eastAsia"/>
                      <w:color w:val="auto"/>
                      <w:highlight w:val="none"/>
                    </w:rPr>
                    <w:t>空间布局约束</w:t>
                  </w:r>
                </w:p>
              </w:tc>
              <w:tc>
                <w:tcPr>
                  <w:tcW w:w="204" w:type="pct"/>
                  <w:tcBorders>
                    <w:tl2br w:val="nil"/>
                    <w:tr2bl w:val="nil"/>
                  </w:tcBorders>
                  <w:noWrap w:val="0"/>
                  <w:vAlign w:val="center"/>
                </w:tcPr>
                <w:p>
                  <w:pPr>
                    <w:pStyle w:val="32"/>
                    <w:bidi w:val="0"/>
                    <w:rPr>
                      <w:color w:val="auto"/>
                      <w:highlight w:val="none"/>
                    </w:rPr>
                  </w:pPr>
                  <w:r>
                    <w:rPr>
                      <w:color w:val="auto"/>
                      <w:highlight w:val="none"/>
                    </w:rPr>
                    <w:t>禁止</w:t>
                  </w:r>
                  <w:r>
                    <w:rPr>
                      <w:rFonts w:hint="eastAsia"/>
                      <w:color w:val="auto"/>
                      <w:highlight w:val="none"/>
                    </w:rPr>
                    <w:t>类管控要求</w:t>
                  </w:r>
                </w:p>
              </w:tc>
              <w:tc>
                <w:tcPr>
                  <w:tcW w:w="2758" w:type="pct"/>
                  <w:tcBorders>
                    <w:tl2br w:val="nil"/>
                    <w:tr2bl w:val="nil"/>
                  </w:tcBorders>
                  <w:noWrap w:val="0"/>
                  <w:vAlign w:val="center"/>
                </w:tcPr>
                <w:p>
                  <w:pPr>
                    <w:pStyle w:val="32"/>
                    <w:keepNext w:val="0"/>
                    <w:keepLines w:val="0"/>
                    <w:pageBreakBefore w:val="0"/>
                    <w:widowControl w:val="0"/>
                    <w:kinsoku/>
                    <w:wordWrap/>
                    <w:overflowPunct/>
                    <w:topLinePunct w:val="0"/>
                    <w:autoSpaceDE/>
                    <w:autoSpaceDN/>
                    <w:bidi w:val="0"/>
                    <w:adjustRightInd/>
                    <w:snapToGrid w:val="0"/>
                    <w:jc w:val="left"/>
                    <w:textAlignment w:val="auto"/>
                    <w:rPr>
                      <w:rFonts w:hint="eastAsia"/>
                      <w:color w:val="auto"/>
                      <w:highlight w:val="none"/>
                      <w:lang w:eastAsia="zh-CN"/>
                    </w:rPr>
                  </w:pPr>
                  <w:r>
                    <w:rPr>
                      <w:color w:val="auto"/>
                      <w:highlight w:val="none"/>
                    </w:rPr>
                    <w:t>生态保护红线原则上按禁止</w:t>
                  </w:r>
                  <w:r>
                    <w:rPr>
                      <w:rFonts w:hint="eastAsia"/>
                      <w:color w:val="auto"/>
                      <w:highlight w:val="none"/>
                    </w:rPr>
                    <w:t>开</w:t>
                  </w:r>
                  <w:r>
                    <w:rPr>
                      <w:color w:val="auto"/>
                      <w:highlight w:val="none"/>
                    </w:rPr>
                    <w:t>发区域的要求进行管理，严禁不符合主体功能定位的各类开发活动，严禁任意改变用途，确保生态功能不降低、面积不减少、性质不改变。因国家重大基础设施、重大民生保障项目建设等需要调整的，由省级人民政府组织论证，提出调整方案，经环境保护部、国家发展改革委会同有关部门提岀审核意见后，报经国务院批准</w:t>
                  </w:r>
                  <w:r>
                    <w:rPr>
                      <w:rFonts w:hint="eastAsia"/>
                      <w:color w:val="auto"/>
                      <w:highlight w:val="none"/>
                    </w:rPr>
                    <w:t>。</w:t>
                  </w:r>
                  <w:r>
                    <w:rPr>
                      <w:color w:val="auto"/>
                      <w:highlight w:val="none"/>
                    </w:rPr>
                    <w:t>因国家重大战略资源勘</w:t>
                  </w:r>
                  <w:r>
                    <w:rPr>
                      <w:rFonts w:hint="eastAsia"/>
                      <w:color w:val="auto"/>
                      <w:highlight w:val="none"/>
                    </w:rPr>
                    <w:t>查</w:t>
                  </w:r>
                  <w:r>
                    <w:rPr>
                      <w:color w:val="auto"/>
                      <w:highlight w:val="none"/>
                    </w:rPr>
                    <w:t>需要，在不影响主体功能定位的前提下，经依法批准后予以安排勘查项</w:t>
                  </w:r>
                  <w:r>
                    <w:rPr>
                      <w:rFonts w:hint="eastAsia"/>
                      <w:color w:val="auto"/>
                      <w:highlight w:val="none"/>
                    </w:rPr>
                    <w:t>目</w:t>
                  </w:r>
                  <w:r>
                    <w:rPr>
                      <w:rFonts w:hint="eastAsia"/>
                      <w:color w:val="auto"/>
                      <w:highlight w:val="none"/>
                      <w:lang w:eastAsia="zh-CN"/>
                    </w:rPr>
                    <w:t>。</w:t>
                  </w:r>
                </w:p>
              </w:tc>
              <w:tc>
                <w:tcPr>
                  <w:tcW w:w="1016" w:type="pct"/>
                  <w:vMerge w:val="restart"/>
                  <w:tcBorders>
                    <w:tl2br w:val="nil"/>
                    <w:tr2bl w:val="nil"/>
                  </w:tcBorders>
                  <w:noWrap w:val="0"/>
                  <w:vAlign w:val="center"/>
                </w:tcPr>
                <w:p>
                  <w:pPr>
                    <w:pStyle w:val="32"/>
                    <w:bidi w:val="0"/>
                    <w:rPr>
                      <w:color w:val="auto"/>
                      <w:highlight w:val="none"/>
                    </w:rPr>
                  </w:pPr>
                  <w:r>
                    <w:rPr>
                      <w:rFonts w:hint="eastAsia"/>
                      <w:color w:val="auto"/>
                      <w:highlight w:val="none"/>
                    </w:rPr>
                    <w:t>本项目</w:t>
                  </w:r>
                  <w:r>
                    <w:rPr>
                      <w:rFonts w:hint="eastAsia"/>
                      <w:color w:val="auto"/>
                      <w:highlight w:val="none"/>
                      <w:lang w:eastAsia="zh-CN"/>
                    </w:rPr>
                    <w:t>位于唐山海港经济开发区北部，</w:t>
                  </w:r>
                  <w:r>
                    <w:rPr>
                      <w:rFonts w:hint="eastAsia"/>
                      <w:color w:val="auto"/>
                      <w:highlight w:val="none"/>
                    </w:rPr>
                    <w:t>所在位置不在河北省生态保护红线及唐山市生态保护红线</w:t>
                  </w:r>
                  <w:r>
                    <w:rPr>
                      <w:rFonts w:hint="eastAsia"/>
                      <w:color w:val="auto"/>
                      <w:highlight w:val="none"/>
                      <w:lang w:eastAsia="zh-CN"/>
                    </w:rPr>
                    <w:t>保护区范围内</w:t>
                  </w:r>
                  <w:r>
                    <w:rPr>
                      <w:rFonts w:hint="eastAsia"/>
                      <w:color w:val="auto"/>
                      <w:highlight w:val="none"/>
                    </w:rPr>
                    <w:t>。</w:t>
                  </w:r>
                </w:p>
              </w:tc>
              <w:tc>
                <w:tcPr>
                  <w:tcW w:w="473" w:type="pct"/>
                  <w:vMerge w:val="restart"/>
                  <w:tcBorders>
                    <w:tl2br w:val="nil"/>
                    <w:tr2bl w:val="nil"/>
                  </w:tcBorders>
                  <w:noWrap w:val="0"/>
                  <w:vAlign w:val="center"/>
                </w:tcPr>
                <w:p>
                  <w:pPr>
                    <w:pStyle w:val="32"/>
                    <w:bidi w:val="0"/>
                    <w:rPr>
                      <w:color w:val="auto"/>
                      <w:highlight w:val="none"/>
                    </w:rPr>
                  </w:pPr>
                  <w:r>
                    <w:rPr>
                      <w:rFonts w:hint="eastAsia"/>
                      <w:color w:val="auto"/>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46" w:type="pct"/>
                  <w:vMerge w:val="continue"/>
                  <w:tcBorders>
                    <w:tl2br w:val="nil"/>
                    <w:tr2bl w:val="nil"/>
                  </w:tcBorders>
                  <w:noWrap w:val="0"/>
                  <w:vAlign w:val="center"/>
                </w:tcPr>
                <w:p>
                  <w:pPr>
                    <w:pStyle w:val="32"/>
                    <w:bidi w:val="0"/>
                    <w:rPr>
                      <w:color w:val="auto"/>
                      <w:highlight w:val="none"/>
                    </w:rPr>
                  </w:pPr>
                </w:p>
              </w:tc>
              <w:tc>
                <w:tcPr>
                  <w:tcW w:w="300" w:type="pct"/>
                  <w:vMerge w:val="continue"/>
                  <w:tcBorders>
                    <w:tl2br w:val="nil"/>
                    <w:tr2bl w:val="nil"/>
                  </w:tcBorders>
                  <w:noWrap w:val="0"/>
                  <w:vAlign w:val="center"/>
                </w:tcPr>
                <w:p>
                  <w:pPr>
                    <w:pStyle w:val="32"/>
                    <w:bidi w:val="0"/>
                    <w:rPr>
                      <w:rFonts w:hint="eastAsia"/>
                      <w:color w:val="auto"/>
                      <w:highlight w:val="none"/>
                    </w:rPr>
                  </w:pPr>
                </w:p>
              </w:tc>
              <w:tc>
                <w:tcPr>
                  <w:tcW w:w="204" w:type="pct"/>
                  <w:tcBorders>
                    <w:tl2br w:val="nil"/>
                    <w:tr2bl w:val="nil"/>
                  </w:tcBorders>
                  <w:noWrap w:val="0"/>
                  <w:vAlign w:val="center"/>
                </w:tcPr>
                <w:p>
                  <w:pPr>
                    <w:pStyle w:val="32"/>
                    <w:bidi w:val="0"/>
                    <w:ind w:firstLine="0" w:firstLineChars="0"/>
                    <w:rPr>
                      <w:rFonts w:ascii="Times New Roman" w:hAnsi="Times New Roman" w:eastAsia="宋体" w:cs="Times New Roman"/>
                      <w:color w:val="auto"/>
                      <w:kern w:val="0"/>
                      <w:sz w:val="20"/>
                      <w:szCs w:val="20"/>
                      <w:highlight w:val="none"/>
                      <w:lang w:val="en-US" w:eastAsia="zh-CN" w:bidi="ar-SA"/>
                    </w:rPr>
                  </w:pPr>
                  <w:r>
                    <w:rPr>
                      <w:rFonts w:hint="eastAsia"/>
                      <w:color w:val="auto"/>
                      <w:highlight w:val="none"/>
                    </w:rPr>
                    <w:t>限制</w:t>
                  </w:r>
                  <w:r>
                    <w:rPr>
                      <w:color w:val="auto"/>
                      <w:highlight w:val="none"/>
                    </w:rPr>
                    <w:t>类管控要求</w:t>
                  </w:r>
                </w:p>
              </w:tc>
              <w:tc>
                <w:tcPr>
                  <w:tcW w:w="2758" w:type="pct"/>
                  <w:tcBorders>
                    <w:tl2br w:val="nil"/>
                    <w:tr2bl w:val="nil"/>
                  </w:tcBorders>
                  <w:noWrap w:val="0"/>
                  <w:vAlign w:val="center"/>
                </w:tcPr>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生态保护红线内自然保护地核心保护区外，禁止开发性、生产性建设活动，在符合法律法规的前提下，仅允许以下10类对生态功能不造成破坏的有限人为活动。生态保护红线内自然保护区、风景名胜区、饮用水水源保护区等区域，依照法律法规执行。</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（1）管护巡护、保护执法、科学研究、调查监测、测绘导航、防灾减灾救灾、军事国防、疫情防控等活动及相关的必要设施修筑。</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2）原住居民和其他合法权益主体，允许在不扩大现有建设用地、用海用岛、耕地、水产养殖规模和放牧强度（符合草畜平衡管理规定）的前提下，开展种植、放牧、捕捞、养殖（不包括投礁型海洋牧场、围海养殖）等活动，修筑生产生活设施。</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（3）经依法批准的考古调查发掘、古生物化石调查发掘、标本采集和文物保护活动。</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（4）按规定对人工商品林进行抚育采伐，或以提升森林质量、优化栖息地、建设生物防火隔离带等为目的的树种更新，依法开展的竹林采伐经营。</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（5）不破坏生态功能的适度参观旅游、科普宣教及符合相关规划的配套性服务设施和相关的必要公共设施建设及维护。</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（6）必须且无法避让、符合县级以上国土空间规划的线性基础设施、通讯和防洪、供水设施建设和船舶航行、航道疏浚清淤等活动；已有的合法水利、交通运输等设施运行维护改造。</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7）地质调查与矿产资源勘查开采。[具体开采活动，详见《关于加强生态保护红线管理的通知（试行）》（自然资发〔2022〕142号）]。上述勘查开采活动，应落实减缓生态环境影响措施，严格执行绿色勘查、开采及矿山环境生态修复相关要求。</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（8）依据县级以上国土空间规划和生态保护修复专项规划开展的生态修复。</w:t>
                  </w:r>
                </w:p>
                <w:p>
                  <w:pPr>
                    <w:pStyle w:val="32"/>
                    <w:keepNext w:val="0"/>
                    <w:keepLines w:val="0"/>
                    <w:pageBreakBefore w:val="0"/>
                    <w:widowControl w:val="0"/>
                    <w:kinsoku/>
                    <w:wordWrap/>
                    <w:overflowPunct/>
                    <w:topLinePunct w:val="0"/>
                    <w:autoSpaceDE/>
                    <w:autoSpaceDN/>
                    <w:bidi w:val="0"/>
                    <w:adjustRightInd/>
                    <w:snapToGrid w:val="0"/>
                    <w:jc w:val="left"/>
                    <w:textAlignment w:val="auto"/>
                    <w:rPr>
                      <w:color w:val="auto"/>
                      <w:highlight w:val="none"/>
                    </w:rPr>
                  </w:pPr>
                  <w:r>
                    <w:rPr>
                      <w:color w:val="auto"/>
                      <w:highlight w:val="none"/>
                    </w:rPr>
                    <w:t>（9）根据我国相关法律法规和与邻国签署的国界管理制度协定（条约）开展的边界边境通视道清理以及界务工程的修建、维护和拆除工作。</w:t>
                  </w:r>
                </w:p>
                <w:p>
                  <w:pPr>
                    <w:pStyle w:val="32"/>
                    <w:keepNext w:val="0"/>
                    <w:keepLines w:val="0"/>
                    <w:pageBreakBefore w:val="0"/>
                    <w:widowControl w:val="0"/>
                    <w:kinsoku/>
                    <w:wordWrap/>
                    <w:overflowPunct/>
                    <w:topLinePunct w:val="0"/>
                    <w:autoSpaceDE/>
                    <w:autoSpaceDN/>
                    <w:bidi w:val="0"/>
                    <w:adjustRightInd/>
                    <w:snapToGrid w:val="0"/>
                    <w:ind w:firstLine="0" w:firstLineChars="0"/>
                    <w:jc w:val="left"/>
                    <w:textAlignment w:val="auto"/>
                    <w:rPr>
                      <w:rFonts w:ascii="Times New Roman" w:hAnsi="Times New Roman" w:eastAsia="宋体" w:cs="Times New Roman"/>
                      <w:color w:val="auto"/>
                      <w:kern w:val="0"/>
                      <w:sz w:val="20"/>
                      <w:szCs w:val="20"/>
                      <w:highlight w:val="none"/>
                      <w:lang w:val="en-US" w:eastAsia="zh-CN" w:bidi="ar-SA"/>
                    </w:rPr>
                  </w:pPr>
                  <w:r>
                    <w:rPr>
                      <w:color w:val="auto"/>
                      <w:highlight w:val="none"/>
                    </w:rPr>
                    <w:t>（10）法律法规规定允许的其他人为活动。开展上述活动时禁止新增填海造地和新增围海。上述活动涉及利用无居民海岛的，原则上仅允许按照相关规定对海岛自然岸线、表面积、岛体、植被改变轻微的低影响利用方式。上述允许的有限人为活动之外，确需占用生态保护红线的国家重大项目，按照相关规定办理用地用海用岛审批。</w:t>
                  </w:r>
                </w:p>
              </w:tc>
              <w:tc>
                <w:tcPr>
                  <w:tcW w:w="1016" w:type="pct"/>
                  <w:vMerge w:val="continue"/>
                  <w:tcBorders>
                    <w:tl2br w:val="nil"/>
                    <w:tr2bl w:val="nil"/>
                  </w:tcBorders>
                  <w:noWrap w:val="0"/>
                  <w:vAlign w:val="center"/>
                </w:tcPr>
                <w:p>
                  <w:pPr>
                    <w:pStyle w:val="32"/>
                    <w:bidi w:val="0"/>
                    <w:rPr>
                      <w:rFonts w:hint="eastAsia"/>
                      <w:color w:val="auto"/>
                      <w:highlight w:val="none"/>
                    </w:rPr>
                  </w:pPr>
                </w:p>
              </w:tc>
              <w:tc>
                <w:tcPr>
                  <w:tcW w:w="47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46" w:type="pct"/>
                  <w:tcBorders>
                    <w:tl2br w:val="nil"/>
                    <w:tr2bl w:val="nil"/>
                  </w:tcBorders>
                  <w:noWrap w:val="0"/>
                  <w:vAlign w:val="center"/>
                </w:tcPr>
                <w:p>
                  <w:pPr>
                    <w:pStyle w:val="32"/>
                    <w:bidi w:val="0"/>
                    <w:rPr>
                      <w:color w:val="auto"/>
                      <w:highlight w:val="none"/>
                    </w:rPr>
                  </w:pPr>
                  <w:r>
                    <w:rPr>
                      <w:rFonts w:hint="eastAsia"/>
                      <w:color w:val="auto"/>
                      <w:highlight w:val="none"/>
                    </w:rPr>
                    <w:t>一般生态空间</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总体</w:t>
                  </w:r>
                  <w:r>
                    <w:rPr>
                      <w:color w:val="auto"/>
                      <w:highlight w:val="none"/>
                    </w:rPr>
                    <w:t>要求</w:t>
                  </w:r>
                </w:p>
              </w:tc>
              <w:tc>
                <w:tcPr>
                  <w:tcW w:w="204" w:type="pct"/>
                  <w:tcBorders>
                    <w:tl2br w:val="nil"/>
                    <w:tr2bl w:val="nil"/>
                  </w:tcBorders>
                  <w:noWrap w:val="0"/>
                  <w:vAlign w:val="center"/>
                </w:tcPr>
                <w:p>
                  <w:pPr>
                    <w:pStyle w:val="32"/>
                    <w:bidi w:val="0"/>
                    <w:rPr>
                      <w:color w:val="auto"/>
                      <w:highlight w:val="none"/>
                    </w:rPr>
                  </w:pPr>
                  <w:r>
                    <w:rPr>
                      <w:rFonts w:hint="eastAsia"/>
                      <w:color w:val="auto"/>
                      <w:highlight w:val="none"/>
                    </w:rPr>
                    <w:t>空间布局约束</w:t>
                  </w:r>
                </w:p>
              </w:tc>
              <w:tc>
                <w:tcPr>
                  <w:tcW w:w="2758" w:type="pct"/>
                  <w:tcBorders>
                    <w:tl2br w:val="nil"/>
                    <w:tr2bl w:val="nil"/>
                  </w:tcBorders>
                  <w:noWrap w:val="0"/>
                  <w:vAlign w:val="center"/>
                </w:tcPr>
                <w:p>
                  <w:pPr>
                    <w:pStyle w:val="32"/>
                    <w:bidi w:val="0"/>
                    <w:jc w:val="left"/>
                    <w:rPr>
                      <w:color w:val="auto"/>
                      <w:highlight w:val="none"/>
                    </w:rPr>
                  </w:pPr>
                  <w:r>
                    <w:rPr>
                      <w:color w:val="auto"/>
                      <w:highlight w:val="none"/>
                    </w:rPr>
                    <w:t>1、根据生态功能保护区的资源禀赋、环境容量，合理确定区域产业发展方向，限制高污染、高能耗、高物耗产业的发展。要依法淘汰严重污染环境、严重破坏区域生态、严重浪费资源能源的产业，要依法关闭破坏资源、污染环境和损害生态系统功能的项</w:t>
                  </w:r>
                  <w:r>
                    <w:rPr>
                      <w:rFonts w:hint="eastAsia"/>
                      <w:color w:val="auto"/>
                      <w:highlight w:val="none"/>
                    </w:rPr>
                    <w:t>目。</w:t>
                  </w:r>
                </w:p>
                <w:p>
                  <w:pPr>
                    <w:pStyle w:val="32"/>
                    <w:bidi w:val="0"/>
                    <w:jc w:val="left"/>
                    <w:rPr>
                      <w:rFonts w:hint="eastAsia"/>
                      <w:color w:val="auto"/>
                      <w:highlight w:val="none"/>
                      <w:lang w:val="en-US" w:eastAsia="zh-CN"/>
                    </w:rPr>
                  </w:pPr>
                  <w:r>
                    <w:rPr>
                      <w:rFonts w:hint="default"/>
                      <w:color w:val="auto"/>
                      <w:highlight w:val="none"/>
                      <w:lang w:val="en-US" w:eastAsia="zh-CN"/>
                    </w:rPr>
                    <w:t>3</w:t>
                  </w:r>
                  <w:r>
                    <w:rPr>
                      <w:rFonts w:hint="eastAsia"/>
                      <w:color w:val="auto"/>
                      <w:highlight w:val="none"/>
                      <w:lang w:val="en-US" w:eastAsia="zh-CN"/>
                    </w:rPr>
                    <w:t>、区域内要严格开发区管理，原则上不再新建各类开发区和扩大现有工业开发区的面积，已有的工业开发区要逐步改造成低消耗、可循环、少排放、“零污染”的生态型工业区。</w:t>
                  </w:r>
                </w:p>
                <w:p>
                  <w:pPr>
                    <w:pStyle w:val="32"/>
                    <w:bidi w:val="0"/>
                    <w:jc w:val="left"/>
                    <w:rPr>
                      <w:color w:val="auto"/>
                      <w:highlight w:val="none"/>
                    </w:rPr>
                  </w:pPr>
                  <w:r>
                    <w:rPr>
                      <w:rFonts w:hint="default"/>
                      <w:color w:val="auto"/>
                      <w:highlight w:val="none"/>
                      <w:lang w:val="en-US" w:eastAsia="zh-CN"/>
                    </w:rPr>
                    <w:t>6</w:t>
                  </w:r>
                  <w:r>
                    <w:rPr>
                      <w:rFonts w:hint="eastAsia"/>
                      <w:color w:val="auto"/>
                      <w:highlight w:val="none"/>
                      <w:lang w:val="en-US" w:eastAsia="zh-CN"/>
                    </w:rPr>
                    <w:t xml:space="preserve">、严格控制新增建设占用生态保护红线外的生态空间。符合区域准入条件的建设项目，涉 </w:t>
                  </w:r>
                </w:p>
                <w:p>
                  <w:pPr>
                    <w:pStyle w:val="32"/>
                    <w:bidi w:val="0"/>
                    <w:jc w:val="left"/>
                    <w:rPr>
                      <w:color w:val="auto"/>
                      <w:highlight w:val="none"/>
                    </w:rPr>
                  </w:pPr>
                  <w:r>
                    <w:rPr>
                      <w:rFonts w:hint="eastAsia"/>
                      <w:color w:val="auto"/>
                      <w:highlight w:val="none"/>
                      <w:lang w:val="en-US" w:eastAsia="zh-CN"/>
                    </w:rPr>
                    <w:t>及占用生态空间中的林地、草原等，按有关法律法规规定办理；涉及占用生态空间中其他未作明确规定的用地，应当加强论证和管理。</w:t>
                  </w:r>
                </w:p>
              </w:tc>
              <w:tc>
                <w:tcPr>
                  <w:tcW w:w="1016" w:type="pc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1.本项目属于</w:t>
                  </w:r>
                  <w:r>
                    <w:rPr>
                      <w:rFonts w:hint="eastAsia"/>
                      <w:color w:val="FF0000"/>
                      <w:highlight w:val="none"/>
                      <w:lang w:eastAsia="zh-CN"/>
                    </w:rPr>
                    <w:t>公路</w:t>
                  </w:r>
                  <w:r>
                    <w:rPr>
                      <w:rFonts w:hint="eastAsia"/>
                      <w:color w:val="auto"/>
                      <w:highlight w:val="none"/>
                      <w:lang w:eastAsia="zh-CN"/>
                    </w:rPr>
                    <w:t>交通运输项目</w:t>
                  </w:r>
                  <w:r>
                    <w:rPr>
                      <w:rFonts w:hint="eastAsia"/>
                      <w:color w:val="auto"/>
                      <w:highlight w:val="none"/>
                    </w:rPr>
                    <w:t>，不属于</w:t>
                  </w:r>
                  <w:r>
                    <w:rPr>
                      <w:color w:val="auto"/>
                      <w:highlight w:val="none"/>
                    </w:rPr>
                    <w:t>高污染、高能耗、高物耗</w:t>
                  </w:r>
                  <w:r>
                    <w:rPr>
                      <w:rFonts w:hint="eastAsia"/>
                      <w:color w:val="auto"/>
                      <w:highlight w:val="none"/>
                    </w:rPr>
                    <w:t>项目。</w:t>
                  </w:r>
                </w:p>
                <w:p>
                  <w:pPr>
                    <w:pStyle w:val="32"/>
                    <w:bidi w:val="0"/>
                    <w:jc w:val="left"/>
                    <w:rPr>
                      <w:rFonts w:hint="default"/>
                      <w:color w:val="auto"/>
                      <w:highlight w:val="none"/>
                      <w:lang w:val="en-US" w:eastAsia="zh-CN"/>
                    </w:rPr>
                  </w:pPr>
                  <w:r>
                    <w:rPr>
                      <w:rFonts w:hint="eastAsia"/>
                      <w:color w:val="auto"/>
                      <w:highlight w:val="none"/>
                      <w:lang w:val="en-US" w:eastAsia="zh-CN"/>
                    </w:rPr>
                    <w:t>3.本项目不属于开发区建设。</w:t>
                  </w:r>
                </w:p>
                <w:p>
                  <w:pPr>
                    <w:pStyle w:val="32"/>
                    <w:bidi w:val="0"/>
                    <w:jc w:val="left"/>
                    <w:rPr>
                      <w:color w:val="auto"/>
                      <w:highlight w:val="none"/>
                    </w:rPr>
                  </w:pPr>
                  <w:r>
                    <w:rPr>
                      <w:rFonts w:hint="eastAsia"/>
                      <w:color w:val="auto"/>
                      <w:highlight w:val="none"/>
                      <w:lang w:val="en-US" w:eastAsia="zh-CN"/>
                    </w:rPr>
                    <w:t>6</w:t>
                  </w:r>
                  <w:r>
                    <w:rPr>
                      <w:rFonts w:hint="eastAsia"/>
                      <w:color w:val="auto"/>
                      <w:highlight w:val="none"/>
                    </w:rPr>
                    <w:t>.本项目位于</w:t>
                  </w:r>
                  <w:r>
                    <w:rPr>
                      <w:rFonts w:hint="eastAsia"/>
                      <w:color w:val="auto"/>
                      <w:highlight w:val="none"/>
                      <w:lang w:eastAsia="zh-CN"/>
                    </w:rPr>
                    <w:t>唐山海港经济开发区北部，新增占地符合区域准入条件，</w:t>
                  </w:r>
                  <w:r>
                    <w:rPr>
                      <w:rFonts w:hint="eastAsia"/>
                      <w:color w:val="auto"/>
                      <w:highlight w:val="none"/>
                    </w:rPr>
                    <w:t>不占用</w:t>
                  </w:r>
                  <w:r>
                    <w:rPr>
                      <w:color w:val="auto"/>
                      <w:highlight w:val="none"/>
                    </w:rPr>
                    <w:t>生态空间中的林地、草原等</w:t>
                  </w:r>
                  <w:r>
                    <w:rPr>
                      <w:rFonts w:hint="eastAsia"/>
                      <w:color w:val="auto"/>
                      <w:highlight w:val="none"/>
                    </w:rPr>
                    <w:t>。</w:t>
                  </w:r>
                </w:p>
              </w:tc>
              <w:tc>
                <w:tcPr>
                  <w:tcW w:w="473" w:type="pct"/>
                  <w:tcBorders>
                    <w:tl2br w:val="nil"/>
                    <w:tr2bl w:val="nil"/>
                  </w:tcBorders>
                  <w:noWrap w:val="0"/>
                  <w:vAlign w:val="center"/>
                </w:tcPr>
                <w:p>
                  <w:pPr>
                    <w:pStyle w:val="32"/>
                    <w:bidi w:val="0"/>
                    <w:rPr>
                      <w:color w:val="auto"/>
                      <w:sz w:val="18"/>
                      <w:szCs w:val="18"/>
                      <w:highlight w:val="none"/>
                    </w:rPr>
                  </w:pPr>
                  <w:r>
                    <w:rPr>
                      <w:rFonts w:hint="eastAsia"/>
                      <w:color w:val="auto"/>
                      <w:sz w:val="18"/>
                      <w:szCs w:val="18"/>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46" w:type="pct"/>
                  <w:tcBorders>
                    <w:tl2br w:val="nil"/>
                    <w:tr2bl w:val="nil"/>
                  </w:tcBorders>
                  <w:noWrap w:val="0"/>
                  <w:vAlign w:val="center"/>
                </w:tcPr>
                <w:p>
                  <w:pPr>
                    <w:pStyle w:val="32"/>
                    <w:bidi w:val="0"/>
                    <w:rPr>
                      <w:color w:val="auto"/>
                      <w:highlight w:val="none"/>
                    </w:rPr>
                  </w:pPr>
                  <w:r>
                    <w:rPr>
                      <w:rFonts w:hint="eastAsia"/>
                      <w:color w:val="auto"/>
                      <w:highlight w:val="none"/>
                    </w:rPr>
                    <w:t>大</w:t>
                  </w:r>
                </w:p>
                <w:p>
                  <w:pPr>
                    <w:pStyle w:val="32"/>
                    <w:bidi w:val="0"/>
                    <w:rPr>
                      <w:color w:val="auto"/>
                      <w:highlight w:val="none"/>
                    </w:rPr>
                  </w:pPr>
                  <w:r>
                    <w:rPr>
                      <w:rFonts w:hint="eastAsia"/>
                      <w:color w:val="auto"/>
                      <w:highlight w:val="none"/>
                    </w:rPr>
                    <w:t>气</w:t>
                  </w:r>
                </w:p>
                <w:p>
                  <w:pPr>
                    <w:pStyle w:val="32"/>
                    <w:bidi w:val="0"/>
                    <w:rPr>
                      <w:color w:val="auto"/>
                      <w:highlight w:val="none"/>
                    </w:rPr>
                  </w:pPr>
                  <w:r>
                    <w:rPr>
                      <w:rFonts w:hint="eastAsia"/>
                      <w:color w:val="auto"/>
                      <w:highlight w:val="none"/>
                    </w:rPr>
                    <w:t>环</w:t>
                  </w:r>
                </w:p>
                <w:p>
                  <w:pPr>
                    <w:pStyle w:val="32"/>
                    <w:bidi w:val="0"/>
                    <w:rPr>
                      <w:color w:val="auto"/>
                      <w:highlight w:val="none"/>
                    </w:rPr>
                  </w:pPr>
                  <w:r>
                    <w:rPr>
                      <w:rFonts w:hint="eastAsia"/>
                      <w:color w:val="auto"/>
                      <w:highlight w:val="none"/>
                    </w:rPr>
                    <w:t>境</w:t>
                  </w:r>
                </w:p>
              </w:tc>
              <w:tc>
                <w:tcPr>
                  <w:tcW w:w="504" w:type="pct"/>
                  <w:gridSpan w:val="2"/>
                  <w:tcBorders>
                    <w:tl2br w:val="nil"/>
                    <w:tr2bl w:val="nil"/>
                  </w:tcBorders>
                  <w:noWrap w:val="0"/>
                  <w:vAlign w:val="center"/>
                </w:tcPr>
                <w:p>
                  <w:pPr>
                    <w:pStyle w:val="32"/>
                    <w:bidi w:val="0"/>
                    <w:rPr>
                      <w:color w:val="auto"/>
                      <w:highlight w:val="none"/>
                    </w:rPr>
                  </w:pPr>
                  <w:r>
                    <w:rPr>
                      <w:rFonts w:hint="eastAsia"/>
                      <w:color w:val="auto"/>
                      <w:highlight w:val="none"/>
                    </w:rPr>
                    <w:t>空间布局约束</w:t>
                  </w:r>
                </w:p>
              </w:tc>
              <w:tc>
                <w:tcPr>
                  <w:tcW w:w="2758" w:type="pct"/>
                  <w:tcBorders>
                    <w:tl2br w:val="nil"/>
                    <w:tr2bl w:val="nil"/>
                  </w:tcBorders>
                  <w:noWrap w:val="0"/>
                  <w:vAlign w:val="center"/>
                </w:tcPr>
                <w:p>
                  <w:pPr>
                    <w:pStyle w:val="32"/>
                    <w:bidi w:val="0"/>
                    <w:jc w:val="left"/>
                    <w:rPr>
                      <w:color w:val="auto"/>
                      <w:highlight w:val="none"/>
                    </w:rPr>
                  </w:pPr>
                  <w:r>
                    <w:rPr>
                      <w:rFonts w:hint="eastAsia"/>
                      <w:color w:val="auto"/>
                      <w:highlight w:val="none"/>
                    </w:rPr>
                    <w:t>2、严禁违规新增钢铁、焦化、平板玻璃、水泥、陶瓷产能，禁止新建《产业结构调整指导目录》中限制类项目。</w:t>
                  </w:r>
                </w:p>
              </w:tc>
              <w:tc>
                <w:tcPr>
                  <w:tcW w:w="1016" w:type="pct"/>
                  <w:tcBorders>
                    <w:tl2br w:val="nil"/>
                    <w:tr2bl w:val="nil"/>
                  </w:tcBorders>
                  <w:noWrap w:val="0"/>
                  <w:vAlign w:val="center"/>
                </w:tcPr>
                <w:p>
                  <w:pPr>
                    <w:pStyle w:val="32"/>
                    <w:bidi w:val="0"/>
                    <w:jc w:val="left"/>
                    <w:rPr>
                      <w:color w:val="auto"/>
                      <w:highlight w:val="none"/>
                    </w:rPr>
                  </w:pPr>
                  <w:r>
                    <w:rPr>
                      <w:rFonts w:hint="eastAsia"/>
                      <w:color w:val="auto"/>
                      <w:highlight w:val="none"/>
                    </w:rPr>
                    <w:t>本项目属于</w:t>
                  </w:r>
                  <w:r>
                    <w:rPr>
                      <w:rFonts w:hint="eastAsia"/>
                      <w:color w:val="FF0000"/>
                      <w:highlight w:val="none"/>
                      <w:lang w:eastAsia="zh-CN"/>
                    </w:rPr>
                    <w:t>公路</w:t>
                  </w:r>
                  <w:r>
                    <w:rPr>
                      <w:rFonts w:hint="eastAsia"/>
                      <w:color w:val="auto"/>
                      <w:highlight w:val="none"/>
                      <w:lang w:eastAsia="zh-CN"/>
                    </w:rPr>
                    <w:t>交通运输项目</w:t>
                  </w:r>
                  <w:r>
                    <w:rPr>
                      <w:rFonts w:hint="eastAsia"/>
                      <w:color w:val="auto"/>
                      <w:highlight w:val="none"/>
                    </w:rPr>
                    <w:t>，不属于新增</w:t>
                  </w:r>
                  <w:r>
                    <w:rPr>
                      <w:rFonts w:hint="eastAsia"/>
                      <w:color w:val="auto"/>
                      <w:highlight w:val="none"/>
                      <w:lang w:eastAsia="zh-CN"/>
                    </w:rPr>
                    <w:t>工业</w:t>
                  </w:r>
                  <w:r>
                    <w:rPr>
                      <w:rFonts w:hint="eastAsia"/>
                      <w:color w:val="auto"/>
                      <w:highlight w:val="none"/>
                    </w:rPr>
                    <w:t>产能，不属于《产业结构调整指导目录》中限制类</w:t>
                  </w:r>
                  <w:r>
                    <w:rPr>
                      <w:rFonts w:hint="eastAsia"/>
                      <w:color w:val="auto"/>
                      <w:highlight w:val="none"/>
                      <w:lang w:eastAsia="zh-CN"/>
                    </w:rPr>
                    <w:t>项目</w:t>
                  </w:r>
                  <w:r>
                    <w:rPr>
                      <w:rFonts w:hint="eastAsia"/>
                      <w:color w:val="auto"/>
                      <w:highlight w:val="none"/>
                    </w:rPr>
                    <w:t>。</w:t>
                  </w:r>
                </w:p>
              </w:tc>
              <w:tc>
                <w:tcPr>
                  <w:tcW w:w="473" w:type="pct"/>
                  <w:tcBorders>
                    <w:tl2br w:val="nil"/>
                    <w:tr2bl w:val="nil"/>
                  </w:tcBorders>
                  <w:noWrap w:val="0"/>
                  <w:vAlign w:val="center"/>
                </w:tcPr>
                <w:p>
                  <w:pPr>
                    <w:pStyle w:val="32"/>
                    <w:bidi w:val="0"/>
                    <w:rPr>
                      <w:color w:val="auto"/>
                      <w:highlight w:val="none"/>
                    </w:rPr>
                  </w:pPr>
                  <w:r>
                    <w:rPr>
                      <w:rFonts w:hint="eastAsia"/>
                      <w:color w:val="auto"/>
                      <w:highlight w:val="none"/>
                    </w:rPr>
                    <w:t>符合</w:t>
                  </w:r>
                </w:p>
              </w:tc>
            </w:tr>
          </w:tbl>
          <w:p>
            <w:pPr>
              <w:pStyle w:val="36"/>
              <w:bidi w:val="0"/>
              <w:rPr>
                <w:color w:val="auto"/>
                <w:highlight w:val="none"/>
              </w:rPr>
            </w:pPr>
            <w:r>
              <w:rPr>
                <w:rFonts w:hint="eastAsia"/>
                <w:color w:val="auto"/>
                <w:highlight w:val="none"/>
              </w:rPr>
              <w:t>表1-4</w:t>
            </w:r>
            <w:r>
              <w:rPr>
                <w:color w:val="auto"/>
                <w:highlight w:val="none"/>
              </w:rPr>
              <w:t xml:space="preserve"> </w:t>
            </w:r>
            <w:r>
              <w:rPr>
                <w:rFonts w:hint="eastAsia"/>
                <w:color w:val="auto"/>
                <w:highlight w:val="none"/>
              </w:rPr>
              <w:t xml:space="preserve"> 与陆域环境管控单元生态环境准入清单符合性分析</w:t>
            </w:r>
          </w:p>
          <w:tbl>
            <w:tblPr>
              <w:tblStyle w:val="23"/>
              <w:tblW w:w="49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631"/>
              <w:gridCol w:w="330"/>
              <w:gridCol w:w="315"/>
              <w:gridCol w:w="525"/>
              <w:gridCol w:w="705"/>
              <w:gridCol w:w="435"/>
              <w:gridCol w:w="2430"/>
              <w:gridCol w:w="1402"/>
              <w:gridCol w:w="4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267" w:hRule="atLeast"/>
                <w:jc w:val="center"/>
              </w:trPr>
              <w:tc>
                <w:tcPr>
                  <w:tcW w:w="437" w:type="pct"/>
                  <w:tcBorders>
                    <w:tl2br w:val="nil"/>
                    <w:tr2bl w:val="nil"/>
                  </w:tcBorders>
                  <w:noWrap w:val="0"/>
                  <w:vAlign w:val="center"/>
                </w:tcPr>
                <w:p>
                  <w:pPr>
                    <w:pStyle w:val="32"/>
                    <w:rPr>
                      <w:color w:val="auto"/>
                      <w:highlight w:val="none"/>
                    </w:rPr>
                  </w:pPr>
                  <w:r>
                    <w:rPr>
                      <w:rFonts w:hint="eastAsia"/>
                      <w:color w:val="auto"/>
                      <w:highlight w:val="none"/>
                    </w:rPr>
                    <w:t>编号</w:t>
                  </w:r>
                </w:p>
              </w:tc>
              <w:tc>
                <w:tcPr>
                  <w:tcW w:w="228" w:type="pct"/>
                  <w:tcBorders>
                    <w:tl2br w:val="nil"/>
                    <w:tr2bl w:val="nil"/>
                  </w:tcBorders>
                  <w:noWrap w:val="0"/>
                  <w:vAlign w:val="center"/>
                </w:tcPr>
                <w:p>
                  <w:pPr>
                    <w:pStyle w:val="32"/>
                    <w:rPr>
                      <w:color w:val="auto"/>
                      <w:highlight w:val="none"/>
                    </w:rPr>
                  </w:pPr>
                  <w:r>
                    <w:rPr>
                      <w:rFonts w:hint="eastAsia"/>
                      <w:color w:val="auto"/>
                      <w:highlight w:val="none"/>
                    </w:rPr>
                    <w:t>区县</w:t>
                  </w:r>
                </w:p>
              </w:tc>
              <w:tc>
                <w:tcPr>
                  <w:tcW w:w="218" w:type="pct"/>
                  <w:tcBorders>
                    <w:tl2br w:val="nil"/>
                    <w:tr2bl w:val="nil"/>
                  </w:tcBorders>
                  <w:noWrap w:val="0"/>
                  <w:vAlign w:val="center"/>
                </w:tcPr>
                <w:p>
                  <w:pPr>
                    <w:pStyle w:val="32"/>
                    <w:rPr>
                      <w:color w:val="auto"/>
                      <w:highlight w:val="none"/>
                    </w:rPr>
                  </w:pPr>
                  <w:r>
                    <w:rPr>
                      <w:rFonts w:hint="eastAsia"/>
                      <w:color w:val="auto"/>
                      <w:highlight w:val="none"/>
                    </w:rPr>
                    <w:t>乡镇</w:t>
                  </w:r>
                </w:p>
              </w:tc>
              <w:tc>
                <w:tcPr>
                  <w:tcW w:w="363" w:type="pct"/>
                  <w:tcBorders>
                    <w:tl2br w:val="nil"/>
                    <w:tr2bl w:val="nil"/>
                  </w:tcBorders>
                  <w:noWrap w:val="0"/>
                  <w:vAlign w:val="center"/>
                </w:tcPr>
                <w:p>
                  <w:pPr>
                    <w:pStyle w:val="32"/>
                    <w:rPr>
                      <w:color w:val="auto"/>
                      <w:highlight w:val="none"/>
                    </w:rPr>
                  </w:pPr>
                  <w:r>
                    <w:rPr>
                      <w:rFonts w:hint="eastAsia"/>
                      <w:color w:val="auto"/>
                      <w:highlight w:val="none"/>
                    </w:rPr>
                    <w:t>单元类别</w:t>
                  </w:r>
                </w:p>
              </w:tc>
              <w:tc>
                <w:tcPr>
                  <w:tcW w:w="488" w:type="pct"/>
                  <w:tcBorders>
                    <w:tl2br w:val="nil"/>
                    <w:tr2bl w:val="nil"/>
                  </w:tcBorders>
                  <w:noWrap w:val="0"/>
                  <w:vAlign w:val="center"/>
                </w:tcPr>
                <w:p>
                  <w:pPr>
                    <w:pStyle w:val="32"/>
                    <w:rPr>
                      <w:color w:val="auto"/>
                      <w:highlight w:val="none"/>
                    </w:rPr>
                  </w:pPr>
                  <w:r>
                    <w:rPr>
                      <w:rFonts w:hint="eastAsia"/>
                      <w:color w:val="auto"/>
                      <w:highlight w:val="none"/>
                    </w:rPr>
                    <w:t>环境要素类别</w:t>
                  </w:r>
                </w:p>
              </w:tc>
              <w:tc>
                <w:tcPr>
                  <w:tcW w:w="301" w:type="pct"/>
                  <w:tcBorders>
                    <w:tl2br w:val="nil"/>
                    <w:tr2bl w:val="nil"/>
                  </w:tcBorders>
                  <w:noWrap w:val="0"/>
                  <w:vAlign w:val="center"/>
                </w:tcPr>
                <w:p>
                  <w:pPr>
                    <w:pStyle w:val="32"/>
                    <w:rPr>
                      <w:color w:val="auto"/>
                      <w:highlight w:val="none"/>
                    </w:rPr>
                  </w:pPr>
                  <w:r>
                    <w:rPr>
                      <w:rFonts w:hint="eastAsia"/>
                      <w:color w:val="auto"/>
                      <w:highlight w:val="none"/>
                    </w:rPr>
                    <w:t>维度</w:t>
                  </w:r>
                </w:p>
              </w:tc>
              <w:tc>
                <w:tcPr>
                  <w:tcW w:w="1683" w:type="pct"/>
                  <w:tcBorders>
                    <w:tl2br w:val="nil"/>
                    <w:tr2bl w:val="nil"/>
                  </w:tcBorders>
                  <w:noWrap w:val="0"/>
                  <w:vAlign w:val="center"/>
                </w:tcPr>
                <w:p>
                  <w:pPr>
                    <w:pStyle w:val="32"/>
                    <w:rPr>
                      <w:color w:val="auto"/>
                      <w:highlight w:val="none"/>
                    </w:rPr>
                  </w:pPr>
                  <w:r>
                    <w:rPr>
                      <w:rFonts w:hint="eastAsia"/>
                      <w:color w:val="auto"/>
                      <w:highlight w:val="none"/>
                    </w:rPr>
                    <w:t>管控措施</w:t>
                  </w:r>
                </w:p>
              </w:tc>
              <w:tc>
                <w:tcPr>
                  <w:tcW w:w="971" w:type="pct"/>
                  <w:tcBorders>
                    <w:tl2br w:val="nil"/>
                    <w:tr2bl w:val="nil"/>
                  </w:tcBorders>
                  <w:noWrap w:val="0"/>
                  <w:vAlign w:val="center"/>
                </w:tcPr>
                <w:p>
                  <w:pPr>
                    <w:pStyle w:val="32"/>
                    <w:rPr>
                      <w:color w:val="auto"/>
                      <w:highlight w:val="none"/>
                    </w:rPr>
                  </w:pPr>
                  <w:r>
                    <w:rPr>
                      <w:rFonts w:hint="eastAsia"/>
                      <w:color w:val="auto"/>
                      <w:highlight w:val="none"/>
                    </w:rPr>
                    <w:t>本项目情况</w:t>
                  </w:r>
                </w:p>
              </w:tc>
              <w:tc>
                <w:tcPr>
                  <w:tcW w:w="308" w:type="pct"/>
                  <w:tcBorders>
                    <w:tl2br w:val="nil"/>
                    <w:tr2bl w:val="nil"/>
                  </w:tcBorders>
                  <w:noWrap w:val="0"/>
                  <w:vAlign w:val="center"/>
                </w:tcPr>
                <w:p>
                  <w:pPr>
                    <w:pStyle w:val="32"/>
                    <w:rPr>
                      <w:color w:val="auto"/>
                      <w:highlight w:val="none"/>
                    </w:rPr>
                  </w:pPr>
                  <w:r>
                    <w:rPr>
                      <w:rFonts w:hint="eastAsia"/>
                      <w:color w:val="auto"/>
                      <w:highlight w:val="none"/>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jc w:val="center"/>
              </w:trPr>
              <w:tc>
                <w:tcPr>
                  <w:tcW w:w="437" w:type="pct"/>
                  <w:vMerge w:val="restart"/>
                  <w:tcBorders>
                    <w:tl2br w:val="nil"/>
                    <w:tr2bl w:val="nil"/>
                  </w:tcBorders>
                  <w:noWrap w:val="0"/>
                  <w:vAlign w:val="center"/>
                </w:tcPr>
                <w:p>
                  <w:pPr>
                    <w:pStyle w:val="32"/>
                    <w:rPr>
                      <w:color w:val="auto"/>
                      <w:highlight w:val="none"/>
                    </w:rPr>
                  </w:pPr>
                  <w:r>
                    <w:rPr>
                      <w:rFonts w:hint="eastAsia"/>
                      <w:color w:val="auto"/>
                      <w:highlight w:val="none"/>
                    </w:rPr>
                    <w:t>ZH13027420002</w:t>
                  </w:r>
                </w:p>
              </w:tc>
              <w:tc>
                <w:tcPr>
                  <w:tcW w:w="228" w:type="pct"/>
                  <w:vMerge w:val="restart"/>
                  <w:tcBorders>
                    <w:tl2br w:val="nil"/>
                    <w:tr2bl w:val="nil"/>
                  </w:tcBorders>
                  <w:noWrap w:val="0"/>
                  <w:vAlign w:val="center"/>
                </w:tcPr>
                <w:p>
                  <w:pPr>
                    <w:pStyle w:val="32"/>
                    <w:rPr>
                      <w:color w:val="auto"/>
                      <w:highlight w:val="none"/>
                    </w:rPr>
                  </w:pPr>
                  <w:r>
                    <w:rPr>
                      <w:rFonts w:hint="eastAsia"/>
                      <w:color w:val="auto"/>
                      <w:highlight w:val="none"/>
                    </w:rPr>
                    <w:t>海港经济开发区</w:t>
                  </w:r>
                </w:p>
              </w:tc>
              <w:tc>
                <w:tcPr>
                  <w:tcW w:w="218" w:type="pct"/>
                  <w:vMerge w:val="restart"/>
                  <w:tcBorders>
                    <w:tl2br w:val="nil"/>
                    <w:tr2bl w:val="nil"/>
                  </w:tcBorders>
                  <w:noWrap w:val="0"/>
                  <w:vAlign w:val="center"/>
                </w:tcPr>
                <w:p>
                  <w:pPr>
                    <w:pStyle w:val="32"/>
                    <w:rPr>
                      <w:color w:val="auto"/>
                      <w:highlight w:val="none"/>
                    </w:rPr>
                  </w:pPr>
                  <w:r>
                    <w:rPr>
                      <w:rFonts w:hint="eastAsia"/>
                      <w:color w:val="auto"/>
                      <w:highlight w:val="none"/>
                    </w:rPr>
                    <w:t>王滩镇</w:t>
                  </w:r>
                </w:p>
              </w:tc>
              <w:tc>
                <w:tcPr>
                  <w:tcW w:w="363" w:type="pct"/>
                  <w:vMerge w:val="restart"/>
                  <w:tcBorders>
                    <w:tl2br w:val="nil"/>
                    <w:tr2bl w:val="nil"/>
                  </w:tcBorders>
                  <w:noWrap w:val="0"/>
                  <w:vAlign w:val="center"/>
                </w:tcPr>
                <w:p>
                  <w:pPr>
                    <w:pStyle w:val="32"/>
                    <w:rPr>
                      <w:color w:val="auto"/>
                      <w:highlight w:val="none"/>
                    </w:rPr>
                  </w:pPr>
                  <w:r>
                    <w:rPr>
                      <w:rFonts w:hint="eastAsia"/>
                      <w:color w:val="auto"/>
                      <w:highlight w:val="none"/>
                    </w:rPr>
                    <w:t>重点保护单元</w:t>
                  </w:r>
                </w:p>
              </w:tc>
              <w:tc>
                <w:tcPr>
                  <w:tcW w:w="488" w:type="pct"/>
                  <w:vMerge w:val="restart"/>
                  <w:tcBorders>
                    <w:tl2br w:val="nil"/>
                    <w:tr2bl w:val="nil"/>
                  </w:tcBorders>
                  <w:noWrap w:val="0"/>
                  <w:vAlign w:val="center"/>
                </w:tcPr>
                <w:p>
                  <w:pPr>
                    <w:pStyle w:val="32"/>
                    <w:rPr>
                      <w:color w:val="auto"/>
                      <w:highlight w:val="none"/>
                    </w:rPr>
                  </w:pPr>
                  <w:r>
                    <w:rPr>
                      <w:rFonts w:hint="eastAsia"/>
                      <w:color w:val="auto"/>
                      <w:highlight w:val="none"/>
                    </w:rPr>
                    <w:t>1、大气高排放区重点管控区</w:t>
                  </w:r>
                </w:p>
                <w:p>
                  <w:pPr>
                    <w:pStyle w:val="32"/>
                    <w:rPr>
                      <w:color w:val="auto"/>
                      <w:highlight w:val="none"/>
                    </w:rPr>
                  </w:pPr>
                  <w:r>
                    <w:rPr>
                      <w:rFonts w:hint="eastAsia"/>
                      <w:color w:val="auto"/>
                      <w:highlight w:val="none"/>
                    </w:rPr>
                    <w:t>2、水环境工业污染重点管控区</w:t>
                  </w:r>
                </w:p>
                <w:p>
                  <w:pPr>
                    <w:pStyle w:val="32"/>
                    <w:rPr>
                      <w:color w:val="auto"/>
                      <w:highlight w:val="none"/>
                    </w:rPr>
                  </w:pPr>
                  <w:r>
                    <w:rPr>
                      <w:rFonts w:hint="eastAsia"/>
                      <w:color w:val="auto"/>
                      <w:highlight w:val="none"/>
                    </w:rPr>
                    <w:t>3、河北唐山海港开发区</w:t>
                  </w:r>
                </w:p>
              </w:tc>
              <w:tc>
                <w:tcPr>
                  <w:tcW w:w="301" w:type="pct"/>
                  <w:tcBorders>
                    <w:tl2br w:val="nil"/>
                    <w:tr2bl w:val="nil"/>
                  </w:tcBorders>
                  <w:noWrap w:val="0"/>
                  <w:vAlign w:val="center"/>
                </w:tcPr>
                <w:p>
                  <w:pPr>
                    <w:pStyle w:val="32"/>
                    <w:rPr>
                      <w:color w:val="auto"/>
                      <w:highlight w:val="none"/>
                    </w:rPr>
                  </w:pPr>
                  <w:r>
                    <w:rPr>
                      <w:rFonts w:hint="eastAsia"/>
                      <w:color w:val="auto"/>
                      <w:highlight w:val="none"/>
                    </w:rPr>
                    <w:t>空间布局约束</w:t>
                  </w:r>
                </w:p>
              </w:tc>
              <w:tc>
                <w:tcPr>
                  <w:tcW w:w="1683" w:type="pct"/>
                  <w:tcBorders>
                    <w:tl2br w:val="nil"/>
                    <w:tr2bl w:val="nil"/>
                  </w:tcBorders>
                  <w:noWrap w:val="0"/>
                  <w:vAlign w:val="center"/>
                </w:tcPr>
                <w:p>
                  <w:pPr>
                    <w:pStyle w:val="32"/>
                    <w:jc w:val="left"/>
                    <w:rPr>
                      <w:color w:val="auto"/>
                      <w:highlight w:val="none"/>
                    </w:rPr>
                  </w:pPr>
                  <w:r>
                    <w:rPr>
                      <w:rFonts w:hint="eastAsia"/>
                      <w:color w:val="auto"/>
                      <w:highlight w:val="none"/>
                    </w:rPr>
                    <w:t>严格控制工业区边界外居民点向工业区方向发展，开发区内居民区向西发展，确保工业区内企业与敏感点保持足够的防护距离，满足空间管制要求；居住区内限制进行工业开发、建设活动。</w:t>
                  </w:r>
                </w:p>
              </w:tc>
              <w:tc>
                <w:tcPr>
                  <w:tcW w:w="971" w:type="pct"/>
                  <w:tcBorders>
                    <w:tl2br w:val="nil"/>
                    <w:tr2bl w:val="nil"/>
                  </w:tcBorders>
                  <w:noWrap w:val="0"/>
                  <w:vAlign w:val="center"/>
                </w:tcPr>
                <w:p>
                  <w:pPr>
                    <w:pStyle w:val="32"/>
                    <w:jc w:val="left"/>
                    <w:rPr>
                      <w:color w:val="auto"/>
                      <w:highlight w:val="none"/>
                    </w:rPr>
                  </w:pPr>
                  <w:r>
                    <w:rPr>
                      <w:rFonts w:hint="eastAsia"/>
                      <w:color w:val="auto"/>
                      <w:highlight w:val="none"/>
                    </w:rPr>
                    <w:t>本项目属于</w:t>
                  </w:r>
                  <w:r>
                    <w:rPr>
                      <w:rFonts w:hint="eastAsia"/>
                      <w:color w:val="FF0000"/>
                      <w:highlight w:val="none"/>
                      <w:lang w:eastAsia="zh-CN"/>
                    </w:rPr>
                    <w:t>公路</w:t>
                  </w:r>
                  <w:r>
                    <w:rPr>
                      <w:rFonts w:hint="eastAsia"/>
                      <w:color w:val="auto"/>
                      <w:highlight w:val="none"/>
                      <w:lang w:eastAsia="zh-CN"/>
                    </w:rPr>
                    <w:t>交通运输</w:t>
                  </w:r>
                  <w:r>
                    <w:rPr>
                      <w:rFonts w:hint="eastAsia"/>
                      <w:color w:val="auto"/>
                      <w:highlight w:val="none"/>
                    </w:rPr>
                    <w:t>项目，位于</w:t>
                  </w:r>
                  <w:r>
                    <w:rPr>
                      <w:rFonts w:hint="eastAsia"/>
                      <w:color w:val="auto"/>
                      <w:highlight w:val="none"/>
                      <w:lang w:eastAsia="zh-CN"/>
                    </w:rPr>
                    <w:t>唐山海港经济开发区北部</w:t>
                  </w:r>
                  <w:r>
                    <w:rPr>
                      <w:rFonts w:hint="eastAsia"/>
                      <w:color w:val="auto"/>
                      <w:highlight w:val="none"/>
                    </w:rPr>
                    <w:t>，符合唐山海港经济开发区空间规划管制要求。</w:t>
                  </w:r>
                </w:p>
              </w:tc>
              <w:tc>
                <w:tcPr>
                  <w:tcW w:w="308" w:type="pct"/>
                  <w:tcBorders>
                    <w:tl2br w:val="nil"/>
                    <w:tr2bl w:val="nil"/>
                  </w:tcBorders>
                  <w:noWrap w:val="0"/>
                  <w:vAlign w:val="center"/>
                </w:tcPr>
                <w:p>
                  <w:pPr>
                    <w:pStyle w:val="32"/>
                    <w:rPr>
                      <w:color w:val="auto"/>
                      <w:highlight w:val="none"/>
                    </w:rPr>
                  </w:pPr>
                  <w:r>
                    <w:rPr>
                      <w:rFonts w:hint="eastAsia"/>
                      <w:color w:val="auto"/>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jc w:val="center"/>
              </w:trPr>
              <w:tc>
                <w:tcPr>
                  <w:tcW w:w="437" w:type="pct"/>
                  <w:vMerge w:val="continue"/>
                  <w:tcBorders>
                    <w:tl2br w:val="nil"/>
                    <w:tr2bl w:val="nil"/>
                  </w:tcBorders>
                  <w:noWrap w:val="0"/>
                  <w:vAlign w:val="center"/>
                </w:tcPr>
                <w:p>
                  <w:pPr>
                    <w:pStyle w:val="32"/>
                    <w:rPr>
                      <w:color w:val="auto"/>
                      <w:highlight w:val="none"/>
                    </w:rPr>
                  </w:pPr>
                </w:p>
              </w:tc>
              <w:tc>
                <w:tcPr>
                  <w:tcW w:w="228" w:type="pct"/>
                  <w:vMerge w:val="continue"/>
                  <w:tcBorders>
                    <w:tl2br w:val="nil"/>
                    <w:tr2bl w:val="nil"/>
                  </w:tcBorders>
                  <w:noWrap w:val="0"/>
                  <w:vAlign w:val="center"/>
                </w:tcPr>
                <w:p>
                  <w:pPr>
                    <w:pStyle w:val="32"/>
                    <w:rPr>
                      <w:color w:val="auto"/>
                      <w:highlight w:val="none"/>
                    </w:rPr>
                  </w:pPr>
                </w:p>
              </w:tc>
              <w:tc>
                <w:tcPr>
                  <w:tcW w:w="218" w:type="pct"/>
                  <w:vMerge w:val="continue"/>
                  <w:tcBorders>
                    <w:tl2br w:val="nil"/>
                    <w:tr2bl w:val="nil"/>
                  </w:tcBorders>
                  <w:noWrap w:val="0"/>
                  <w:vAlign w:val="center"/>
                </w:tcPr>
                <w:p>
                  <w:pPr>
                    <w:pStyle w:val="32"/>
                    <w:rPr>
                      <w:color w:val="auto"/>
                      <w:highlight w:val="none"/>
                    </w:rPr>
                  </w:pPr>
                </w:p>
              </w:tc>
              <w:tc>
                <w:tcPr>
                  <w:tcW w:w="363" w:type="pct"/>
                  <w:vMerge w:val="continue"/>
                  <w:tcBorders>
                    <w:tl2br w:val="nil"/>
                    <w:tr2bl w:val="nil"/>
                  </w:tcBorders>
                  <w:noWrap w:val="0"/>
                  <w:vAlign w:val="center"/>
                </w:tcPr>
                <w:p>
                  <w:pPr>
                    <w:pStyle w:val="32"/>
                    <w:rPr>
                      <w:color w:val="auto"/>
                      <w:highlight w:val="none"/>
                    </w:rPr>
                  </w:pPr>
                </w:p>
              </w:tc>
              <w:tc>
                <w:tcPr>
                  <w:tcW w:w="488" w:type="pct"/>
                  <w:vMerge w:val="continue"/>
                  <w:tcBorders>
                    <w:tl2br w:val="nil"/>
                    <w:tr2bl w:val="nil"/>
                  </w:tcBorders>
                  <w:noWrap w:val="0"/>
                  <w:vAlign w:val="center"/>
                </w:tcPr>
                <w:p>
                  <w:pPr>
                    <w:pStyle w:val="32"/>
                    <w:rPr>
                      <w:color w:val="auto"/>
                      <w:highlight w:val="none"/>
                    </w:rPr>
                  </w:pPr>
                </w:p>
              </w:tc>
              <w:tc>
                <w:tcPr>
                  <w:tcW w:w="301" w:type="pct"/>
                  <w:tcBorders>
                    <w:tl2br w:val="nil"/>
                    <w:tr2bl w:val="nil"/>
                  </w:tcBorders>
                  <w:noWrap w:val="0"/>
                  <w:vAlign w:val="center"/>
                </w:tcPr>
                <w:p>
                  <w:pPr>
                    <w:pStyle w:val="32"/>
                    <w:rPr>
                      <w:color w:val="auto"/>
                      <w:highlight w:val="none"/>
                    </w:rPr>
                  </w:pPr>
                  <w:r>
                    <w:rPr>
                      <w:rFonts w:hint="eastAsia"/>
                      <w:color w:val="auto"/>
                      <w:highlight w:val="none"/>
                    </w:rPr>
                    <w:t>污染物排放管控</w:t>
                  </w:r>
                </w:p>
              </w:tc>
              <w:tc>
                <w:tcPr>
                  <w:tcW w:w="1683" w:type="pct"/>
                  <w:tcBorders>
                    <w:tl2br w:val="nil"/>
                    <w:tr2bl w:val="nil"/>
                  </w:tcBorders>
                  <w:noWrap w:val="0"/>
                  <w:vAlign w:val="center"/>
                </w:tcPr>
                <w:p>
                  <w:pPr>
                    <w:pStyle w:val="32"/>
                    <w:jc w:val="left"/>
                    <w:rPr>
                      <w:color w:val="auto"/>
                      <w:highlight w:val="none"/>
                    </w:rPr>
                  </w:pPr>
                  <w:r>
                    <w:rPr>
                      <w:rFonts w:hint="eastAsia"/>
                      <w:color w:val="auto"/>
                      <w:highlight w:val="none"/>
                    </w:rPr>
                    <w:t>1、深化企业超低排放标准治理，加快“五大行业全流程达标治理。钢铁、焦化、电力、水泥、平板玻璃等五大行业在点源达到超低排放的基础上强化无组织排放管理，完成全流程整治。</w:t>
                  </w:r>
                </w:p>
                <w:p>
                  <w:pPr>
                    <w:pStyle w:val="32"/>
                    <w:jc w:val="left"/>
                    <w:rPr>
                      <w:color w:val="auto"/>
                      <w:highlight w:val="none"/>
                    </w:rPr>
                  </w:pPr>
                  <w:r>
                    <w:rPr>
                      <w:rFonts w:hint="eastAsia"/>
                      <w:color w:val="auto"/>
                      <w:highlight w:val="none"/>
                    </w:rPr>
                    <w:t>2、强化工业污水限期达标整治。推进废水直排外环境的工业企业全面达标排放。开展涉水污染源排查整治专项行动，强化入河排污口监督管理，推动入河排污口规范化建设，取缔非法入河排污口。</w:t>
                  </w:r>
                </w:p>
              </w:tc>
              <w:tc>
                <w:tcPr>
                  <w:tcW w:w="971" w:type="pc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lang w:val="en-US" w:eastAsia="zh-CN"/>
                    </w:rPr>
                    <w:t>1、</w:t>
                  </w:r>
                  <w:r>
                    <w:rPr>
                      <w:rFonts w:hint="eastAsia"/>
                      <w:color w:val="auto"/>
                      <w:highlight w:val="none"/>
                    </w:rPr>
                    <w:t>本项目不属于钢铁、焦化、电力、水泥、平板玻璃等五大行业。</w:t>
                  </w:r>
                </w:p>
                <w:p>
                  <w:pPr>
                    <w:pStyle w:val="32"/>
                    <w:bidi w:val="0"/>
                    <w:jc w:val="left"/>
                    <w:rPr>
                      <w:rFonts w:hint="eastAsia" w:eastAsia="宋体"/>
                      <w:color w:val="auto"/>
                      <w:highlight w:val="none"/>
                      <w:lang w:val="en-US" w:eastAsia="zh-CN"/>
                    </w:rPr>
                  </w:pPr>
                  <w:r>
                    <w:rPr>
                      <w:rFonts w:hint="eastAsia"/>
                      <w:color w:val="auto"/>
                      <w:highlight w:val="none"/>
                      <w:lang w:val="en-US" w:eastAsia="zh-CN"/>
                    </w:rPr>
                    <w:t>2、本项目不涉及工业污水排放。</w:t>
                  </w:r>
                </w:p>
              </w:tc>
              <w:tc>
                <w:tcPr>
                  <w:tcW w:w="308" w:type="pct"/>
                  <w:tcBorders>
                    <w:tl2br w:val="nil"/>
                    <w:tr2bl w:val="nil"/>
                  </w:tcBorders>
                  <w:noWrap w:val="0"/>
                  <w:vAlign w:val="center"/>
                </w:tcPr>
                <w:p>
                  <w:pPr>
                    <w:pStyle w:val="32"/>
                    <w:rPr>
                      <w:color w:val="auto"/>
                      <w:highlight w:val="none"/>
                    </w:rPr>
                  </w:pPr>
                  <w:r>
                    <w:rPr>
                      <w:rFonts w:hint="eastAsia"/>
                      <w:color w:val="auto"/>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jc w:val="center"/>
              </w:trPr>
              <w:tc>
                <w:tcPr>
                  <w:tcW w:w="437" w:type="pct"/>
                  <w:vMerge w:val="continue"/>
                  <w:tcBorders>
                    <w:tl2br w:val="nil"/>
                    <w:tr2bl w:val="nil"/>
                  </w:tcBorders>
                  <w:noWrap w:val="0"/>
                  <w:vAlign w:val="center"/>
                </w:tcPr>
                <w:p>
                  <w:pPr>
                    <w:pStyle w:val="32"/>
                    <w:rPr>
                      <w:color w:val="auto"/>
                      <w:highlight w:val="none"/>
                    </w:rPr>
                  </w:pPr>
                </w:p>
              </w:tc>
              <w:tc>
                <w:tcPr>
                  <w:tcW w:w="228" w:type="pct"/>
                  <w:vMerge w:val="continue"/>
                  <w:tcBorders>
                    <w:tl2br w:val="nil"/>
                    <w:tr2bl w:val="nil"/>
                  </w:tcBorders>
                  <w:noWrap w:val="0"/>
                  <w:vAlign w:val="center"/>
                </w:tcPr>
                <w:p>
                  <w:pPr>
                    <w:pStyle w:val="32"/>
                    <w:rPr>
                      <w:color w:val="auto"/>
                      <w:highlight w:val="none"/>
                    </w:rPr>
                  </w:pPr>
                </w:p>
              </w:tc>
              <w:tc>
                <w:tcPr>
                  <w:tcW w:w="218" w:type="pct"/>
                  <w:vMerge w:val="continue"/>
                  <w:tcBorders>
                    <w:tl2br w:val="nil"/>
                    <w:tr2bl w:val="nil"/>
                  </w:tcBorders>
                  <w:noWrap w:val="0"/>
                  <w:vAlign w:val="center"/>
                </w:tcPr>
                <w:p>
                  <w:pPr>
                    <w:pStyle w:val="32"/>
                    <w:rPr>
                      <w:color w:val="auto"/>
                      <w:highlight w:val="none"/>
                    </w:rPr>
                  </w:pPr>
                </w:p>
              </w:tc>
              <w:tc>
                <w:tcPr>
                  <w:tcW w:w="363" w:type="pct"/>
                  <w:vMerge w:val="continue"/>
                  <w:tcBorders>
                    <w:tl2br w:val="nil"/>
                    <w:tr2bl w:val="nil"/>
                  </w:tcBorders>
                  <w:noWrap w:val="0"/>
                  <w:vAlign w:val="center"/>
                </w:tcPr>
                <w:p>
                  <w:pPr>
                    <w:pStyle w:val="32"/>
                    <w:rPr>
                      <w:color w:val="auto"/>
                      <w:highlight w:val="none"/>
                    </w:rPr>
                  </w:pPr>
                </w:p>
              </w:tc>
              <w:tc>
                <w:tcPr>
                  <w:tcW w:w="488" w:type="pct"/>
                  <w:vMerge w:val="continue"/>
                  <w:tcBorders>
                    <w:tl2br w:val="nil"/>
                    <w:tr2bl w:val="nil"/>
                  </w:tcBorders>
                  <w:noWrap w:val="0"/>
                  <w:vAlign w:val="center"/>
                </w:tcPr>
                <w:p>
                  <w:pPr>
                    <w:pStyle w:val="32"/>
                    <w:rPr>
                      <w:color w:val="auto"/>
                      <w:highlight w:val="none"/>
                    </w:rPr>
                  </w:pPr>
                </w:p>
              </w:tc>
              <w:tc>
                <w:tcPr>
                  <w:tcW w:w="301" w:type="pct"/>
                  <w:tcBorders>
                    <w:tl2br w:val="nil"/>
                    <w:tr2bl w:val="nil"/>
                  </w:tcBorders>
                  <w:noWrap w:val="0"/>
                  <w:vAlign w:val="center"/>
                </w:tcPr>
                <w:p>
                  <w:pPr>
                    <w:pStyle w:val="32"/>
                    <w:rPr>
                      <w:color w:val="auto"/>
                      <w:highlight w:val="none"/>
                    </w:rPr>
                  </w:pPr>
                  <w:r>
                    <w:rPr>
                      <w:rFonts w:hint="eastAsia"/>
                      <w:color w:val="auto"/>
                      <w:highlight w:val="none"/>
                    </w:rPr>
                    <w:t>环境风险防控</w:t>
                  </w:r>
                </w:p>
              </w:tc>
              <w:tc>
                <w:tcPr>
                  <w:tcW w:w="1683" w:type="pct"/>
                  <w:tcBorders>
                    <w:tl2br w:val="nil"/>
                    <w:tr2bl w:val="nil"/>
                  </w:tcBorders>
                  <w:noWrap w:val="0"/>
                  <w:vAlign w:val="center"/>
                </w:tcPr>
                <w:p>
                  <w:pPr>
                    <w:pStyle w:val="32"/>
                    <w:jc w:val="left"/>
                    <w:rPr>
                      <w:color w:val="auto"/>
                      <w:highlight w:val="none"/>
                    </w:rPr>
                  </w:pPr>
                  <w:r>
                    <w:rPr>
                      <w:rFonts w:hint="eastAsia"/>
                      <w:color w:val="auto"/>
                      <w:highlight w:val="none"/>
                    </w:rPr>
                    <w:t xml:space="preserve">1、企业编制《环境风险应急预案》，成立应急组织机构，定期开展应急演练，提高区域环境风险防范能力。 </w:t>
                  </w:r>
                </w:p>
                <w:p>
                  <w:pPr>
                    <w:pStyle w:val="32"/>
                    <w:jc w:val="left"/>
                    <w:rPr>
                      <w:color w:val="auto"/>
                      <w:highlight w:val="none"/>
                    </w:rPr>
                  </w:pPr>
                  <w:r>
                    <w:rPr>
                      <w:rFonts w:hint="eastAsia"/>
                      <w:color w:val="auto"/>
                      <w:highlight w:val="none"/>
                    </w:rPr>
                    <w:t>2、开发区内企业可能发生苯泄漏及火灾爆炸事故的装置主要有苯储罐、苯输送管线的阀门及泵等部位。应在上述部位设置苯泄漏检测报警装置和水雾喷淋装置。</w:t>
                  </w:r>
                </w:p>
              </w:tc>
              <w:tc>
                <w:tcPr>
                  <w:tcW w:w="971" w:type="pct"/>
                  <w:tcBorders>
                    <w:tl2br w:val="nil"/>
                    <w:tr2bl w:val="nil"/>
                  </w:tcBorders>
                  <w:noWrap w:val="0"/>
                  <w:vAlign w:val="center"/>
                </w:tcPr>
                <w:p>
                  <w:pPr>
                    <w:pStyle w:val="32"/>
                    <w:jc w:val="left"/>
                    <w:rPr>
                      <w:color w:val="auto"/>
                      <w:highlight w:val="none"/>
                    </w:rPr>
                  </w:pPr>
                  <w:r>
                    <w:rPr>
                      <w:rFonts w:hint="eastAsia"/>
                      <w:color w:val="auto"/>
                      <w:highlight w:val="none"/>
                    </w:rPr>
                    <w:t>1、本项目</w:t>
                  </w:r>
                  <w:r>
                    <w:rPr>
                      <w:rFonts w:hint="eastAsia"/>
                      <w:color w:val="auto"/>
                      <w:highlight w:val="none"/>
                      <w:lang w:eastAsia="zh-CN"/>
                    </w:rPr>
                    <w:t>属于</w:t>
                  </w:r>
                  <w:r>
                    <w:rPr>
                      <w:rFonts w:hint="eastAsia"/>
                      <w:color w:val="FF0000"/>
                      <w:highlight w:val="none"/>
                      <w:lang w:eastAsia="zh-CN"/>
                    </w:rPr>
                    <w:t>公路</w:t>
                  </w:r>
                  <w:r>
                    <w:rPr>
                      <w:rFonts w:hint="eastAsia"/>
                      <w:color w:val="auto"/>
                      <w:highlight w:val="none"/>
                      <w:lang w:eastAsia="zh-CN"/>
                    </w:rPr>
                    <w:t>交通运输项目，不涉及环境风险物质</w:t>
                  </w:r>
                  <w:r>
                    <w:rPr>
                      <w:rFonts w:hint="eastAsia"/>
                      <w:color w:val="auto"/>
                      <w:highlight w:val="none"/>
                    </w:rPr>
                    <w:t>。</w:t>
                  </w:r>
                </w:p>
                <w:p>
                  <w:pPr>
                    <w:pStyle w:val="32"/>
                    <w:jc w:val="left"/>
                    <w:rPr>
                      <w:color w:val="auto"/>
                      <w:highlight w:val="none"/>
                    </w:rPr>
                  </w:pPr>
                  <w:r>
                    <w:rPr>
                      <w:rFonts w:hint="eastAsia"/>
                      <w:color w:val="auto"/>
                      <w:highlight w:val="none"/>
                    </w:rPr>
                    <w:t>2、本项目不涉及使用苯。</w:t>
                  </w:r>
                </w:p>
                <w:p>
                  <w:pPr>
                    <w:pStyle w:val="32"/>
                    <w:jc w:val="left"/>
                    <w:rPr>
                      <w:color w:val="auto"/>
                      <w:highlight w:val="none"/>
                    </w:rPr>
                  </w:pPr>
                </w:p>
              </w:tc>
              <w:tc>
                <w:tcPr>
                  <w:tcW w:w="308" w:type="pct"/>
                  <w:tcBorders>
                    <w:tl2br w:val="nil"/>
                    <w:tr2bl w:val="nil"/>
                  </w:tcBorders>
                  <w:noWrap w:val="0"/>
                  <w:vAlign w:val="center"/>
                </w:tcPr>
                <w:p>
                  <w:pPr>
                    <w:pStyle w:val="32"/>
                    <w:rPr>
                      <w:color w:val="auto"/>
                      <w:highlight w:val="none"/>
                    </w:rPr>
                  </w:pPr>
                  <w:r>
                    <w:rPr>
                      <w:rFonts w:hint="eastAsia"/>
                      <w:color w:val="auto"/>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37" w:type="pct"/>
                  <w:vMerge w:val="continue"/>
                  <w:tcBorders>
                    <w:tl2br w:val="nil"/>
                    <w:tr2bl w:val="nil"/>
                  </w:tcBorders>
                  <w:noWrap w:val="0"/>
                  <w:vAlign w:val="center"/>
                </w:tcPr>
                <w:p>
                  <w:pPr>
                    <w:pStyle w:val="32"/>
                    <w:rPr>
                      <w:color w:val="auto"/>
                      <w:highlight w:val="none"/>
                    </w:rPr>
                  </w:pPr>
                </w:p>
              </w:tc>
              <w:tc>
                <w:tcPr>
                  <w:tcW w:w="228" w:type="pct"/>
                  <w:vMerge w:val="continue"/>
                  <w:tcBorders>
                    <w:tl2br w:val="nil"/>
                    <w:tr2bl w:val="nil"/>
                  </w:tcBorders>
                  <w:noWrap w:val="0"/>
                  <w:vAlign w:val="center"/>
                </w:tcPr>
                <w:p>
                  <w:pPr>
                    <w:pStyle w:val="32"/>
                    <w:rPr>
                      <w:color w:val="auto"/>
                      <w:highlight w:val="none"/>
                    </w:rPr>
                  </w:pPr>
                </w:p>
              </w:tc>
              <w:tc>
                <w:tcPr>
                  <w:tcW w:w="218" w:type="pct"/>
                  <w:vMerge w:val="continue"/>
                  <w:tcBorders>
                    <w:tl2br w:val="nil"/>
                    <w:tr2bl w:val="nil"/>
                  </w:tcBorders>
                  <w:noWrap w:val="0"/>
                  <w:vAlign w:val="center"/>
                </w:tcPr>
                <w:p>
                  <w:pPr>
                    <w:pStyle w:val="32"/>
                    <w:rPr>
                      <w:color w:val="auto"/>
                      <w:highlight w:val="none"/>
                    </w:rPr>
                  </w:pPr>
                </w:p>
              </w:tc>
              <w:tc>
                <w:tcPr>
                  <w:tcW w:w="363" w:type="pct"/>
                  <w:vMerge w:val="continue"/>
                  <w:tcBorders>
                    <w:tl2br w:val="nil"/>
                    <w:tr2bl w:val="nil"/>
                  </w:tcBorders>
                  <w:noWrap w:val="0"/>
                  <w:vAlign w:val="center"/>
                </w:tcPr>
                <w:p>
                  <w:pPr>
                    <w:pStyle w:val="32"/>
                    <w:rPr>
                      <w:color w:val="auto"/>
                      <w:highlight w:val="none"/>
                    </w:rPr>
                  </w:pPr>
                </w:p>
              </w:tc>
              <w:tc>
                <w:tcPr>
                  <w:tcW w:w="488" w:type="pct"/>
                  <w:vMerge w:val="continue"/>
                  <w:tcBorders>
                    <w:tl2br w:val="nil"/>
                    <w:tr2bl w:val="nil"/>
                  </w:tcBorders>
                  <w:noWrap w:val="0"/>
                  <w:vAlign w:val="center"/>
                </w:tcPr>
                <w:p>
                  <w:pPr>
                    <w:pStyle w:val="32"/>
                    <w:rPr>
                      <w:color w:val="auto"/>
                      <w:highlight w:val="none"/>
                    </w:rPr>
                  </w:pPr>
                </w:p>
              </w:tc>
              <w:tc>
                <w:tcPr>
                  <w:tcW w:w="301" w:type="pct"/>
                  <w:tcBorders>
                    <w:tl2br w:val="nil"/>
                    <w:tr2bl w:val="nil"/>
                  </w:tcBorders>
                  <w:noWrap w:val="0"/>
                  <w:vAlign w:val="center"/>
                </w:tcPr>
                <w:p>
                  <w:pPr>
                    <w:pStyle w:val="32"/>
                    <w:rPr>
                      <w:color w:val="auto"/>
                      <w:highlight w:val="none"/>
                    </w:rPr>
                  </w:pPr>
                  <w:r>
                    <w:rPr>
                      <w:rFonts w:hint="eastAsia"/>
                      <w:color w:val="auto"/>
                      <w:highlight w:val="none"/>
                    </w:rPr>
                    <w:t>资源利用效率要求</w:t>
                  </w:r>
                </w:p>
              </w:tc>
              <w:tc>
                <w:tcPr>
                  <w:tcW w:w="1683" w:type="pct"/>
                  <w:tcBorders>
                    <w:tl2br w:val="nil"/>
                    <w:tr2bl w:val="nil"/>
                  </w:tcBorders>
                  <w:noWrap w:val="0"/>
                  <w:vAlign w:val="center"/>
                </w:tcPr>
                <w:p>
                  <w:pPr>
                    <w:pStyle w:val="32"/>
                    <w:jc w:val="left"/>
                    <w:rPr>
                      <w:color w:val="auto"/>
                      <w:highlight w:val="none"/>
                    </w:rPr>
                  </w:pPr>
                  <w:r>
                    <w:rPr>
                      <w:rFonts w:hint="eastAsia"/>
                      <w:color w:val="auto"/>
                      <w:highlight w:val="none"/>
                    </w:rPr>
                    <w:t>1、大力推进水资源利用效率，减少新鲜水用量。</w:t>
                  </w:r>
                </w:p>
                <w:p>
                  <w:pPr>
                    <w:pStyle w:val="32"/>
                    <w:jc w:val="left"/>
                    <w:rPr>
                      <w:color w:val="auto"/>
                      <w:highlight w:val="none"/>
                    </w:rPr>
                  </w:pPr>
                  <w:r>
                    <w:rPr>
                      <w:rFonts w:hint="eastAsia"/>
                      <w:color w:val="auto"/>
                      <w:highlight w:val="none"/>
                    </w:rPr>
                    <w:t>2、深层地下水禁采区。在地下水禁止开采区，除临时应急供水和无替代水源的农村地区生活用水外，严禁取用地下水。已有的要限期关停。</w:t>
                  </w:r>
                </w:p>
              </w:tc>
              <w:tc>
                <w:tcPr>
                  <w:tcW w:w="971" w:type="pct"/>
                  <w:tcBorders>
                    <w:tl2br w:val="nil"/>
                    <w:tr2bl w:val="nil"/>
                  </w:tcBorders>
                  <w:noWrap w:val="0"/>
                  <w:vAlign w:val="center"/>
                </w:tcPr>
                <w:p>
                  <w:pPr>
                    <w:pStyle w:val="32"/>
                    <w:jc w:val="left"/>
                    <w:rPr>
                      <w:color w:val="auto"/>
                      <w:highlight w:val="none"/>
                    </w:rPr>
                  </w:pPr>
                  <w:r>
                    <w:rPr>
                      <w:rFonts w:hint="eastAsia"/>
                      <w:color w:val="auto"/>
                      <w:highlight w:val="none"/>
                    </w:rPr>
                    <w:t>本项目不涉及地下水开采。</w:t>
                  </w:r>
                </w:p>
              </w:tc>
              <w:tc>
                <w:tcPr>
                  <w:tcW w:w="308" w:type="pct"/>
                  <w:tcBorders>
                    <w:tl2br w:val="nil"/>
                    <w:tr2bl w:val="nil"/>
                  </w:tcBorders>
                  <w:noWrap w:val="0"/>
                  <w:vAlign w:val="center"/>
                </w:tcPr>
                <w:p>
                  <w:pPr>
                    <w:pStyle w:val="32"/>
                    <w:rPr>
                      <w:color w:val="auto"/>
                      <w:highlight w:val="none"/>
                    </w:rPr>
                  </w:pPr>
                  <w:r>
                    <w:rPr>
                      <w:rFonts w:hint="eastAsia"/>
                      <w:color w:val="auto"/>
                      <w:highlight w:val="none"/>
                    </w:rPr>
                    <w:t>符合</w:t>
                  </w:r>
                </w:p>
              </w:tc>
            </w:tr>
          </w:tbl>
          <w:p>
            <w:pPr>
              <w:pStyle w:val="33"/>
              <w:bidi w:val="0"/>
              <w:rPr>
                <w:rFonts w:ascii="Times New Roman" w:hAnsi="Times New Roman" w:eastAsia="宋体"/>
                <w:color w:val="auto"/>
                <w:sz w:val="24"/>
                <w:highlight w:val="none"/>
              </w:rPr>
            </w:pPr>
            <w:r>
              <w:rPr>
                <w:rFonts w:hint="eastAsia"/>
                <w:color w:val="auto"/>
                <w:highlight w:val="none"/>
              </w:rPr>
              <w:t>综上所述，本项目符合唐山市“三线一单”及生态环境分区管控相关要求。</w:t>
            </w:r>
          </w:p>
          <w:p>
            <w:pPr>
              <w:pStyle w:val="21"/>
              <w:rPr>
                <w:rFonts w:ascii="Times New Roman" w:hAnsi="Times New Roman" w:eastAsia="宋体"/>
                <w:color w:val="auto"/>
                <w:kern w:val="0"/>
                <w:sz w:val="24"/>
                <w:highlight w:val="none"/>
              </w:rPr>
            </w:pPr>
          </w:p>
          <w:p>
            <w:pPr>
              <w:pStyle w:val="20"/>
              <w:rPr>
                <w:rFonts w:ascii="Times New Roman" w:hAnsi="Times New Roman" w:eastAsia="宋体"/>
                <w:color w:val="auto"/>
                <w:kern w:val="0"/>
                <w:sz w:val="24"/>
                <w:highlight w:val="none"/>
              </w:rPr>
            </w:pPr>
          </w:p>
          <w:p>
            <w:pPr>
              <w:rPr>
                <w:rFonts w:ascii="Times New Roman" w:hAnsi="Times New Roman" w:eastAsia="宋体"/>
                <w:color w:val="auto"/>
                <w:kern w:val="0"/>
                <w:sz w:val="24"/>
                <w:highlight w:val="none"/>
              </w:rPr>
            </w:pPr>
          </w:p>
          <w:p>
            <w:pPr>
              <w:rPr>
                <w:rFonts w:ascii="Times New Roman" w:hAnsi="Times New Roman" w:eastAsia="宋体"/>
                <w:color w:val="auto"/>
                <w:kern w:val="0"/>
                <w:sz w:val="24"/>
                <w:highlight w:val="none"/>
              </w:rPr>
            </w:pPr>
          </w:p>
          <w:p>
            <w:pPr>
              <w:rPr>
                <w:rFonts w:ascii="Times New Roman" w:hAnsi="Times New Roman" w:eastAsia="宋体"/>
                <w:color w:val="auto"/>
                <w:kern w:val="0"/>
                <w:sz w:val="24"/>
                <w:highlight w:val="none"/>
              </w:rPr>
            </w:pPr>
          </w:p>
          <w:p>
            <w:pPr>
              <w:rPr>
                <w:rFonts w:ascii="Times New Roman" w:hAnsi="Times New Roman" w:eastAsia="宋体"/>
                <w:color w:val="auto"/>
                <w:kern w:val="0"/>
                <w:sz w:val="24"/>
                <w:highlight w:val="none"/>
              </w:rPr>
            </w:pPr>
          </w:p>
          <w:p>
            <w:pPr>
              <w:rPr>
                <w:rFonts w:ascii="Times New Roman" w:hAnsi="Times New Roman" w:eastAsia="宋体"/>
                <w:color w:val="auto"/>
                <w:kern w:val="0"/>
                <w:sz w:val="24"/>
                <w:highlight w:val="none"/>
              </w:rPr>
            </w:pPr>
          </w:p>
          <w:p>
            <w:pPr>
              <w:rPr>
                <w:rFonts w:ascii="Times New Roman" w:hAnsi="Times New Roman" w:eastAsia="宋体"/>
                <w:color w:val="auto"/>
                <w:kern w:val="0"/>
                <w:sz w:val="24"/>
                <w:highlight w:val="none"/>
              </w:rPr>
            </w:pPr>
          </w:p>
          <w:p>
            <w:pPr>
              <w:pStyle w:val="21"/>
              <w:rPr>
                <w:color w:val="auto"/>
                <w:highlight w:val="none"/>
              </w:rPr>
            </w:pPr>
          </w:p>
        </w:tc>
      </w:tr>
    </w:tbl>
    <w:p>
      <w:pPr>
        <w:outlineLvl w:val="0"/>
        <w:rPr>
          <w:rFonts w:eastAsia="黑体"/>
          <w:color w:val="auto"/>
          <w:sz w:val="30"/>
          <w:highlight w:val="none"/>
        </w:rPr>
        <w:sectPr>
          <w:footerReference r:id="rId8" w:type="default"/>
          <w:pgSz w:w="11905" w:h="16838"/>
          <w:pgMar w:top="1701" w:right="1531" w:bottom="1701" w:left="1531" w:header="851" w:footer="1077" w:gutter="0"/>
          <w:pgBorders w:offsetFrom="page">
            <w:top w:val="none" w:sz="0" w:space="0"/>
            <w:left w:val="none" w:sz="0" w:space="0"/>
            <w:bottom w:val="none" w:sz="0" w:space="0"/>
            <w:right w:val="none" w:sz="0" w:space="0"/>
          </w:pgBorders>
          <w:pgNumType w:fmt="decimal" w:start="1"/>
          <w:cols w:space="720" w:num="1"/>
          <w:rtlGutter w:val="0"/>
          <w:docGrid w:type="linesAndChars" w:linePitch="312" w:charSpace="-205"/>
        </w:sectPr>
      </w:pPr>
    </w:p>
    <w:p>
      <w:pPr>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240" w:lineRule="auto"/>
        <w:jc w:val="center"/>
        <w:textAlignment w:val="auto"/>
        <w:outlineLvl w:val="0"/>
        <w:rPr>
          <w:rFonts w:ascii="Times New Roman" w:hAnsi="Times New Roman" w:eastAsia="黑体" w:cs="Times New Roman"/>
          <w:snapToGrid w:val="0"/>
          <w:color w:val="auto"/>
          <w:sz w:val="30"/>
          <w:szCs w:val="30"/>
          <w:highlight w:val="none"/>
        </w:rPr>
      </w:pPr>
      <w:r>
        <w:rPr>
          <w:rFonts w:ascii="Times New Roman" w:hAnsi="Times New Roman" w:eastAsia="黑体" w:cs="Times New Roman"/>
          <w:snapToGrid w:val="0"/>
          <w:color w:val="auto"/>
          <w:sz w:val="30"/>
          <w:szCs w:val="30"/>
          <w:highlight w:val="none"/>
        </w:rPr>
        <w:t>二、建设内容</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22"/>
        <w:gridCol w:w="863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497" w:hRule="atLeast"/>
          <w:jc w:val="center"/>
        </w:trPr>
        <w:tc>
          <w:tcPr>
            <w:tcW w:w="233"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300" w:lineRule="exact"/>
              <w:ind w:firstLine="0" w:firstLineChars="0"/>
              <w:jc w:val="center"/>
              <w:textAlignment w:val="auto"/>
              <w:rPr>
                <w:color w:val="auto"/>
                <w:kern w:val="0"/>
                <w:szCs w:val="21"/>
                <w:highlight w:val="none"/>
              </w:rPr>
            </w:pPr>
            <w:r>
              <w:rPr>
                <w:color w:val="auto"/>
                <w:highlight w:val="none"/>
                <w:lang w:val="en-US" w:eastAsia="zh-CN"/>
              </w:rPr>
              <w:t>地理位置</w:t>
            </w:r>
          </w:p>
        </w:tc>
        <w:tc>
          <w:tcPr>
            <w:tcW w:w="4766" w:type="pct"/>
            <w:noWrap w:val="0"/>
            <w:vAlign w:val="center"/>
          </w:tcPr>
          <w:p>
            <w:pPr>
              <w:pStyle w:val="33"/>
              <w:bidi w:val="0"/>
              <w:rPr>
                <w:rFonts w:hint="eastAsia"/>
                <w:color w:val="auto"/>
                <w:highlight w:val="none"/>
                <w:lang w:eastAsia="zh-CN"/>
              </w:rPr>
            </w:pPr>
            <w:r>
              <w:rPr>
                <w:rFonts w:hint="eastAsia"/>
                <w:color w:val="auto"/>
                <w:highlight w:val="none"/>
                <w:lang w:val="zh-CN" w:eastAsia="zh-CN"/>
              </w:rPr>
              <w:t>本项目为线性工程，根据编制指南要求，线性工程填写线路总体走向（起点、终点及途经的省、地级或县级行政区），</w:t>
            </w:r>
            <w:r>
              <w:rPr>
                <w:rFonts w:hint="eastAsia"/>
                <w:color w:val="auto"/>
                <w:highlight w:val="none"/>
                <w:lang w:eastAsia="zh-CN"/>
              </w:rPr>
              <w:t>本项目位于唐山市海港经济开发区北部</w:t>
            </w:r>
            <w:r>
              <w:rPr>
                <w:rFonts w:hint="eastAsia"/>
                <w:color w:val="auto"/>
                <w:highlight w:val="none"/>
                <w:lang w:val="en-US" w:eastAsia="zh-CN"/>
              </w:rPr>
              <w:t>G509（乐港路）与G228（沿海公路）交叉口</w:t>
            </w:r>
            <w:r>
              <w:rPr>
                <w:color w:val="auto"/>
                <w:highlight w:val="none"/>
              </w:rPr>
              <w:t>，</w:t>
            </w:r>
            <w:r>
              <w:rPr>
                <w:rFonts w:hint="eastAsia"/>
                <w:color w:val="auto"/>
                <w:highlight w:val="none"/>
                <w:lang w:eastAsia="zh-CN"/>
              </w:rPr>
              <w:t>项目起、终点均位于现状国道 G509（乐港路），</w:t>
            </w:r>
            <w:r>
              <w:rPr>
                <w:rFonts w:hint="eastAsia"/>
                <w:color w:val="auto"/>
                <w:highlight w:val="none"/>
                <w:lang w:val="zh-CN" w:eastAsia="zh-CN"/>
              </w:rPr>
              <w:t>线路总体走向如下：</w:t>
            </w:r>
          </w:p>
          <w:p>
            <w:pPr>
              <w:pStyle w:val="36"/>
              <w:numPr>
                <w:ilvl w:val="0"/>
                <w:numId w:val="2"/>
              </w:numPr>
              <w:tabs>
                <w:tab w:val="left" w:pos="0"/>
                <w:tab w:val="clear" w:pos="420"/>
              </w:tabs>
              <w:bidi w:val="0"/>
              <w:ind w:left="0" w:leftChars="0" w:firstLine="0" w:firstLineChars="0"/>
              <w:rPr>
                <w:rFonts w:hint="eastAsia"/>
                <w:color w:val="auto"/>
                <w:highlight w:val="none"/>
                <w:lang w:val="en-US" w:eastAsia="zh-CN"/>
              </w:rPr>
            </w:pPr>
            <w:r>
              <w:rPr>
                <w:rFonts w:hint="eastAsia"/>
                <w:color w:val="auto"/>
                <w:highlight w:val="none"/>
                <w:lang w:val="en-US" w:eastAsia="zh-CN"/>
              </w:rPr>
              <w:t>本项目线路总体走向</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4"/>
              <w:gridCol w:w="744"/>
              <w:gridCol w:w="1502"/>
              <w:gridCol w:w="3243"/>
              <w:gridCol w:w="17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86"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道路名称</w:t>
                  </w:r>
                </w:p>
              </w:tc>
              <w:tc>
                <w:tcPr>
                  <w:tcW w:w="442" w:type="pct"/>
                  <w:noWrap w:val="0"/>
                  <w:vAlign w:val="center"/>
                </w:tcPr>
                <w:p>
                  <w:pPr>
                    <w:pStyle w:val="32"/>
                    <w:bidi w:val="0"/>
                    <w:jc w:val="center"/>
                    <w:rPr>
                      <w:rFonts w:hint="eastAsia"/>
                      <w:color w:val="auto"/>
                      <w:highlight w:val="none"/>
                      <w:lang w:val="en-US" w:eastAsia="zh-CN"/>
                    </w:rPr>
                  </w:pPr>
                  <w:r>
                    <w:rPr>
                      <w:rFonts w:hint="eastAsia"/>
                      <w:color w:val="auto"/>
                      <w:highlight w:val="none"/>
                      <w:lang w:val="en-US" w:eastAsia="zh-CN"/>
                    </w:rPr>
                    <w:t>项目</w:t>
                  </w:r>
                </w:p>
              </w:tc>
              <w:tc>
                <w:tcPr>
                  <w:tcW w:w="893"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桩号</w:t>
                  </w:r>
                </w:p>
              </w:tc>
              <w:tc>
                <w:tcPr>
                  <w:tcW w:w="1928"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坐标</w:t>
                  </w:r>
                </w:p>
              </w:tc>
              <w:tc>
                <w:tcPr>
                  <w:tcW w:w="1049"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途径行政区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86" w:type="pct"/>
                  <w:vMerge w:val="restar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主线</w:t>
                  </w:r>
                </w:p>
              </w:tc>
              <w:tc>
                <w:tcPr>
                  <w:tcW w:w="442"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起点</w:t>
                  </w:r>
                </w:p>
              </w:tc>
              <w:tc>
                <w:tcPr>
                  <w:tcW w:w="893"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K0+770</w:t>
                  </w:r>
                </w:p>
              </w:tc>
              <w:tc>
                <w:tcPr>
                  <w:tcW w:w="1928"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E</w:t>
                  </w:r>
                  <w:r>
                    <w:rPr>
                      <w:rFonts w:hint="default"/>
                      <w:color w:val="auto"/>
                      <w:highlight w:val="none"/>
                      <w:lang w:val="en-US" w:eastAsia="zh-CN"/>
                    </w:rPr>
                    <w:t>118°57′41.317″</w:t>
                  </w:r>
                  <w:r>
                    <w:rPr>
                      <w:rFonts w:hint="eastAsia"/>
                      <w:color w:val="auto"/>
                      <w:highlight w:val="none"/>
                      <w:lang w:val="en-US" w:eastAsia="zh-CN"/>
                    </w:rPr>
                    <w:t>，N</w:t>
                  </w:r>
                  <w:r>
                    <w:rPr>
                      <w:rFonts w:hint="default"/>
                      <w:color w:val="auto"/>
                      <w:highlight w:val="none"/>
                      <w:lang w:val="en-US" w:eastAsia="zh-CN"/>
                    </w:rPr>
                    <w:t>39°16′38.550″</w:t>
                  </w:r>
                </w:p>
              </w:tc>
              <w:tc>
                <w:tcPr>
                  <w:tcW w:w="1049" w:type="pct"/>
                  <w:vMerge w:val="restar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海港经济开发区、王滩镇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86" w:type="pct"/>
                  <w:vMerge w:val="continue"/>
                  <w:noWrap w:val="0"/>
                  <w:vAlign w:val="center"/>
                </w:tcPr>
                <w:p>
                  <w:pPr>
                    <w:pStyle w:val="32"/>
                    <w:bidi w:val="0"/>
                    <w:jc w:val="center"/>
                    <w:rPr>
                      <w:rFonts w:hint="default"/>
                      <w:color w:val="auto"/>
                      <w:highlight w:val="none"/>
                      <w:lang w:val="en-US" w:eastAsia="zh-CN"/>
                    </w:rPr>
                  </w:pPr>
                </w:p>
              </w:tc>
              <w:tc>
                <w:tcPr>
                  <w:tcW w:w="442"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终点</w:t>
                  </w:r>
                </w:p>
              </w:tc>
              <w:tc>
                <w:tcPr>
                  <w:tcW w:w="893" w:type="pct"/>
                  <w:noWrap w:val="0"/>
                  <w:vAlign w:val="center"/>
                </w:tcPr>
                <w:p>
                  <w:pPr>
                    <w:pStyle w:val="32"/>
                    <w:bidi w:val="0"/>
                    <w:jc w:val="center"/>
                    <w:rPr>
                      <w:rFonts w:hint="default"/>
                      <w:color w:val="auto"/>
                      <w:highlight w:val="none"/>
                      <w:lang w:val="en-US" w:eastAsia="zh-CN"/>
                    </w:rPr>
                  </w:pPr>
                  <w:r>
                    <w:rPr>
                      <w:rFonts w:hint="eastAsia" w:ascii="Times New Roman" w:hAnsi="Times New Roman" w:cs="Times New Roman"/>
                      <w:color w:val="auto"/>
                      <w:highlight w:val="none"/>
                      <w:lang w:val="en-US" w:eastAsia="zh-CN"/>
                    </w:rPr>
                    <w:t>K2+490</w:t>
                  </w:r>
                </w:p>
              </w:tc>
              <w:tc>
                <w:tcPr>
                  <w:tcW w:w="1928"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E</w:t>
                  </w:r>
                  <w:r>
                    <w:rPr>
                      <w:rFonts w:hint="default"/>
                      <w:color w:val="auto"/>
                      <w:highlight w:val="none"/>
                      <w:lang w:val="en-US" w:eastAsia="zh-CN"/>
                    </w:rPr>
                    <w:t>118°58′45.088″</w:t>
                  </w:r>
                  <w:r>
                    <w:rPr>
                      <w:rFonts w:hint="eastAsia"/>
                      <w:color w:val="auto"/>
                      <w:highlight w:val="none"/>
                      <w:lang w:val="en-US" w:eastAsia="zh-CN"/>
                    </w:rPr>
                    <w:t>，N</w:t>
                  </w:r>
                  <w:r>
                    <w:rPr>
                      <w:rFonts w:hint="default"/>
                      <w:color w:val="auto"/>
                      <w:highlight w:val="none"/>
                      <w:lang w:val="en-US" w:eastAsia="zh-CN"/>
                    </w:rPr>
                    <w:t>39°16′14.152″</w:t>
                  </w:r>
                </w:p>
              </w:tc>
              <w:tc>
                <w:tcPr>
                  <w:tcW w:w="1049" w:type="pct"/>
                  <w:vMerge w:val="continue"/>
                  <w:noWrap w:val="0"/>
                  <w:vAlign w:val="center"/>
                </w:tcPr>
                <w:p>
                  <w:pPr>
                    <w:pStyle w:val="32"/>
                    <w:bidi w:val="0"/>
                    <w:jc w:val="center"/>
                    <w:rPr>
                      <w:rFonts w:hint="default"/>
                      <w:color w:val="auto"/>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86" w:type="pct"/>
                  <w:vMerge w:val="restar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辅道A</w:t>
                  </w:r>
                </w:p>
              </w:tc>
              <w:tc>
                <w:tcPr>
                  <w:tcW w:w="442" w:type="pct"/>
                  <w:noWrap w:val="0"/>
                  <w:vAlign w:val="center"/>
                </w:tcPr>
                <w:p>
                  <w:pPr>
                    <w:pStyle w:val="32"/>
                    <w:bidi w:val="0"/>
                    <w:ind w:firstLine="0" w:firstLineChars="0"/>
                    <w:jc w:val="center"/>
                    <w:rPr>
                      <w:rFonts w:hint="default"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起点</w:t>
                  </w:r>
                </w:p>
              </w:tc>
              <w:tc>
                <w:tcPr>
                  <w:tcW w:w="893"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AK0</w:t>
                  </w:r>
                </w:p>
              </w:tc>
              <w:tc>
                <w:tcPr>
                  <w:tcW w:w="1928" w:type="pct"/>
                  <w:noWrap w:val="0"/>
                  <w:vAlign w:val="center"/>
                </w:tcPr>
                <w:p>
                  <w:pPr>
                    <w:pStyle w:val="32"/>
                    <w:bidi w:val="0"/>
                    <w:jc w:val="center"/>
                    <w:rPr>
                      <w:rFonts w:hint="default"/>
                      <w:color w:val="auto"/>
                      <w:highlight w:val="none"/>
                      <w:lang w:val="en-US" w:eastAsia="zh-CN"/>
                    </w:rPr>
                  </w:pPr>
                  <w:r>
                    <w:rPr>
                      <w:rFonts w:hint="eastAsia" w:ascii="Times New Roman" w:hAnsi="Times New Roman" w:eastAsia="宋体" w:cs="Times New Roman"/>
                      <w:color w:val="auto"/>
                      <w:highlight w:val="none"/>
                      <w:lang w:val="en-US" w:eastAsia="zh-CN"/>
                    </w:rPr>
                    <w:t>E</w:t>
                  </w:r>
                  <w:r>
                    <w:rPr>
                      <w:rFonts w:hint="default" w:ascii="Times New Roman" w:hAnsi="Times New Roman" w:eastAsia="宋体" w:cs="Times New Roman"/>
                      <w:color w:val="auto"/>
                      <w:highlight w:val="none"/>
                      <w:lang w:val="en-US" w:eastAsia="zh-CN"/>
                    </w:rPr>
                    <w:t>118°57′</w:t>
                  </w:r>
                  <w:r>
                    <w:rPr>
                      <w:rFonts w:hint="eastAsia" w:ascii="Times New Roman" w:hAnsi="Times New Roman" w:eastAsia="宋体" w:cs="Times New Roman"/>
                      <w:color w:val="auto"/>
                      <w:highlight w:val="none"/>
                      <w:lang w:val="en-US" w:eastAsia="zh-CN"/>
                    </w:rPr>
                    <w:t>51.919</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N</w:t>
                  </w:r>
                  <w:r>
                    <w:rPr>
                      <w:rFonts w:hint="default" w:ascii="Times New Roman" w:hAnsi="Times New Roman" w:eastAsia="宋体" w:cs="Times New Roman"/>
                      <w:color w:val="auto"/>
                      <w:highlight w:val="none"/>
                      <w:lang w:val="en-US" w:eastAsia="zh-CN"/>
                    </w:rPr>
                    <w:t>39°16′3</w:t>
                  </w:r>
                  <w:r>
                    <w:rPr>
                      <w:rFonts w:hint="eastAsia" w:ascii="Times New Roman" w:hAnsi="Times New Roman" w:eastAsia="宋体" w:cs="Times New Roman"/>
                      <w:color w:val="auto"/>
                      <w:highlight w:val="none"/>
                      <w:lang w:val="en-US" w:eastAsia="zh-CN"/>
                    </w:rPr>
                    <w:t>4.718</w:t>
                  </w:r>
                  <w:r>
                    <w:rPr>
                      <w:rFonts w:hint="default" w:ascii="Times New Roman" w:hAnsi="Times New Roman" w:eastAsia="宋体" w:cs="Times New Roman"/>
                      <w:color w:val="auto"/>
                      <w:highlight w:val="none"/>
                      <w:lang w:val="en-US" w:eastAsia="zh-CN"/>
                    </w:rPr>
                    <w:t>″</w:t>
                  </w:r>
                </w:p>
              </w:tc>
              <w:tc>
                <w:tcPr>
                  <w:tcW w:w="1049" w:type="pct"/>
                  <w:vMerge w:val="continue"/>
                  <w:noWrap w:val="0"/>
                  <w:vAlign w:val="center"/>
                </w:tcPr>
                <w:p>
                  <w:pPr>
                    <w:pStyle w:val="32"/>
                    <w:bidi w:val="0"/>
                    <w:jc w:val="center"/>
                    <w:rPr>
                      <w:rFonts w:hint="default"/>
                      <w:color w:val="auto"/>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86" w:type="pct"/>
                  <w:vMerge w:val="continue"/>
                  <w:noWrap w:val="0"/>
                  <w:vAlign w:val="center"/>
                </w:tcPr>
                <w:p>
                  <w:pPr>
                    <w:pStyle w:val="32"/>
                    <w:bidi w:val="0"/>
                    <w:jc w:val="center"/>
                    <w:rPr>
                      <w:rFonts w:hint="default"/>
                      <w:color w:val="auto"/>
                      <w:highlight w:val="none"/>
                      <w:lang w:val="en-US" w:eastAsia="zh-CN"/>
                    </w:rPr>
                  </w:pPr>
                </w:p>
              </w:tc>
              <w:tc>
                <w:tcPr>
                  <w:tcW w:w="442" w:type="pct"/>
                  <w:noWrap w:val="0"/>
                  <w:vAlign w:val="center"/>
                </w:tcPr>
                <w:p>
                  <w:pPr>
                    <w:pStyle w:val="32"/>
                    <w:bidi w:val="0"/>
                    <w:ind w:firstLine="0" w:firstLineChars="0"/>
                    <w:jc w:val="center"/>
                    <w:rPr>
                      <w:rFonts w:hint="default"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终点</w:t>
                  </w:r>
                </w:p>
              </w:tc>
              <w:tc>
                <w:tcPr>
                  <w:tcW w:w="893"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AK1+183.393</w:t>
                  </w:r>
                </w:p>
              </w:tc>
              <w:tc>
                <w:tcPr>
                  <w:tcW w:w="1928" w:type="pct"/>
                  <w:noWrap w:val="0"/>
                  <w:vAlign w:val="center"/>
                </w:tcPr>
                <w:p>
                  <w:pPr>
                    <w:pStyle w:val="32"/>
                    <w:bidi w:val="0"/>
                    <w:jc w:val="center"/>
                    <w:rPr>
                      <w:rFonts w:hint="default"/>
                      <w:color w:val="auto"/>
                      <w:highlight w:val="none"/>
                      <w:lang w:val="en-US" w:eastAsia="zh-CN"/>
                    </w:rPr>
                  </w:pPr>
                  <w:r>
                    <w:rPr>
                      <w:rFonts w:hint="eastAsia" w:ascii="Times New Roman" w:hAnsi="Times New Roman" w:eastAsia="宋体" w:cs="Times New Roman"/>
                      <w:color w:val="auto"/>
                      <w:highlight w:val="none"/>
                      <w:lang w:val="en-US" w:eastAsia="zh-CN"/>
                    </w:rPr>
                    <w:t>E</w:t>
                  </w:r>
                  <w:r>
                    <w:rPr>
                      <w:rFonts w:hint="default" w:ascii="Times New Roman" w:hAnsi="Times New Roman" w:eastAsia="宋体" w:cs="Times New Roman"/>
                      <w:color w:val="auto"/>
                      <w:highlight w:val="none"/>
                      <w:lang w:val="en-US" w:eastAsia="zh-CN"/>
                    </w:rPr>
                    <w:t>118°58′</w:t>
                  </w:r>
                  <w:r>
                    <w:rPr>
                      <w:rFonts w:hint="eastAsia" w:ascii="Times New Roman" w:hAnsi="Times New Roman" w:eastAsia="宋体" w:cs="Times New Roman"/>
                      <w:color w:val="auto"/>
                      <w:highlight w:val="none"/>
                      <w:lang w:val="en-US" w:eastAsia="zh-CN"/>
                    </w:rPr>
                    <w:t>37.247</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N</w:t>
                  </w:r>
                  <w:r>
                    <w:rPr>
                      <w:rFonts w:hint="default" w:ascii="Times New Roman" w:hAnsi="Times New Roman" w:eastAsia="宋体" w:cs="Times New Roman"/>
                      <w:color w:val="auto"/>
                      <w:highlight w:val="none"/>
                      <w:lang w:val="en-US" w:eastAsia="zh-CN"/>
                    </w:rPr>
                    <w:t>39°16′1</w:t>
                  </w:r>
                  <w:r>
                    <w:rPr>
                      <w:rFonts w:hint="eastAsia" w:ascii="Times New Roman" w:hAnsi="Times New Roman" w:eastAsia="宋体" w:cs="Times New Roman"/>
                      <w:color w:val="auto"/>
                      <w:highlight w:val="none"/>
                      <w:lang w:val="en-US" w:eastAsia="zh-CN"/>
                    </w:rPr>
                    <w:t>9.590</w:t>
                  </w:r>
                  <w:r>
                    <w:rPr>
                      <w:rFonts w:hint="default" w:ascii="Times New Roman" w:hAnsi="Times New Roman" w:eastAsia="宋体" w:cs="Times New Roman"/>
                      <w:color w:val="auto"/>
                      <w:highlight w:val="none"/>
                      <w:lang w:val="en-US" w:eastAsia="zh-CN"/>
                    </w:rPr>
                    <w:t>″</w:t>
                  </w:r>
                </w:p>
              </w:tc>
              <w:tc>
                <w:tcPr>
                  <w:tcW w:w="1049" w:type="pct"/>
                  <w:vMerge w:val="continue"/>
                  <w:noWrap w:val="0"/>
                  <w:vAlign w:val="center"/>
                </w:tcPr>
                <w:p>
                  <w:pPr>
                    <w:pStyle w:val="32"/>
                    <w:bidi w:val="0"/>
                    <w:jc w:val="center"/>
                    <w:rPr>
                      <w:rFonts w:hint="default"/>
                      <w:color w:val="auto"/>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86" w:type="pct"/>
                  <w:vMerge w:val="restar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辅道B</w:t>
                  </w:r>
                </w:p>
              </w:tc>
              <w:tc>
                <w:tcPr>
                  <w:tcW w:w="442" w:type="pct"/>
                  <w:noWrap w:val="0"/>
                  <w:vAlign w:val="center"/>
                </w:tcPr>
                <w:p>
                  <w:pPr>
                    <w:pStyle w:val="32"/>
                    <w:bidi w:val="0"/>
                    <w:ind w:firstLine="0" w:firstLineChars="0"/>
                    <w:jc w:val="center"/>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起点</w:t>
                  </w:r>
                </w:p>
              </w:tc>
              <w:tc>
                <w:tcPr>
                  <w:tcW w:w="893"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BK0</w:t>
                  </w:r>
                </w:p>
              </w:tc>
              <w:tc>
                <w:tcPr>
                  <w:tcW w:w="1928" w:type="pct"/>
                  <w:noWrap w:val="0"/>
                  <w:vAlign w:val="center"/>
                </w:tcPr>
                <w:p>
                  <w:pPr>
                    <w:pStyle w:val="32"/>
                    <w:bidi w:val="0"/>
                    <w:jc w:val="center"/>
                    <w:rPr>
                      <w:rFonts w:hint="default"/>
                      <w:color w:val="auto"/>
                      <w:highlight w:val="none"/>
                      <w:lang w:val="en-US" w:eastAsia="zh-CN"/>
                    </w:rPr>
                  </w:pPr>
                  <w:r>
                    <w:rPr>
                      <w:rFonts w:hint="eastAsia" w:ascii="Times New Roman" w:hAnsi="Times New Roman" w:eastAsia="宋体" w:cs="Times New Roman"/>
                      <w:color w:val="auto"/>
                      <w:highlight w:val="none"/>
                      <w:lang w:val="en-US" w:eastAsia="zh-CN"/>
                    </w:rPr>
                    <w:t>E</w:t>
                  </w:r>
                  <w:r>
                    <w:rPr>
                      <w:rFonts w:hint="default" w:ascii="Times New Roman" w:hAnsi="Times New Roman" w:eastAsia="宋体" w:cs="Times New Roman"/>
                      <w:color w:val="auto"/>
                      <w:highlight w:val="none"/>
                      <w:lang w:val="en-US" w:eastAsia="zh-CN"/>
                    </w:rPr>
                    <w:t>118°5</w:t>
                  </w:r>
                  <w:r>
                    <w:rPr>
                      <w:rFonts w:hint="eastAsia" w:ascii="Times New Roman" w:hAnsi="Times New Roman" w:eastAsia="宋体" w:cs="Times New Roman"/>
                      <w:color w:val="auto"/>
                      <w:highlight w:val="none"/>
                      <w:lang w:val="en-US" w:eastAsia="zh-CN"/>
                    </w:rPr>
                    <w:t>7</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51.334</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N</w:t>
                  </w:r>
                  <w:r>
                    <w:rPr>
                      <w:rFonts w:hint="default" w:ascii="Times New Roman" w:hAnsi="Times New Roman" w:eastAsia="宋体" w:cs="Times New Roman"/>
                      <w:color w:val="auto"/>
                      <w:highlight w:val="none"/>
                      <w:lang w:val="en-US" w:eastAsia="zh-CN"/>
                    </w:rPr>
                    <w:t>39°16′</w:t>
                  </w:r>
                  <w:r>
                    <w:rPr>
                      <w:rFonts w:hint="eastAsia" w:ascii="Times New Roman" w:hAnsi="Times New Roman" w:eastAsia="宋体" w:cs="Times New Roman"/>
                      <w:color w:val="auto"/>
                      <w:highlight w:val="none"/>
                      <w:lang w:val="en-US" w:eastAsia="zh-CN"/>
                    </w:rPr>
                    <w:t>35.577</w:t>
                  </w:r>
                  <w:r>
                    <w:rPr>
                      <w:rFonts w:hint="default" w:ascii="Times New Roman" w:hAnsi="Times New Roman" w:eastAsia="宋体" w:cs="Times New Roman"/>
                      <w:color w:val="auto"/>
                      <w:highlight w:val="none"/>
                      <w:lang w:val="en-US" w:eastAsia="zh-CN"/>
                    </w:rPr>
                    <w:t>″</w:t>
                  </w:r>
                </w:p>
              </w:tc>
              <w:tc>
                <w:tcPr>
                  <w:tcW w:w="1049" w:type="pct"/>
                  <w:vMerge w:val="continue"/>
                  <w:noWrap w:val="0"/>
                  <w:vAlign w:val="center"/>
                </w:tcPr>
                <w:p>
                  <w:pPr>
                    <w:pStyle w:val="32"/>
                    <w:bidi w:val="0"/>
                    <w:jc w:val="center"/>
                    <w:rPr>
                      <w:rFonts w:hint="default"/>
                      <w:color w:val="auto"/>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86" w:type="pct"/>
                  <w:vMerge w:val="continue"/>
                  <w:noWrap w:val="0"/>
                  <w:vAlign w:val="center"/>
                </w:tcPr>
                <w:p>
                  <w:pPr>
                    <w:pStyle w:val="32"/>
                    <w:bidi w:val="0"/>
                    <w:jc w:val="center"/>
                    <w:rPr>
                      <w:rFonts w:hint="eastAsia"/>
                      <w:color w:val="auto"/>
                      <w:highlight w:val="none"/>
                      <w:lang w:val="en-US" w:eastAsia="zh-CN"/>
                    </w:rPr>
                  </w:pPr>
                </w:p>
              </w:tc>
              <w:tc>
                <w:tcPr>
                  <w:tcW w:w="442" w:type="pct"/>
                  <w:noWrap w:val="0"/>
                  <w:vAlign w:val="center"/>
                </w:tcPr>
                <w:p>
                  <w:pPr>
                    <w:pStyle w:val="32"/>
                    <w:bidi w:val="0"/>
                    <w:ind w:firstLine="0" w:firstLineChars="0"/>
                    <w:jc w:val="center"/>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终点</w:t>
                  </w:r>
                </w:p>
              </w:tc>
              <w:tc>
                <w:tcPr>
                  <w:tcW w:w="893"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BK1+161.688</w:t>
                  </w:r>
                </w:p>
              </w:tc>
              <w:tc>
                <w:tcPr>
                  <w:tcW w:w="1928" w:type="pct"/>
                  <w:noWrap w:val="0"/>
                  <w:vAlign w:val="center"/>
                </w:tcPr>
                <w:p>
                  <w:pPr>
                    <w:pStyle w:val="32"/>
                    <w:bidi w:val="0"/>
                    <w:jc w:val="center"/>
                    <w:rPr>
                      <w:rFonts w:hint="default"/>
                      <w:color w:val="auto"/>
                      <w:highlight w:val="none"/>
                      <w:lang w:val="en-US" w:eastAsia="zh-CN"/>
                    </w:rPr>
                  </w:pPr>
                  <w:r>
                    <w:rPr>
                      <w:rFonts w:hint="eastAsia" w:ascii="Times New Roman" w:hAnsi="Times New Roman" w:eastAsia="宋体" w:cs="Times New Roman"/>
                      <w:color w:val="auto"/>
                      <w:highlight w:val="none"/>
                      <w:lang w:val="en-US" w:eastAsia="zh-CN"/>
                    </w:rPr>
                    <w:t>E</w:t>
                  </w:r>
                  <w:r>
                    <w:rPr>
                      <w:rFonts w:hint="default" w:ascii="Times New Roman" w:hAnsi="Times New Roman" w:eastAsia="宋体" w:cs="Times New Roman"/>
                      <w:color w:val="auto"/>
                      <w:highlight w:val="none"/>
                      <w:lang w:val="en-US" w:eastAsia="zh-CN"/>
                    </w:rPr>
                    <w:t>118°5</w:t>
                  </w:r>
                  <w:r>
                    <w:rPr>
                      <w:rFonts w:hint="eastAsia" w:ascii="Times New Roman" w:hAnsi="Times New Roman" w:eastAsia="宋体" w:cs="Times New Roman"/>
                      <w:color w:val="auto"/>
                      <w:highlight w:val="none"/>
                      <w:lang w:val="en-US" w:eastAsia="zh-CN"/>
                    </w:rPr>
                    <w:t>8</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36.045</w:t>
                  </w:r>
                  <w:r>
                    <w:rPr>
                      <w:rFonts w:hint="default" w:ascii="Times New Roman" w:hAnsi="Times New Roman" w:eastAsia="宋体" w:cs="Times New Roman"/>
                      <w:color w:val="auto"/>
                      <w:highlight w:val="none"/>
                      <w:lang w:val="en-US" w:eastAsia="zh-CN"/>
                    </w:rPr>
                    <w:t>″，</w:t>
                  </w:r>
                  <w:r>
                    <w:rPr>
                      <w:rFonts w:hint="eastAsia" w:ascii="Times New Roman" w:hAnsi="Times New Roman" w:eastAsia="宋体" w:cs="Times New Roman"/>
                      <w:color w:val="auto"/>
                      <w:highlight w:val="none"/>
                      <w:lang w:val="en-US" w:eastAsia="zh-CN"/>
                    </w:rPr>
                    <w:t>N</w:t>
                  </w:r>
                  <w:r>
                    <w:rPr>
                      <w:rFonts w:hint="default" w:ascii="Times New Roman" w:hAnsi="Times New Roman" w:eastAsia="宋体" w:cs="Times New Roman"/>
                      <w:color w:val="auto"/>
                      <w:highlight w:val="none"/>
                      <w:lang w:val="en-US" w:eastAsia="zh-CN"/>
                    </w:rPr>
                    <w:t>39°16′</w:t>
                  </w:r>
                  <w:r>
                    <w:rPr>
                      <w:rFonts w:hint="eastAsia" w:ascii="Times New Roman" w:hAnsi="Times New Roman" w:eastAsia="宋体" w:cs="Times New Roman"/>
                      <w:color w:val="auto"/>
                      <w:highlight w:val="none"/>
                      <w:lang w:val="en-US" w:eastAsia="zh-CN"/>
                    </w:rPr>
                    <w:t>20.859</w:t>
                  </w:r>
                  <w:r>
                    <w:rPr>
                      <w:rFonts w:hint="default" w:ascii="Times New Roman" w:hAnsi="Times New Roman" w:eastAsia="宋体" w:cs="Times New Roman"/>
                      <w:color w:val="auto"/>
                      <w:highlight w:val="none"/>
                      <w:lang w:val="en-US" w:eastAsia="zh-CN"/>
                    </w:rPr>
                    <w:t>″</w:t>
                  </w:r>
                </w:p>
              </w:tc>
              <w:tc>
                <w:tcPr>
                  <w:tcW w:w="1049" w:type="pct"/>
                  <w:vMerge w:val="continue"/>
                  <w:noWrap w:val="0"/>
                  <w:vAlign w:val="center"/>
                </w:tcPr>
                <w:p>
                  <w:pPr>
                    <w:pStyle w:val="32"/>
                    <w:bidi w:val="0"/>
                    <w:jc w:val="center"/>
                    <w:rPr>
                      <w:rFonts w:hint="default"/>
                      <w:color w:val="auto"/>
                      <w:highlight w:val="none"/>
                      <w:lang w:val="en-US" w:eastAsia="zh-CN"/>
                    </w:rPr>
                  </w:pPr>
                </w:p>
              </w:tc>
            </w:tr>
          </w:tbl>
          <w:p>
            <w:pPr>
              <w:pStyle w:val="33"/>
              <w:bidi w:val="0"/>
              <w:rPr>
                <w:color w:val="auto"/>
                <w:kern w:val="0"/>
                <w:szCs w:val="21"/>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174" w:hRule="atLeast"/>
          <w:jc w:val="center"/>
        </w:trPr>
        <w:tc>
          <w:tcPr>
            <w:tcW w:w="233" w:type="pct"/>
            <w:noWrap w:val="0"/>
            <w:vAlign w:val="center"/>
          </w:tcPr>
          <w:p>
            <w:pPr>
              <w:keepNext w:val="0"/>
              <w:keepLines w:val="0"/>
              <w:pageBreakBefore w:val="0"/>
              <w:widowControl w:val="0"/>
              <w:kinsoku/>
              <w:wordWrap/>
              <w:overflowPunct/>
              <w:topLinePunct w:val="0"/>
              <w:bidi w:val="0"/>
              <w:adjustRightInd w:val="0"/>
              <w:snapToGrid w:val="0"/>
              <w:spacing w:line="300" w:lineRule="exact"/>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项目组成及规模</w:t>
            </w:r>
          </w:p>
        </w:tc>
        <w:tc>
          <w:tcPr>
            <w:tcW w:w="4766" w:type="pct"/>
            <w:noWrap w:val="0"/>
            <w:vAlign w:val="center"/>
          </w:tcPr>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b/>
                <w:bCs/>
                <w:color w:val="auto"/>
                <w:highlight w:val="none"/>
              </w:rPr>
            </w:pPr>
            <w:r>
              <w:rPr>
                <w:b/>
                <w:bCs/>
                <w:color w:val="auto"/>
                <w:highlight w:val="none"/>
              </w:rPr>
              <w:t>项目由来</w:t>
            </w:r>
          </w:p>
          <w:p>
            <w:pPr>
              <w:pStyle w:val="33"/>
              <w:bidi w:val="0"/>
              <w:rPr>
                <w:rFonts w:hint="eastAsia"/>
                <w:color w:val="auto"/>
                <w:highlight w:val="none"/>
              </w:rPr>
            </w:pPr>
            <w:r>
              <w:rPr>
                <w:rFonts w:hint="eastAsia"/>
                <w:color w:val="auto"/>
                <w:highlight w:val="none"/>
              </w:rPr>
              <w:t>国道G509京唐港至通州公路和国道G228丹东至东兴公路于区内交汇，是唐山海港经济开发区对外联系的两条重要普通干线公路，交通量较大，两条路均为双向四车道一级公路标准，现状为平面交叉型式，现有交叉口已不能满足安全、快速通行的需要，局部时段交通拥堵非常严重，对沿线地区的经济发展和交通出行造成了严重影响，改造国道G509与国道G228交叉口，提高交叉口通行能力，实现公路与城市道路的快速衔接，提高区域路网的服务水平已势在必行。</w:t>
            </w:r>
          </w:p>
          <w:p>
            <w:pPr>
              <w:pStyle w:val="33"/>
              <w:bidi w:val="0"/>
              <w:rPr>
                <w:rFonts w:hint="default"/>
                <w:color w:val="auto"/>
                <w:highlight w:val="none"/>
                <w:lang w:val="en-US"/>
              </w:rPr>
            </w:pPr>
            <w:r>
              <w:rPr>
                <w:rFonts w:hint="eastAsia"/>
                <w:color w:val="auto"/>
                <w:highlight w:val="none"/>
                <w:lang w:eastAsia="zh-CN"/>
              </w:rPr>
              <w:t>唐山海港经济开发区交通运输局拟投资</w:t>
            </w:r>
            <w:r>
              <w:rPr>
                <w:rFonts w:hint="eastAsia"/>
                <w:color w:val="auto"/>
                <w:highlight w:val="none"/>
                <w:lang w:val="en-US" w:eastAsia="zh-CN"/>
              </w:rPr>
              <w:t>14748.8万元建设“乐港路跨沿海公路立交桥项目”，本项目可行性研究报告已取得唐山海港经济开发区行政审批局出具的“关于乐港路跨沿海公路立交桥项目可行性研究报告的批复”（文号：海审批投资〔2023〕90号）。</w:t>
            </w:r>
          </w:p>
          <w:p>
            <w:pPr>
              <w:pStyle w:val="33"/>
              <w:bidi w:val="0"/>
              <w:rPr>
                <w:color w:val="auto"/>
                <w:highlight w:val="none"/>
              </w:rPr>
            </w:pPr>
            <w:r>
              <w:rPr>
                <w:color w:val="auto"/>
                <w:highlight w:val="none"/>
              </w:rPr>
              <w:t>根据《中华人民共和国环境影响评价法》、《建设项目环境保护管理条例》（国务院第682号令）、《建设项目环境影响评价分类管理名录（2021年版）》的有关规定，</w:t>
            </w:r>
            <w:r>
              <w:rPr>
                <w:rFonts w:hint="eastAsia"/>
                <w:color w:val="auto"/>
                <w:highlight w:val="none"/>
                <w:lang w:eastAsia="zh-CN"/>
              </w:rPr>
              <w:t>本</w:t>
            </w:r>
            <w:r>
              <w:rPr>
                <w:color w:val="auto"/>
                <w:highlight w:val="none"/>
              </w:rPr>
              <w:t>项目属于《建设项目环境影响评价分类管理名录（2021年版）》中</w:t>
            </w:r>
            <w:r>
              <w:rPr>
                <w:rFonts w:hint="eastAsia" w:cs="Times New Roman"/>
                <w:color w:val="auto"/>
                <w:highlight w:val="none"/>
                <w:lang w:eastAsia="zh-CN"/>
              </w:rPr>
              <w:t>“</w:t>
            </w:r>
            <w:r>
              <w:rPr>
                <w:color w:val="auto"/>
                <w:highlight w:val="none"/>
              </w:rPr>
              <w:t>五十二、交通运输业、管道运输业</w:t>
            </w:r>
            <w:r>
              <w:rPr>
                <w:rFonts w:hint="default" w:ascii="Times New Roman" w:hAnsi="Times New Roman" w:cs="Times New Roman"/>
                <w:color w:val="auto"/>
                <w:highlight w:val="none"/>
                <w:lang w:eastAsia="zh-CN"/>
              </w:rPr>
              <w:t>——13</w:t>
            </w:r>
            <w:r>
              <w:rPr>
                <w:rFonts w:hint="default" w:ascii="Times New Roman" w:hAnsi="Times New Roman" w:cs="Times New Roman"/>
                <w:color w:val="auto"/>
                <w:highlight w:val="none"/>
                <w:lang w:val="en-US" w:eastAsia="zh-CN"/>
              </w:rPr>
              <w:t>0</w:t>
            </w:r>
            <w:r>
              <w:rPr>
                <w:rFonts w:hint="default" w:ascii="Times New Roman" w:hAnsi="Times New Roman" w:cs="Times New Roman"/>
                <w:color w:val="auto"/>
                <w:highlight w:val="none"/>
                <w:lang w:eastAsia="zh-CN"/>
              </w:rPr>
              <w:t>、等级公路（不含维护；不含生命救援、应急保通工程以及国防交通保障项目；不含改扩建四级公路）——其他</w:t>
            </w:r>
            <w:r>
              <w:rPr>
                <w:rFonts w:hint="eastAsia" w:cs="Times New Roman"/>
                <w:color w:val="auto"/>
                <w:highlight w:val="none"/>
                <w:lang w:eastAsia="zh-CN"/>
              </w:rPr>
              <w:t>”</w:t>
            </w:r>
            <w:r>
              <w:rPr>
                <w:color w:val="auto"/>
                <w:highlight w:val="none"/>
              </w:rPr>
              <w:t>，应编制环境影响报告表。</w:t>
            </w:r>
            <w:r>
              <w:rPr>
                <w:rFonts w:hint="eastAsia"/>
                <w:color w:val="auto"/>
                <w:highlight w:val="none"/>
                <w:lang w:eastAsia="zh-CN"/>
              </w:rPr>
              <w:t>唐山海港经济开发区交通运输局委托</w:t>
            </w:r>
            <w:r>
              <w:rPr>
                <w:color w:val="auto"/>
                <w:highlight w:val="none"/>
              </w:rPr>
              <w:t>我单位承担该项目的环境影响报告表的编制工作，接受委托后，我单位立即开展了现场踏勘资料收集等工作，并按照编制完成了本项目环境影响报告表。</w:t>
            </w:r>
          </w:p>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ascii="Times New Roman" w:hAnsi="Times New Roman" w:eastAsia="宋体" w:cs="Times New Roman"/>
                <w:b/>
                <w:bCs/>
                <w:color w:val="auto"/>
                <w:highlight w:val="none"/>
              </w:rPr>
            </w:pPr>
            <w:r>
              <w:rPr>
                <w:rFonts w:ascii="Times New Roman" w:hAnsi="Times New Roman" w:eastAsia="宋体" w:cs="Times New Roman"/>
                <w:b/>
                <w:bCs/>
                <w:color w:val="auto"/>
                <w:highlight w:val="none"/>
              </w:rPr>
              <w:t>项目概况</w:t>
            </w:r>
          </w:p>
          <w:p>
            <w:pPr>
              <w:pStyle w:val="33"/>
              <w:bidi w:val="0"/>
              <w:rPr>
                <w:color w:val="auto"/>
                <w:highlight w:val="none"/>
              </w:rPr>
            </w:pPr>
            <w:bookmarkStart w:id="5" w:name="OLE_LINK34"/>
            <w:bookmarkStart w:id="6" w:name="OLE_LINK35"/>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w:t>
            </w:r>
            <w:r>
              <w:rPr>
                <w:color w:val="auto"/>
                <w:highlight w:val="none"/>
              </w:rPr>
              <w:t>项目名称：</w:t>
            </w:r>
            <w:r>
              <w:rPr>
                <w:rFonts w:hint="eastAsia"/>
                <w:color w:val="auto"/>
                <w:highlight w:val="none"/>
                <w:lang w:val="en-US" w:eastAsia="zh-CN"/>
              </w:rPr>
              <w:t>乐港路跨沿海公路立交桥项目</w:t>
            </w:r>
          </w:p>
          <w:p>
            <w:pPr>
              <w:pStyle w:val="33"/>
              <w:bidi w:val="0"/>
              <w:rPr>
                <w:rFonts w:hint="eastAsia" w:eastAsia="宋体"/>
                <w:color w:val="auto"/>
                <w:highlight w:val="none"/>
                <w:lang w:eastAsia="zh-CN"/>
              </w:rPr>
            </w:pPr>
            <w:r>
              <w:rPr>
                <w:rFonts w:hint="eastAsia"/>
                <w:color w:val="auto"/>
                <w:highlight w:val="none"/>
                <w:lang w:eastAsia="zh-CN"/>
              </w:rPr>
              <w:t>（</w:t>
            </w:r>
            <w:r>
              <w:rPr>
                <w:rFonts w:hint="eastAsia"/>
                <w:color w:val="auto"/>
                <w:highlight w:val="none"/>
                <w:lang w:val="en-US" w:eastAsia="zh-CN"/>
              </w:rPr>
              <w:t>2</w:t>
            </w:r>
            <w:r>
              <w:rPr>
                <w:rFonts w:hint="eastAsia"/>
                <w:color w:val="auto"/>
                <w:highlight w:val="none"/>
                <w:lang w:eastAsia="zh-CN"/>
              </w:rPr>
              <w:t>）</w:t>
            </w:r>
            <w:r>
              <w:rPr>
                <w:color w:val="auto"/>
                <w:highlight w:val="none"/>
              </w:rPr>
              <w:t>建设性质：</w:t>
            </w:r>
            <w:r>
              <w:rPr>
                <w:rFonts w:hint="eastAsia"/>
                <w:color w:val="auto"/>
                <w:highlight w:val="none"/>
                <w:lang w:eastAsia="zh-CN"/>
              </w:rPr>
              <w:t>新建</w:t>
            </w:r>
          </w:p>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3</w:t>
            </w:r>
            <w:r>
              <w:rPr>
                <w:rFonts w:hint="eastAsia"/>
                <w:color w:val="auto"/>
                <w:highlight w:val="none"/>
                <w:lang w:eastAsia="zh-CN"/>
              </w:rPr>
              <w:t>）</w:t>
            </w:r>
            <w:r>
              <w:rPr>
                <w:color w:val="auto"/>
                <w:highlight w:val="none"/>
              </w:rPr>
              <w:t>建设单位：</w:t>
            </w:r>
            <w:r>
              <w:rPr>
                <w:rFonts w:hint="eastAsia"/>
                <w:color w:val="auto"/>
                <w:highlight w:val="none"/>
                <w:lang w:eastAsia="zh-CN"/>
              </w:rPr>
              <w:t>唐山海港经济开发区交通运输局</w:t>
            </w:r>
          </w:p>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4</w:t>
            </w:r>
            <w:r>
              <w:rPr>
                <w:rFonts w:hint="eastAsia"/>
                <w:color w:val="auto"/>
                <w:highlight w:val="none"/>
                <w:lang w:eastAsia="zh-CN"/>
              </w:rPr>
              <w:t>）</w:t>
            </w:r>
            <w:r>
              <w:rPr>
                <w:color w:val="auto"/>
                <w:highlight w:val="none"/>
              </w:rPr>
              <w:t>建设地点：</w:t>
            </w:r>
            <w:r>
              <w:rPr>
                <w:rFonts w:hint="eastAsia"/>
                <w:color w:val="auto"/>
                <w:highlight w:val="none"/>
                <w:lang w:eastAsia="zh-CN"/>
              </w:rPr>
              <w:t>唐山市海港经济开发区北部</w:t>
            </w:r>
            <w:r>
              <w:rPr>
                <w:rFonts w:hint="eastAsia"/>
                <w:color w:val="auto"/>
                <w:highlight w:val="none"/>
                <w:lang w:val="en-US" w:eastAsia="zh-CN"/>
              </w:rPr>
              <w:t>G509（乐港路）与G228（沿海公路）交叉口</w:t>
            </w:r>
            <w:r>
              <w:rPr>
                <w:color w:val="auto"/>
                <w:highlight w:val="none"/>
              </w:rPr>
              <w:t>，</w:t>
            </w:r>
            <w:r>
              <w:rPr>
                <w:rFonts w:hint="eastAsia"/>
                <w:color w:val="auto"/>
                <w:highlight w:val="none"/>
                <w:lang w:eastAsia="zh-CN"/>
              </w:rPr>
              <w:t>项目起、终点均位于现状国道 G509（乐港路）</w:t>
            </w:r>
            <w:r>
              <w:rPr>
                <w:color w:val="auto"/>
                <w:highlight w:val="none"/>
              </w:rPr>
              <w:t>。</w:t>
            </w:r>
          </w:p>
          <w:p>
            <w:pPr>
              <w:pStyle w:val="33"/>
              <w:bidi w:val="0"/>
              <w:rPr>
                <w:rFonts w:hint="default"/>
                <w:color w:val="auto"/>
                <w:highlight w:val="none"/>
                <w:lang w:val="en-US" w:eastAsia="zh-CN"/>
              </w:rPr>
            </w:pPr>
            <w:r>
              <w:rPr>
                <w:rFonts w:hint="eastAsia"/>
                <w:color w:val="auto"/>
                <w:highlight w:val="none"/>
                <w:lang w:eastAsia="zh-CN"/>
              </w:rPr>
              <w:t>（</w:t>
            </w:r>
            <w:r>
              <w:rPr>
                <w:rFonts w:hint="eastAsia"/>
                <w:color w:val="auto"/>
                <w:highlight w:val="none"/>
                <w:lang w:val="en-US" w:eastAsia="zh-CN"/>
              </w:rPr>
              <w:t>5</w:t>
            </w:r>
            <w:r>
              <w:rPr>
                <w:rFonts w:hint="eastAsia"/>
                <w:color w:val="auto"/>
                <w:highlight w:val="none"/>
                <w:lang w:eastAsia="zh-CN"/>
              </w:rPr>
              <w:t>）建设内容：本项目主线里程为</w:t>
            </w:r>
            <w:r>
              <w:rPr>
                <w:rFonts w:hint="eastAsia"/>
                <w:color w:val="auto"/>
                <w:highlight w:val="none"/>
                <w:lang w:val="en-US" w:eastAsia="zh-CN"/>
              </w:rPr>
              <w:t>1.72km，辅道设计里程为2.2km。共设置分离式立交桥一座长526.0m，涵洞1道。主线新建段道路走向为南北向，路线总长度1.72km。在K1+612.975处于国道G228（沿海公路）交叉，设置分离式立交桥一座跨越国道G228（沿海公路），桥梁两侧设置辅道，辅道长度约为2.2km。</w:t>
            </w:r>
          </w:p>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6</w:t>
            </w:r>
            <w:r>
              <w:rPr>
                <w:rFonts w:hint="eastAsia"/>
                <w:color w:val="auto"/>
                <w:highlight w:val="none"/>
                <w:lang w:eastAsia="zh-CN"/>
              </w:rPr>
              <w:t>）</w:t>
            </w:r>
            <w:r>
              <w:rPr>
                <w:color w:val="auto"/>
                <w:highlight w:val="none"/>
              </w:rPr>
              <w:t>工程投资：总投资约</w:t>
            </w:r>
            <w:r>
              <w:rPr>
                <w:rFonts w:hint="eastAsia"/>
                <w:color w:val="auto"/>
                <w:highlight w:val="none"/>
                <w:lang w:val="en-US" w:eastAsia="zh-CN"/>
              </w:rPr>
              <w:t>14748.8</w:t>
            </w:r>
            <w:r>
              <w:rPr>
                <w:color w:val="auto"/>
                <w:highlight w:val="none"/>
              </w:rPr>
              <w:t>万元</w:t>
            </w:r>
            <w:r>
              <w:rPr>
                <w:rFonts w:hint="eastAsia"/>
                <w:color w:val="auto"/>
                <w:highlight w:val="none"/>
                <w:lang w:eastAsia="zh-CN"/>
              </w:rPr>
              <w:t>，其中环保投资</w:t>
            </w:r>
            <w:r>
              <w:rPr>
                <w:rFonts w:hint="eastAsia"/>
                <w:color w:val="auto"/>
                <w:highlight w:val="none"/>
                <w:lang w:val="en-US" w:eastAsia="zh-CN"/>
              </w:rPr>
              <w:t>64万元，占总投资0.43%</w:t>
            </w:r>
            <w:r>
              <w:rPr>
                <w:color w:val="auto"/>
                <w:highlight w:val="none"/>
              </w:rPr>
              <w:t>。</w:t>
            </w:r>
          </w:p>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7</w:t>
            </w:r>
            <w:r>
              <w:rPr>
                <w:rFonts w:hint="eastAsia"/>
                <w:color w:val="auto"/>
                <w:highlight w:val="none"/>
                <w:lang w:eastAsia="zh-CN"/>
              </w:rPr>
              <w:t>）</w:t>
            </w:r>
            <w:r>
              <w:rPr>
                <w:color w:val="auto"/>
                <w:highlight w:val="none"/>
              </w:rPr>
              <w:t>项目组成及规模</w:t>
            </w:r>
          </w:p>
          <w:bookmarkEnd w:id="5"/>
          <w:bookmarkEnd w:id="6"/>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项目组成及规模一览表</w:t>
            </w:r>
          </w:p>
          <w:tbl>
            <w:tblPr>
              <w:tblStyle w:val="2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97"/>
              <w:gridCol w:w="318"/>
              <w:gridCol w:w="689"/>
              <w:gridCol w:w="787"/>
              <w:gridCol w:w="60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blHeader/>
              </w:trPr>
              <w:tc>
                <w:tcPr>
                  <w:tcW w:w="355" w:type="pct"/>
                  <w:tcBorders>
                    <w:tl2br w:val="nil"/>
                    <w:tr2bl w:val="nil"/>
                  </w:tcBorders>
                  <w:noWrap w:val="0"/>
                  <w:vAlign w:val="center"/>
                </w:tcPr>
                <w:p>
                  <w:pPr>
                    <w:pStyle w:val="32"/>
                    <w:bidi w:val="0"/>
                    <w:rPr>
                      <w:color w:val="auto"/>
                      <w:highlight w:val="none"/>
                    </w:rPr>
                  </w:pPr>
                  <w:r>
                    <w:rPr>
                      <w:rFonts w:hint="eastAsia"/>
                      <w:color w:val="auto"/>
                      <w:highlight w:val="none"/>
                    </w:rPr>
                    <w:t xml:space="preserve"> </w:t>
                  </w:r>
                  <w:r>
                    <w:rPr>
                      <w:color w:val="auto"/>
                      <w:highlight w:val="none"/>
                    </w:rPr>
                    <w:t>工程名称</w:t>
                  </w: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项目</w:t>
                  </w:r>
                </w:p>
              </w:tc>
              <w:tc>
                <w:tcPr>
                  <w:tcW w:w="4045" w:type="pct"/>
                  <w:gridSpan w:val="2"/>
                  <w:tcBorders>
                    <w:tl2br w:val="nil"/>
                    <w:tr2bl w:val="nil"/>
                  </w:tcBorders>
                  <w:noWrap w:val="0"/>
                  <w:vAlign w:val="center"/>
                </w:tcPr>
                <w:p>
                  <w:pPr>
                    <w:pStyle w:val="32"/>
                    <w:bidi w:val="0"/>
                    <w:rPr>
                      <w:color w:val="auto"/>
                      <w:highlight w:val="none"/>
                    </w:rPr>
                  </w:pPr>
                  <w:r>
                    <w:rPr>
                      <w:color w:val="auto"/>
                      <w:highlight w:val="none"/>
                    </w:rPr>
                    <w:t>工程概况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87" w:hRule="atLeast"/>
              </w:trPr>
              <w:tc>
                <w:tcPr>
                  <w:tcW w:w="355" w:type="pct"/>
                  <w:vMerge w:val="restart"/>
                  <w:tcBorders>
                    <w:tl2br w:val="nil"/>
                    <w:tr2bl w:val="nil"/>
                  </w:tcBorders>
                  <w:noWrap w:val="0"/>
                  <w:vAlign w:val="center"/>
                </w:tcPr>
                <w:p>
                  <w:pPr>
                    <w:pStyle w:val="32"/>
                    <w:bidi w:val="0"/>
                    <w:rPr>
                      <w:color w:val="auto"/>
                      <w:highlight w:val="none"/>
                    </w:rPr>
                  </w:pPr>
                  <w:r>
                    <w:rPr>
                      <w:color w:val="auto"/>
                      <w:highlight w:val="none"/>
                    </w:rPr>
                    <w:t>主体工程</w:t>
                  </w:r>
                </w:p>
              </w:tc>
              <w:tc>
                <w:tcPr>
                  <w:tcW w:w="599" w:type="pct"/>
                  <w:gridSpan w:val="2"/>
                  <w:vMerge w:val="restart"/>
                  <w:tcBorders>
                    <w:tl2br w:val="nil"/>
                    <w:tr2bl w:val="nil"/>
                  </w:tcBorders>
                  <w:noWrap w:val="0"/>
                  <w:vAlign w:val="center"/>
                </w:tcPr>
                <w:p>
                  <w:pPr>
                    <w:pStyle w:val="32"/>
                    <w:bidi w:val="0"/>
                    <w:rPr>
                      <w:color w:val="auto"/>
                      <w:highlight w:val="none"/>
                    </w:rPr>
                  </w:pPr>
                  <w:r>
                    <w:rPr>
                      <w:rFonts w:hint="eastAsia"/>
                      <w:color w:val="auto"/>
                      <w:highlight w:val="none"/>
                      <w:lang w:eastAsia="zh-CN"/>
                    </w:rPr>
                    <w:t>主线</w:t>
                  </w:r>
                  <w:r>
                    <w:rPr>
                      <w:color w:val="auto"/>
                      <w:highlight w:val="none"/>
                    </w:rPr>
                    <w:t>工程</w:t>
                  </w:r>
                </w:p>
              </w:tc>
              <w:tc>
                <w:tcPr>
                  <w:tcW w:w="4045" w:type="pct"/>
                  <w:gridSpan w:val="2"/>
                  <w:tcBorders>
                    <w:tl2br w:val="nil"/>
                    <w:tr2bl w:val="nil"/>
                  </w:tcBorders>
                  <w:noWrap w:val="0"/>
                  <w:vAlign w:val="center"/>
                </w:tcPr>
                <w:p>
                  <w:pPr>
                    <w:pStyle w:val="32"/>
                    <w:bidi w:val="0"/>
                    <w:jc w:val="left"/>
                    <w:rPr>
                      <w:rFonts w:hint="eastAsia"/>
                      <w:color w:val="auto"/>
                      <w:highlight w:val="none"/>
                      <w:lang w:eastAsia="zh-CN"/>
                    </w:rPr>
                  </w:pPr>
                  <w:r>
                    <w:rPr>
                      <w:rFonts w:hint="eastAsia"/>
                      <w:color w:val="auto"/>
                      <w:highlight w:val="none"/>
                      <w:lang w:eastAsia="zh-CN"/>
                    </w:rPr>
                    <w:t>主线新建段道路走向为南北向，起点桩号K0+770，终点桩号为K2+490，道路全长1.72km，设计速度60km/h。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87"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vMerge w:val="continue"/>
                  <w:tcBorders>
                    <w:tl2br w:val="nil"/>
                    <w:tr2bl w:val="nil"/>
                  </w:tcBorders>
                  <w:noWrap w:val="0"/>
                  <w:vAlign w:val="center"/>
                </w:tcPr>
                <w:p>
                  <w:pPr>
                    <w:pStyle w:val="32"/>
                    <w:bidi w:val="0"/>
                    <w:rPr>
                      <w:color w:val="auto"/>
                      <w:highlight w:val="none"/>
                    </w:rPr>
                  </w:pPr>
                </w:p>
              </w:tc>
              <w:tc>
                <w:tcPr>
                  <w:tcW w:w="468" w:type="pc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跨线桥</w:t>
                  </w:r>
                </w:p>
                <w:p>
                  <w:pPr>
                    <w:pStyle w:val="32"/>
                    <w:bidi w:val="0"/>
                    <w:rPr>
                      <w:color w:val="auto"/>
                      <w:highlight w:val="none"/>
                    </w:rPr>
                  </w:pPr>
                  <w:r>
                    <w:rPr>
                      <w:rFonts w:hint="eastAsia"/>
                      <w:color w:val="auto"/>
                      <w:highlight w:val="none"/>
                      <w:lang w:eastAsia="zh-CN"/>
                    </w:rPr>
                    <w:t>路段路基</w:t>
                  </w:r>
                </w:p>
              </w:tc>
              <w:tc>
                <w:tcPr>
                  <w:tcW w:w="3576" w:type="pct"/>
                  <w:tcBorders>
                    <w:tl2br w:val="nil"/>
                    <w:tr2bl w:val="nil"/>
                  </w:tcBorders>
                  <w:noWrap w:val="0"/>
                  <w:vAlign w:val="center"/>
                </w:tcPr>
                <w:p>
                  <w:pPr>
                    <w:pStyle w:val="32"/>
                    <w:bidi w:val="0"/>
                    <w:jc w:val="left"/>
                    <w:rPr>
                      <w:color w:val="auto"/>
                      <w:highlight w:val="none"/>
                    </w:rPr>
                  </w:pPr>
                  <w:r>
                    <w:rPr>
                      <w:rFonts w:hint="eastAsia"/>
                      <w:color w:val="auto"/>
                      <w:highlight w:val="none"/>
                      <w:lang w:eastAsia="zh-CN"/>
                    </w:rPr>
                    <w:t>路基宽24m，其中路面宽21米，中间设2米中央分隔带，具体断面布置为：0.5m土路肩+2.5m硬路肩+2×3.75m行车道+0.5m路缘带+2m中央分隔带+0.5m路缘带+2×3.75m行车道+2.5m硬路肩+0.5m土路肩。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87"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vMerge w:val="continue"/>
                  <w:tcBorders>
                    <w:tl2br w:val="nil"/>
                    <w:tr2bl w:val="nil"/>
                  </w:tcBorders>
                  <w:noWrap w:val="0"/>
                  <w:vAlign w:val="center"/>
                </w:tcPr>
                <w:p>
                  <w:pPr>
                    <w:pStyle w:val="32"/>
                    <w:bidi w:val="0"/>
                    <w:rPr>
                      <w:color w:val="auto"/>
                      <w:highlight w:val="none"/>
                    </w:rPr>
                  </w:pPr>
                </w:p>
              </w:tc>
              <w:tc>
                <w:tcPr>
                  <w:tcW w:w="468" w:type="pc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桥头路基</w:t>
                  </w:r>
                </w:p>
              </w:tc>
              <w:tc>
                <w:tcPr>
                  <w:tcW w:w="3576" w:type="pct"/>
                  <w:tcBorders>
                    <w:tl2br w:val="nil"/>
                    <w:tr2bl w:val="nil"/>
                  </w:tcBorders>
                  <w:noWrap w:val="0"/>
                  <w:vAlign w:val="center"/>
                </w:tcPr>
                <w:p>
                  <w:pPr>
                    <w:pStyle w:val="32"/>
                    <w:bidi w:val="0"/>
                    <w:jc w:val="left"/>
                    <w:rPr>
                      <w:rFonts w:hint="eastAsia"/>
                      <w:color w:val="auto"/>
                      <w:highlight w:val="none"/>
                      <w:lang w:eastAsia="zh-CN"/>
                    </w:rPr>
                  </w:pPr>
                  <w:r>
                    <w:rPr>
                      <w:rFonts w:hint="eastAsia"/>
                      <w:color w:val="auto"/>
                      <w:highlight w:val="none"/>
                      <w:lang w:eastAsia="zh-CN"/>
                    </w:rPr>
                    <w:t>桥头路段采用CFG桩处理地基，路基填筑砂砾，减少桥台与路堤衔接处的工后沉降差异。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87"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vMerge w:val="continue"/>
                  <w:tcBorders>
                    <w:tl2br w:val="nil"/>
                    <w:tr2bl w:val="nil"/>
                  </w:tcBorders>
                  <w:noWrap w:val="0"/>
                  <w:vAlign w:val="center"/>
                </w:tcPr>
                <w:p>
                  <w:pPr>
                    <w:pStyle w:val="32"/>
                    <w:bidi w:val="0"/>
                    <w:rPr>
                      <w:color w:val="auto"/>
                      <w:highlight w:val="none"/>
                    </w:rPr>
                  </w:pPr>
                </w:p>
              </w:tc>
              <w:tc>
                <w:tcPr>
                  <w:tcW w:w="468" w:type="pct"/>
                  <w:tcBorders>
                    <w:tl2br w:val="nil"/>
                    <w:tr2bl w:val="nil"/>
                  </w:tcBorders>
                  <w:noWrap w:val="0"/>
                  <w:vAlign w:val="center"/>
                </w:tcPr>
                <w:p>
                  <w:pPr>
                    <w:pStyle w:val="32"/>
                    <w:bidi w:val="0"/>
                    <w:rPr>
                      <w:rFonts w:hint="eastAsia" w:eastAsia="宋体"/>
                      <w:color w:val="auto"/>
                      <w:highlight w:val="none"/>
                      <w:lang w:eastAsia="zh-CN"/>
                    </w:rPr>
                  </w:pPr>
                  <w:r>
                    <w:rPr>
                      <w:rFonts w:hint="eastAsia"/>
                      <w:color w:val="auto"/>
                      <w:highlight w:val="none"/>
                      <w:lang w:eastAsia="zh-CN"/>
                    </w:rPr>
                    <w:t>路面</w:t>
                  </w:r>
                </w:p>
              </w:tc>
              <w:tc>
                <w:tcPr>
                  <w:tcW w:w="3576" w:type="pct"/>
                  <w:tcBorders>
                    <w:tl2br w:val="nil"/>
                    <w:tr2bl w:val="nil"/>
                  </w:tcBorders>
                  <w:noWrap w:val="0"/>
                  <w:vAlign w:val="center"/>
                </w:tcPr>
                <w:p>
                  <w:pPr>
                    <w:pStyle w:val="32"/>
                    <w:bidi w:val="0"/>
                    <w:jc w:val="left"/>
                    <w:rPr>
                      <w:color w:val="auto"/>
                      <w:highlight w:val="none"/>
                    </w:rPr>
                  </w:pPr>
                  <w:r>
                    <w:rPr>
                      <w:color w:val="auto"/>
                      <w:highlight w:val="none"/>
                    </w:rPr>
                    <w:t>5cm</w:t>
                  </w:r>
                  <w:r>
                    <w:rPr>
                      <w:rFonts w:hint="eastAsia"/>
                      <w:color w:val="auto"/>
                      <w:highlight w:val="none"/>
                    </w:rPr>
                    <w:t>AC</w:t>
                  </w:r>
                  <w:r>
                    <w:rPr>
                      <w:color w:val="auto"/>
                      <w:highlight w:val="none"/>
                    </w:rPr>
                    <w:t>-13</w:t>
                  </w:r>
                  <w:r>
                    <w:rPr>
                      <w:rFonts w:hint="eastAsia"/>
                      <w:color w:val="auto"/>
                      <w:highlight w:val="none"/>
                    </w:rPr>
                    <w:t>C细粒式SBS改性沥青混凝土+8</w:t>
                  </w:r>
                  <w:r>
                    <w:rPr>
                      <w:color w:val="auto"/>
                      <w:highlight w:val="none"/>
                    </w:rPr>
                    <w:t>cmAC-</w:t>
                  </w:r>
                  <w:r>
                    <w:rPr>
                      <w:rFonts w:hint="eastAsia"/>
                      <w:color w:val="auto"/>
                      <w:highlight w:val="none"/>
                    </w:rPr>
                    <w:t>25</w:t>
                  </w:r>
                  <w:r>
                    <w:rPr>
                      <w:color w:val="auto"/>
                      <w:highlight w:val="none"/>
                    </w:rPr>
                    <w:t>C</w:t>
                  </w:r>
                  <w:r>
                    <w:rPr>
                      <w:rFonts w:hint="eastAsia"/>
                      <w:color w:val="auto"/>
                      <w:highlight w:val="none"/>
                    </w:rPr>
                    <w:t>粗粒式沥青混凝土+SBS改性沥青同步碎石封层+</w:t>
                  </w:r>
                  <w:r>
                    <w:rPr>
                      <w:color w:val="auto"/>
                      <w:highlight w:val="none"/>
                    </w:rPr>
                    <w:t>3</w:t>
                  </w:r>
                  <w:r>
                    <w:rPr>
                      <w:rFonts w:hint="eastAsia"/>
                      <w:color w:val="auto"/>
                      <w:highlight w:val="none"/>
                    </w:rPr>
                    <w:t>×</w:t>
                  </w:r>
                  <w:r>
                    <w:rPr>
                      <w:color w:val="auto"/>
                      <w:highlight w:val="none"/>
                    </w:rPr>
                    <w:t>18cm</w:t>
                  </w:r>
                  <w:r>
                    <w:rPr>
                      <w:rFonts w:hint="eastAsia"/>
                      <w:color w:val="auto"/>
                      <w:highlight w:val="none"/>
                    </w:rPr>
                    <w:t>水泥稳定碎石。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82"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vMerge w:val="restart"/>
                  <w:tcBorders>
                    <w:tl2br w:val="nil"/>
                    <w:tr2bl w:val="nil"/>
                  </w:tcBorders>
                  <w:noWrap w:val="0"/>
                  <w:vAlign w:val="center"/>
                </w:tcPr>
                <w:p>
                  <w:pPr>
                    <w:pStyle w:val="32"/>
                    <w:bidi w:val="0"/>
                    <w:rPr>
                      <w:color w:val="auto"/>
                      <w:highlight w:val="none"/>
                    </w:rPr>
                  </w:pPr>
                  <w:r>
                    <w:rPr>
                      <w:rFonts w:hint="eastAsia"/>
                      <w:color w:val="auto"/>
                      <w:highlight w:val="none"/>
                      <w:lang w:eastAsia="zh-CN"/>
                    </w:rPr>
                    <w:t>辅道</w:t>
                  </w:r>
                  <w:r>
                    <w:rPr>
                      <w:color w:val="auto"/>
                      <w:highlight w:val="none"/>
                    </w:rPr>
                    <w:t>工程</w:t>
                  </w:r>
                </w:p>
              </w:tc>
              <w:tc>
                <w:tcPr>
                  <w:tcW w:w="4045" w:type="pct"/>
                  <w:gridSpan w:val="2"/>
                  <w:tcBorders>
                    <w:tl2br w:val="nil"/>
                    <w:tr2bl w:val="nil"/>
                  </w:tcBorders>
                  <w:noWrap w:val="0"/>
                  <w:vAlign w:val="center"/>
                </w:tcPr>
                <w:p>
                  <w:pPr>
                    <w:pStyle w:val="32"/>
                    <w:bidi w:val="0"/>
                    <w:jc w:val="left"/>
                    <w:rPr>
                      <w:rFonts w:hint="eastAsia"/>
                      <w:color w:val="auto"/>
                      <w:highlight w:val="none"/>
                      <w:lang w:eastAsia="zh-CN"/>
                    </w:rPr>
                  </w:pPr>
                  <w:r>
                    <w:rPr>
                      <w:rFonts w:hint="eastAsia"/>
                      <w:color w:val="auto"/>
                      <w:highlight w:val="none"/>
                      <w:lang w:eastAsia="zh-CN"/>
                    </w:rPr>
                    <w:t>桥梁两侧设置辅道，辅道长度约为</w:t>
                  </w:r>
                  <w:r>
                    <w:rPr>
                      <w:rFonts w:hint="eastAsia"/>
                      <w:color w:val="auto"/>
                      <w:highlight w:val="none"/>
                      <w:lang w:val="en-US" w:eastAsia="zh-CN"/>
                    </w:rPr>
                    <w:t>2.2km</w:t>
                  </w:r>
                  <w:r>
                    <w:rPr>
                      <w:rFonts w:hint="eastAsia"/>
                      <w:color w:val="auto"/>
                      <w:highlight w:val="none"/>
                      <w:lang w:eastAsia="zh-CN"/>
                    </w:rPr>
                    <w:t>，两侧辅路设计速度为40km/h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82"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vMerge w:val="continue"/>
                  <w:tcBorders>
                    <w:tl2br w:val="nil"/>
                    <w:tr2bl w:val="nil"/>
                  </w:tcBorders>
                  <w:noWrap w:val="0"/>
                  <w:vAlign w:val="center"/>
                </w:tcPr>
                <w:p>
                  <w:pPr>
                    <w:pStyle w:val="32"/>
                    <w:bidi w:val="0"/>
                    <w:rPr>
                      <w:color w:val="auto"/>
                      <w:highlight w:val="none"/>
                    </w:rPr>
                  </w:pPr>
                </w:p>
              </w:tc>
              <w:tc>
                <w:tcPr>
                  <w:tcW w:w="468" w:type="pct"/>
                  <w:tcBorders>
                    <w:tl2br w:val="nil"/>
                    <w:tr2bl w:val="nil"/>
                  </w:tcBorders>
                  <w:noWrap w:val="0"/>
                  <w:vAlign w:val="center"/>
                </w:tcPr>
                <w:p>
                  <w:pPr>
                    <w:pStyle w:val="32"/>
                    <w:bidi w:val="0"/>
                    <w:rPr>
                      <w:rFonts w:hint="eastAsia" w:eastAsia="宋体"/>
                      <w:color w:val="auto"/>
                      <w:highlight w:val="none"/>
                      <w:lang w:eastAsia="zh-CN"/>
                    </w:rPr>
                  </w:pPr>
                  <w:r>
                    <w:rPr>
                      <w:rFonts w:hint="eastAsia"/>
                      <w:color w:val="auto"/>
                      <w:highlight w:val="none"/>
                      <w:lang w:eastAsia="zh-CN"/>
                    </w:rPr>
                    <w:t>路基</w:t>
                  </w:r>
                </w:p>
              </w:tc>
              <w:tc>
                <w:tcPr>
                  <w:tcW w:w="3576" w:type="pct"/>
                  <w:tcBorders>
                    <w:tl2br w:val="nil"/>
                    <w:tr2bl w:val="nil"/>
                  </w:tcBorders>
                  <w:noWrap w:val="0"/>
                  <w:vAlign w:val="center"/>
                </w:tcPr>
                <w:p>
                  <w:pPr>
                    <w:pStyle w:val="32"/>
                    <w:bidi w:val="0"/>
                    <w:jc w:val="left"/>
                    <w:rPr>
                      <w:color w:val="auto"/>
                      <w:highlight w:val="none"/>
                    </w:rPr>
                  </w:pPr>
                  <w:r>
                    <w:rPr>
                      <w:rFonts w:hint="eastAsia"/>
                      <w:color w:val="auto"/>
                      <w:highlight w:val="none"/>
                      <w:lang w:eastAsia="zh-CN"/>
                    </w:rPr>
                    <w:t>路基宽</w:t>
                  </w:r>
                  <w:r>
                    <w:rPr>
                      <w:rFonts w:hint="eastAsia"/>
                      <w:color w:val="auto"/>
                      <w:highlight w:val="none"/>
                      <w:lang w:val="en-US" w:eastAsia="zh-CN"/>
                    </w:rPr>
                    <w:t>1.4</w:t>
                  </w:r>
                  <w:r>
                    <w:rPr>
                      <w:rFonts w:hint="eastAsia"/>
                      <w:color w:val="auto"/>
                      <w:highlight w:val="none"/>
                      <w:lang w:eastAsia="zh-CN"/>
                    </w:rPr>
                    <w:t>m，具体断面布置为：</w:t>
                  </w:r>
                  <w:r>
                    <w:rPr>
                      <w:rFonts w:hint="eastAsia"/>
                      <w:color w:val="auto"/>
                      <w:highlight w:val="none"/>
                      <w:lang w:val="en-US" w:eastAsia="zh-CN"/>
                    </w:rPr>
                    <w:t>0.15</w:t>
                  </w:r>
                  <w:r>
                    <w:rPr>
                      <w:rFonts w:hint="eastAsia"/>
                      <w:color w:val="auto"/>
                      <w:highlight w:val="none"/>
                      <w:lang w:eastAsia="zh-CN"/>
                    </w:rPr>
                    <w:t>m设施带+</w:t>
                  </w:r>
                  <w:r>
                    <w:rPr>
                      <w:rFonts w:hint="eastAsia"/>
                      <w:color w:val="auto"/>
                      <w:highlight w:val="none"/>
                      <w:lang w:val="en-US" w:eastAsia="zh-CN"/>
                    </w:rPr>
                    <w:t>0.1</w:t>
                  </w:r>
                  <w:r>
                    <w:rPr>
                      <w:rFonts w:hint="eastAsia"/>
                      <w:color w:val="auto"/>
                      <w:highlight w:val="none"/>
                      <w:lang w:eastAsia="zh-CN"/>
                    </w:rPr>
                    <w:t>m硬路肩+2×3.</w:t>
                  </w:r>
                  <w:r>
                    <w:rPr>
                      <w:rFonts w:hint="eastAsia"/>
                      <w:color w:val="auto"/>
                      <w:highlight w:val="none"/>
                      <w:lang w:val="en-US" w:eastAsia="zh-CN"/>
                    </w:rPr>
                    <w:t>50</w:t>
                  </w:r>
                  <w:r>
                    <w:rPr>
                      <w:rFonts w:hint="eastAsia"/>
                      <w:color w:val="auto"/>
                      <w:highlight w:val="none"/>
                      <w:lang w:eastAsia="zh-CN"/>
                    </w:rPr>
                    <w:t>m行车道+</w:t>
                  </w:r>
                  <w:r>
                    <w:rPr>
                      <w:rFonts w:hint="eastAsia"/>
                      <w:color w:val="auto"/>
                      <w:highlight w:val="none"/>
                      <w:lang w:val="en-US" w:eastAsia="zh-CN"/>
                    </w:rPr>
                    <w:t>0.3m硬路肩+0.15</w:t>
                  </w:r>
                  <w:r>
                    <w:rPr>
                      <w:rFonts w:hint="eastAsia"/>
                      <w:color w:val="auto"/>
                      <w:highlight w:val="none"/>
                      <w:lang w:eastAsia="zh-CN"/>
                    </w:rPr>
                    <w:t>m绿化带。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82"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vMerge w:val="continue"/>
                  <w:tcBorders>
                    <w:tl2br w:val="nil"/>
                    <w:tr2bl w:val="nil"/>
                  </w:tcBorders>
                  <w:noWrap w:val="0"/>
                  <w:vAlign w:val="center"/>
                </w:tcPr>
                <w:p>
                  <w:pPr>
                    <w:pStyle w:val="32"/>
                    <w:bidi w:val="0"/>
                    <w:rPr>
                      <w:color w:val="auto"/>
                      <w:highlight w:val="none"/>
                    </w:rPr>
                  </w:pPr>
                </w:p>
              </w:tc>
              <w:tc>
                <w:tcPr>
                  <w:tcW w:w="468" w:type="pct"/>
                  <w:tcBorders>
                    <w:tl2br w:val="nil"/>
                    <w:tr2bl w:val="nil"/>
                  </w:tcBorders>
                  <w:noWrap w:val="0"/>
                  <w:vAlign w:val="center"/>
                </w:tcPr>
                <w:p>
                  <w:pPr>
                    <w:pStyle w:val="32"/>
                    <w:bidi w:val="0"/>
                    <w:rPr>
                      <w:color w:val="auto"/>
                      <w:highlight w:val="none"/>
                    </w:rPr>
                  </w:pPr>
                  <w:r>
                    <w:rPr>
                      <w:rFonts w:hint="eastAsia"/>
                      <w:color w:val="auto"/>
                      <w:highlight w:val="none"/>
                      <w:lang w:eastAsia="zh-CN"/>
                    </w:rPr>
                    <w:t>路面</w:t>
                  </w:r>
                </w:p>
              </w:tc>
              <w:tc>
                <w:tcPr>
                  <w:tcW w:w="3576" w:type="pct"/>
                  <w:tcBorders>
                    <w:tl2br w:val="nil"/>
                    <w:tr2bl w:val="nil"/>
                  </w:tcBorders>
                  <w:noWrap w:val="0"/>
                  <w:vAlign w:val="center"/>
                </w:tcPr>
                <w:p>
                  <w:pPr>
                    <w:pStyle w:val="32"/>
                    <w:bidi w:val="0"/>
                    <w:jc w:val="left"/>
                    <w:rPr>
                      <w:color w:val="auto"/>
                      <w:highlight w:val="none"/>
                    </w:rPr>
                  </w:pPr>
                  <w:r>
                    <w:rPr>
                      <w:color w:val="auto"/>
                      <w:highlight w:val="none"/>
                    </w:rPr>
                    <w:t>5cm</w:t>
                  </w:r>
                  <w:r>
                    <w:rPr>
                      <w:rFonts w:hint="eastAsia"/>
                      <w:color w:val="auto"/>
                      <w:highlight w:val="none"/>
                    </w:rPr>
                    <w:t>AC</w:t>
                  </w:r>
                  <w:r>
                    <w:rPr>
                      <w:color w:val="auto"/>
                      <w:highlight w:val="none"/>
                    </w:rPr>
                    <w:t>-13</w:t>
                  </w:r>
                  <w:r>
                    <w:rPr>
                      <w:rFonts w:hint="eastAsia"/>
                      <w:color w:val="auto"/>
                      <w:highlight w:val="none"/>
                    </w:rPr>
                    <w:t>C细粒式SBS改性沥青混凝土+8</w:t>
                  </w:r>
                  <w:r>
                    <w:rPr>
                      <w:color w:val="auto"/>
                      <w:highlight w:val="none"/>
                    </w:rPr>
                    <w:t>cmAC-</w:t>
                  </w:r>
                  <w:r>
                    <w:rPr>
                      <w:rFonts w:hint="eastAsia"/>
                      <w:color w:val="auto"/>
                      <w:highlight w:val="none"/>
                    </w:rPr>
                    <w:t>25</w:t>
                  </w:r>
                  <w:r>
                    <w:rPr>
                      <w:color w:val="auto"/>
                      <w:highlight w:val="none"/>
                    </w:rPr>
                    <w:t>C</w:t>
                  </w:r>
                  <w:r>
                    <w:rPr>
                      <w:rFonts w:hint="eastAsia"/>
                      <w:color w:val="auto"/>
                      <w:highlight w:val="none"/>
                    </w:rPr>
                    <w:t>粗粒式沥青混凝土+SBS改性沥青同步碎石封层+</w:t>
                  </w:r>
                  <w:r>
                    <w:rPr>
                      <w:color w:val="auto"/>
                      <w:highlight w:val="none"/>
                    </w:rPr>
                    <w:t>3</w:t>
                  </w:r>
                  <w:r>
                    <w:rPr>
                      <w:rFonts w:hint="eastAsia"/>
                      <w:color w:val="auto"/>
                      <w:highlight w:val="none"/>
                    </w:rPr>
                    <w:t>×</w:t>
                  </w:r>
                  <w:r>
                    <w:rPr>
                      <w:color w:val="auto"/>
                      <w:highlight w:val="none"/>
                    </w:rPr>
                    <w:t>18cm</w:t>
                  </w:r>
                  <w:r>
                    <w:rPr>
                      <w:rFonts w:hint="eastAsia"/>
                      <w:color w:val="auto"/>
                      <w:highlight w:val="none"/>
                    </w:rPr>
                    <w:t>水泥稳定碎石。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restart"/>
                  <w:tcBorders>
                    <w:tl2br w:val="nil"/>
                    <w:tr2bl w:val="nil"/>
                  </w:tcBorders>
                  <w:noWrap w:val="0"/>
                  <w:vAlign w:val="center"/>
                </w:tcPr>
                <w:p>
                  <w:pPr>
                    <w:pStyle w:val="32"/>
                    <w:bidi w:val="0"/>
                    <w:rPr>
                      <w:rFonts w:hint="eastAsia" w:eastAsia="宋体"/>
                      <w:color w:val="auto"/>
                      <w:highlight w:val="none"/>
                      <w:lang w:eastAsia="zh-CN"/>
                    </w:rPr>
                  </w:pPr>
                  <w:r>
                    <w:rPr>
                      <w:rFonts w:hint="eastAsia"/>
                      <w:color w:val="auto"/>
                      <w:highlight w:val="none"/>
                      <w:lang w:eastAsia="zh-CN"/>
                    </w:rPr>
                    <w:t>辅助工程</w:t>
                  </w:r>
                </w:p>
              </w:tc>
              <w:tc>
                <w:tcPr>
                  <w:tcW w:w="599" w:type="pct"/>
                  <w:gridSpan w:val="2"/>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桥涵工程</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rPr>
                    <w:t>本项目共设计大桥一座，全长526米，跨径组合：6×30m+（45+70+45)m+6×30m，主桥采用预应力混凝土变截面连续箱梁，引桥采用预应力混凝土连续小箱梁。全线设计涵洞1道，为旧涵接长。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rFonts w:hint="eastAsia"/>
                      <w:color w:val="auto"/>
                      <w:highlight w:val="none"/>
                      <w:lang w:eastAsia="zh-CN"/>
                    </w:rPr>
                  </w:pPr>
                </w:p>
              </w:tc>
              <w:tc>
                <w:tcPr>
                  <w:tcW w:w="599" w:type="pct"/>
                  <w:gridSpan w:val="2"/>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交叉工程</w:t>
                  </w:r>
                </w:p>
              </w:tc>
              <w:tc>
                <w:tcPr>
                  <w:tcW w:w="4045" w:type="pct"/>
                  <w:gridSpan w:val="2"/>
                  <w:tcBorders>
                    <w:tl2br w:val="nil"/>
                    <w:tr2bl w:val="nil"/>
                  </w:tcBorders>
                  <w:noWrap w:val="0"/>
                  <w:vAlign w:val="center"/>
                </w:tcPr>
                <w:p>
                  <w:pPr>
                    <w:pStyle w:val="32"/>
                    <w:bidi w:val="0"/>
                    <w:jc w:val="left"/>
                    <w:rPr>
                      <w:rFonts w:hint="eastAsia"/>
                      <w:color w:val="auto"/>
                      <w:highlight w:val="none"/>
                      <w:lang w:eastAsia="zh-CN"/>
                    </w:rPr>
                  </w:pPr>
                  <w:r>
                    <w:rPr>
                      <w:rFonts w:hint="eastAsia"/>
                      <w:color w:val="auto"/>
                      <w:highlight w:val="none"/>
                      <w:lang w:eastAsia="zh-CN"/>
                    </w:rPr>
                    <w:t>分离式立交交叉：</w:t>
                  </w:r>
                  <w:r>
                    <w:rPr>
                      <w:rFonts w:hint="eastAsia"/>
                      <w:color w:val="auto"/>
                      <w:highlight w:val="none"/>
                    </w:rPr>
                    <w:t>本项目主线上跨被交路，即国道G509（乐港路）上跨国道G228（沿海公路）。交叉处中心桩号为K1+612.975，设置A、B辅道与国道G228（沿海公路）相交，交叉处采用信号灯控制</w:t>
                  </w:r>
                  <w:r>
                    <w:rPr>
                      <w:rFonts w:hint="eastAsia"/>
                      <w:color w:val="auto"/>
                      <w:highlight w:val="none"/>
                      <w:lang w:eastAsia="zh-CN"/>
                    </w:rPr>
                    <w:t>。</w:t>
                  </w:r>
                </w:p>
                <w:p>
                  <w:pPr>
                    <w:pStyle w:val="32"/>
                    <w:bidi w:val="0"/>
                    <w:jc w:val="left"/>
                    <w:rPr>
                      <w:rFonts w:hint="eastAsia"/>
                      <w:color w:val="auto"/>
                      <w:highlight w:val="none"/>
                      <w:lang w:eastAsia="zh-CN"/>
                    </w:rPr>
                  </w:pPr>
                  <w:r>
                    <w:rPr>
                      <w:rFonts w:hint="eastAsia"/>
                      <w:color w:val="auto"/>
                      <w:highlight w:val="none"/>
                      <w:lang w:eastAsia="zh-CN"/>
                    </w:rPr>
                    <w:t>平面交叉：本项目设置平面交叉6处，其中等级公路1处，为国道G228（沿海公路）；其余5处均为机耕道路或厂区门口。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rFonts w:hint="eastAsia"/>
                      <w:color w:val="auto"/>
                      <w:highlight w:val="none"/>
                      <w:lang w:eastAsia="zh-CN"/>
                    </w:rPr>
                  </w:pPr>
                </w:p>
              </w:tc>
              <w:tc>
                <w:tcPr>
                  <w:tcW w:w="599" w:type="pct"/>
                  <w:gridSpan w:val="2"/>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交通工程</w:t>
                  </w:r>
                </w:p>
              </w:tc>
              <w:tc>
                <w:tcPr>
                  <w:tcW w:w="4045" w:type="pct"/>
                  <w:gridSpan w:val="2"/>
                  <w:tcBorders>
                    <w:tl2br w:val="nil"/>
                    <w:tr2bl w:val="nil"/>
                  </w:tcBorders>
                  <w:noWrap w:val="0"/>
                  <w:vAlign w:val="center"/>
                </w:tcPr>
                <w:p>
                  <w:pPr>
                    <w:pStyle w:val="32"/>
                    <w:bidi w:val="0"/>
                    <w:jc w:val="left"/>
                    <w:rPr>
                      <w:rFonts w:hint="eastAsia" w:eastAsia="宋体"/>
                      <w:color w:val="auto"/>
                      <w:highlight w:val="none"/>
                      <w:lang w:eastAsia="zh-CN"/>
                    </w:rPr>
                  </w:pPr>
                  <w:r>
                    <w:rPr>
                      <w:rFonts w:hint="eastAsia"/>
                      <w:color w:val="auto"/>
                      <w:highlight w:val="none"/>
                      <w:lang w:eastAsia="zh-CN"/>
                    </w:rPr>
                    <w:t>涉及</w:t>
                  </w:r>
                  <w:r>
                    <w:rPr>
                      <w:rFonts w:hint="eastAsia"/>
                      <w:color w:val="auto"/>
                      <w:highlight w:val="none"/>
                    </w:rPr>
                    <w:t>交通标志</w:t>
                  </w:r>
                  <w:r>
                    <w:rPr>
                      <w:rFonts w:hint="eastAsia"/>
                      <w:color w:val="auto"/>
                      <w:highlight w:val="none"/>
                      <w:lang w:eastAsia="zh-CN"/>
                    </w:rPr>
                    <w:t>（指路标志、指示标志、禁令标志、警告标志、禁令辅助组合标志）、交通</w:t>
                  </w:r>
                  <w:r>
                    <w:rPr>
                      <w:rFonts w:hint="eastAsia"/>
                      <w:color w:val="auto"/>
                      <w:highlight w:val="none"/>
                    </w:rPr>
                    <w:t>标线</w:t>
                  </w:r>
                  <w:r>
                    <w:rPr>
                      <w:rFonts w:hint="eastAsia"/>
                      <w:color w:val="auto"/>
                      <w:highlight w:val="none"/>
                      <w:lang w:eastAsia="zh-CN"/>
                    </w:rPr>
                    <w:t>（可跨越同向车行道分界线、车行道边缘线、导向箭头、道路出入口标线、路面文字标记、减速振荡标线、立面标记等）、防撞护栏、轮廓标、防眩设施、警示柱、防撞桶、道口标注、信号灯等建设。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rFonts w:hint="eastAsia"/>
                      <w:color w:val="auto"/>
                      <w:highlight w:val="none"/>
                      <w:lang w:eastAsia="zh-CN"/>
                    </w:rPr>
                  </w:pPr>
                </w:p>
              </w:tc>
              <w:tc>
                <w:tcPr>
                  <w:tcW w:w="599" w:type="pct"/>
                  <w:gridSpan w:val="2"/>
                  <w:tcBorders>
                    <w:tl2br w:val="nil"/>
                    <w:tr2bl w:val="nil"/>
                  </w:tcBorders>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color w:val="auto"/>
                      <w:highlight w:val="none"/>
                    </w:rPr>
                    <w:t>绿化工程</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rPr>
                    <w:t>中央分隔带</w:t>
                  </w:r>
                  <w:r>
                    <w:rPr>
                      <w:rFonts w:hint="eastAsia"/>
                      <w:color w:val="auto"/>
                      <w:highlight w:val="none"/>
                      <w:lang w:eastAsia="zh-CN"/>
                    </w:rPr>
                    <w:t>：</w:t>
                  </w:r>
                  <w:r>
                    <w:rPr>
                      <w:rFonts w:hint="eastAsia"/>
                      <w:color w:val="auto"/>
                      <w:highlight w:val="none"/>
                    </w:rPr>
                    <w:t>中央分隔带内栽植紫叶小檗、金叶女贞交错2</w:t>
                  </w:r>
                  <w:r>
                    <w:rPr>
                      <w:color w:val="auto"/>
                      <w:highlight w:val="none"/>
                    </w:rPr>
                    <w:t>0</w:t>
                  </w:r>
                  <w:r>
                    <w:rPr>
                      <w:rFonts w:hint="eastAsia"/>
                      <w:color w:val="auto"/>
                      <w:highlight w:val="none"/>
                    </w:rPr>
                    <w:t>m。小乔木采用樱花和紫叶李，株距</w:t>
                  </w:r>
                  <w:r>
                    <w:rPr>
                      <w:color w:val="auto"/>
                      <w:highlight w:val="none"/>
                    </w:rPr>
                    <w:t>2.0</w:t>
                  </w:r>
                  <w:r>
                    <w:rPr>
                      <w:rFonts w:hint="eastAsia"/>
                      <w:color w:val="auto"/>
                      <w:highlight w:val="none"/>
                    </w:rPr>
                    <w:t>米；换填</w:t>
                  </w:r>
                  <w:r>
                    <w:rPr>
                      <w:color w:val="auto"/>
                      <w:highlight w:val="none"/>
                    </w:rPr>
                    <w:t>0.8</w:t>
                  </w:r>
                  <w:r>
                    <w:rPr>
                      <w:rFonts w:hint="eastAsia"/>
                      <w:color w:val="auto"/>
                      <w:highlight w:val="none"/>
                    </w:rPr>
                    <w:t>米厚种植土以保证苗木正常生长。</w:t>
                  </w:r>
                </w:p>
                <w:p>
                  <w:pPr>
                    <w:pStyle w:val="32"/>
                    <w:bidi w:val="0"/>
                    <w:jc w:val="left"/>
                    <w:rPr>
                      <w:color w:val="auto"/>
                      <w:highlight w:val="none"/>
                    </w:rPr>
                  </w:pPr>
                  <w:r>
                    <w:rPr>
                      <w:rFonts w:hint="eastAsia"/>
                      <w:color w:val="auto"/>
                      <w:highlight w:val="none"/>
                    </w:rPr>
                    <w:t>土路肩</w:t>
                  </w:r>
                  <w:r>
                    <w:rPr>
                      <w:rFonts w:hint="eastAsia"/>
                      <w:color w:val="auto"/>
                      <w:highlight w:val="none"/>
                      <w:lang w:eastAsia="zh-CN"/>
                    </w:rPr>
                    <w:t>：</w:t>
                  </w:r>
                  <w:r>
                    <w:rPr>
                      <w:rFonts w:hint="eastAsia"/>
                      <w:color w:val="auto"/>
                      <w:highlight w:val="none"/>
                    </w:rPr>
                    <w:t>土路肩栽植大叶黄杨、紫叶小檗，乔木采用白蜡和樱花，交错种植，株距4</w:t>
                  </w:r>
                  <w:r>
                    <w:rPr>
                      <w:color w:val="auto"/>
                      <w:highlight w:val="none"/>
                    </w:rPr>
                    <w:t>.0</w:t>
                  </w:r>
                  <w:r>
                    <w:rPr>
                      <w:rFonts w:hint="eastAsia"/>
                      <w:color w:val="auto"/>
                      <w:highlight w:val="none"/>
                    </w:rPr>
                    <w:t>m。</w:t>
                  </w:r>
                </w:p>
                <w:p>
                  <w:pPr>
                    <w:pStyle w:val="32"/>
                    <w:bidi w:val="0"/>
                    <w:ind w:firstLine="0" w:firstLineChars="0"/>
                    <w:jc w:val="left"/>
                    <w:rPr>
                      <w:rFonts w:hint="eastAsia" w:ascii="Times New Roman" w:hAnsi="Times New Roman" w:eastAsia="宋体"/>
                      <w:color w:val="auto"/>
                      <w:kern w:val="0"/>
                      <w:sz w:val="20"/>
                      <w:szCs w:val="20"/>
                      <w:highlight w:val="none"/>
                      <w:lang w:val="en-US" w:eastAsia="zh-CN" w:bidi="ar-SA"/>
                    </w:rPr>
                  </w:pPr>
                  <w:r>
                    <w:rPr>
                      <w:rFonts w:hint="eastAsia"/>
                      <w:color w:val="auto"/>
                      <w:highlight w:val="none"/>
                    </w:rPr>
                    <w:t>公路用地</w:t>
                  </w:r>
                  <w:r>
                    <w:rPr>
                      <w:rFonts w:hint="eastAsia"/>
                      <w:color w:val="auto"/>
                      <w:highlight w:val="none"/>
                      <w:lang w:eastAsia="zh-CN"/>
                    </w:rPr>
                    <w:t>：</w:t>
                  </w:r>
                  <w:r>
                    <w:rPr>
                      <w:rFonts w:hint="eastAsia"/>
                      <w:color w:val="auto"/>
                      <w:highlight w:val="none"/>
                    </w:rPr>
                    <w:t>国槐与紫叶李交错种植，株距4</w:t>
                  </w:r>
                  <w:r>
                    <w:rPr>
                      <w:color w:val="auto"/>
                      <w:highlight w:val="none"/>
                    </w:rPr>
                    <w:t>.0</w:t>
                  </w:r>
                  <w:r>
                    <w:rPr>
                      <w:rFonts w:hint="eastAsia"/>
                      <w:color w:val="auto"/>
                      <w:highlight w:val="none"/>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restart"/>
                  <w:tcBorders>
                    <w:tl2br w:val="nil"/>
                    <w:tr2bl w:val="nil"/>
                  </w:tcBorders>
                  <w:noWrap w:val="0"/>
                  <w:vAlign w:val="center"/>
                </w:tcPr>
                <w:p>
                  <w:pPr>
                    <w:pStyle w:val="32"/>
                    <w:bidi w:val="0"/>
                    <w:rPr>
                      <w:color w:val="auto"/>
                      <w:highlight w:val="none"/>
                    </w:rPr>
                  </w:pPr>
                  <w:r>
                    <w:rPr>
                      <w:color w:val="auto"/>
                      <w:highlight w:val="none"/>
                    </w:rPr>
                    <w:t>公用工程</w:t>
                  </w:r>
                </w:p>
              </w:tc>
              <w:tc>
                <w:tcPr>
                  <w:tcW w:w="599" w:type="pct"/>
                  <w:gridSpan w:val="2"/>
                  <w:tcBorders>
                    <w:tl2br w:val="nil"/>
                    <w:tr2bl w:val="nil"/>
                  </w:tcBorders>
                  <w:noWrap w:val="0"/>
                  <w:vAlign w:val="center"/>
                </w:tcPr>
                <w:p>
                  <w:pPr>
                    <w:pStyle w:val="32"/>
                    <w:bidi w:val="0"/>
                    <w:rPr>
                      <w:color w:val="auto"/>
                      <w:highlight w:val="none"/>
                    </w:rPr>
                  </w:pPr>
                  <w:r>
                    <w:rPr>
                      <w:rFonts w:hint="eastAsia"/>
                      <w:color w:val="auto"/>
                      <w:highlight w:val="none"/>
                    </w:rPr>
                    <w:t>给水</w:t>
                  </w:r>
                  <w:r>
                    <w:rPr>
                      <w:color w:val="auto"/>
                      <w:highlight w:val="none"/>
                    </w:rPr>
                    <w:t>工程</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rPr>
                    <w:t>给水</w:t>
                  </w:r>
                  <w:r>
                    <w:rPr>
                      <w:rFonts w:hint="eastAsia"/>
                      <w:color w:val="auto"/>
                      <w:highlight w:val="none"/>
                      <w:lang w:eastAsia="zh-CN"/>
                    </w:rPr>
                    <w:t>管线</w:t>
                  </w:r>
                  <w:r>
                    <w:rPr>
                      <w:rFonts w:hint="eastAsia"/>
                      <w:color w:val="auto"/>
                      <w:highlight w:val="none"/>
                    </w:rPr>
                    <w:t>位于道路北侧，主线段位于硬路肩边缘线内侧4.6m，B辅道段在硬路肩边缘线内侧4.75m。为道路两侧地块供水。沿线每隔一定距离为两侧地块预留一个DN150的预留管。给水主管道规格 DN150。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排水工程</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lang w:val="en-US" w:eastAsia="zh-CN"/>
                    </w:rPr>
                    <w:t>污水管线位于道路南侧，主线段位于硬路肩边缘线内侧4.6m，A辅道段在硬路肩边缘线内侧4.75m。污水仅收集本项目道路两侧污水，管径d400。沿线每隔一定距离为两侧地块预留一个d400的预留管。污水接入下游现状污水管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color w:val="auto"/>
                      <w:highlight w:val="none"/>
                    </w:rPr>
                    <w:t>照明工程</w:t>
                  </w:r>
                </w:p>
              </w:tc>
              <w:tc>
                <w:tcPr>
                  <w:tcW w:w="4045" w:type="pct"/>
                  <w:gridSpan w:val="2"/>
                  <w:tcBorders>
                    <w:tl2br w:val="nil"/>
                    <w:tr2bl w:val="nil"/>
                  </w:tcBorders>
                  <w:noWrap w:val="0"/>
                  <w:vAlign w:val="center"/>
                </w:tcPr>
                <w:p>
                  <w:pPr>
                    <w:pStyle w:val="32"/>
                    <w:bidi w:val="0"/>
                    <w:ind w:firstLine="0" w:firstLineChars="0"/>
                    <w:jc w:val="left"/>
                    <w:rPr>
                      <w:rFonts w:hint="eastAsia" w:ascii="Times New Roman" w:hAnsi="Times New Roman" w:eastAsia="宋体"/>
                      <w:color w:val="auto"/>
                      <w:kern w:val="0"/>
                      <w:sz w:val="20"/>
                      <w:szCs w:val="20"/>
                      <w:highlight w:val="none"/>
                      <w:lang w:val="en-US" w:eastAsia="zh-CN" w:bidi="ar-SA"/>
                    </w:rPr>
                  </w:pPr>
                  <w:r>
                    <w:rPr>
                      <w:rFonts w:hint="eastAsia"/>
                      <w:color w:val="auto"/>
                      <w:highlight w:val="none"/>
                    </w:rPr>
                    <w:t>新建照明专用箱式变电站2座</w:t>
                  </w:r>
                  <w:r>
                    <w:rPr>
                      <w:rFonts w:hint="eastAsia"/>
                      <w:color w:val="auto"/>
                      <w:highlight w:val="none"/>
                      <w:lang w:eastAsia="zh-CN"/>
                    </w:rPr>
                    <w:t>，</w:t>
                  </w:r>
                  <w:r>
                    <w:rPr>
                      <w:rFonts w:hint="eastAsia"/>
                      <w:color w:val="auto"/>
                      <w:highlight w:val="none"/>
                    </w:rPr>
                    <w:t>箱变容量为80kVA。变压器采用干式变压器，箱变接线组别为D,Yn11</w:t>
                  </w:r>
                  <w:r>
                    <w:rPr>
                      <w:rFonts w:hint="eastAsia"/>
                      <w:color w:val="auto"/>
                      <w:highlight w:val="none"/>
                      <w:lang w:eastAsia="zh-CN"/>
                    </w:rPr>
                    <w:t>，箱变位于立交桥下。道路照明采用LED灯，采用一级光效LED路灯，路灯灯杆选用单挑钢杆，主跨桥上路灯两侧对称布置于桥上护栏上，其余路灯两侧对称布置于绿化带内。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eastAsia="zh-CN"/>
                    </w:rPr>
                    <w:t>通信工程</w:t>
                  </w:r>
                </w:p>
              </w:tc>
              <w:tc>
                <w:tcPr>
                  <w:tcW w:w="4045" w:type="pct"/>
                  <w:gridSpan w:val="2"/>
                  <w:tcBorders>
                    <w:tl2br w:val="nil"/>
                    <w:tr2bl w:val="nil"/>
                  </w:tcBorders>
                  <w:noWrap w:val="0"/>
                  <w:vAlign w:val="center"/>
                </w:tcPr>
                <w:p>
                  <w:pPr>
                    <w:pStyle w:val="32"/>
                    <w:bidi w:val="0"/>
                    <w:ind w:firstLine="0" w:firstLineChars="0"/>
                    <w:jc w:val="left"/>
                    <w:rPr>
                      <w:rFonts w:hint="eastAsia" w:ascii="Times New Roman" w:hAnsi="Times New Roman" w:eastAsia="宋体"/>
                      <w:color w:val="auto"/>
                      <w:kern w:val="0"/>
                      <w:sz w:val="20"/>
                      <w:szCs w:val="20"/>
                      <w:highlight w:val="none"/>
                      <w:lang w:val="en-US" w:eastAsia="zh-CN" w:bidi="ar-SA"/>
                    </w:rPr>
                  </w:pPr>
                  <w:r>
                    <w:rPr>
                      <w:rFonts w:hint="eastAsia"/>
                      <w:color w:val="auto"/>
                      <w:highlight w:val="none"/>
                    </w:rPr>
                    <w:t>通信排管位于分离式立交桥桥下北侧辅道内</w:t>
                  </w:r>
                  <w:r>
                    <w:rPr>
                      <w:rFonts w:hint="eastAsia"/>
                      <w:color w:val="auto"/>
                      <w:highlight w:val="none"/>
                      <w:lang w:eastAsia="zh-CN"/>
                    </w:rPr>
                    <w:t>，通信井采用重型专用防水防盗井盖，通信井主体采用C40混凝土。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拆除工程</w:t>
                  </w:r>
                </w:p>
              </w:tc>
              <w:tc>
                <w:tcPr>
                  <w:tcW w:w="4644" w:type="pct"/>
                  <w:gridSpan w:val="4"/>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拆除</w:t>
                  </w:r>
                  <w:r>
                    <w:rPr>
                      <w:rFonts w:hint="eastAsia"/>
                      <w:color w:val="auto"/>
                      <w:highlight w:val="none"/>
                      <w:lang w:eastAsia="zh-CN"/>
                    </w:rPr>
                    <w:t>道路红线范围内部分混凝土、混凝土基础、交通标志、电力电讯及其他管线设施等，</w:t>
                  </w:r>
                  <w:r>
                    <w:rPr>
                      <w:rFonts w:hint="eastAsia"/>
                      <w:color w:val="FF0000"/>
                      <w:highlight w:val="none"/>
                      <w:lang w:eastAsia="zh-CN"/>
                    </w:rPr>
                    <w:t>拆除的建筑垃圾经破碎后由唐山港兴实业集团有限公司接收运送综合利用用于场地平整和场坪提高。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restart"/>
                  <w:tcBorders>
                    <w:tl2br w:val="nil"/>
                    <w:tr2bl w:val="nil"/>
                  </w:tcBorders>
                  <w:noWrap w:val="0"/>
                  <w:vAlign w:val="center"/>
                </w:tcPr>
                <w:p>
                  <w:pPr>
                    <w:pStyle w:val="32"/>
                    <w:bidi w:val="0"/>
                    <w:rPr>
                      <w:color w:val="auto"/>
                      <w:highlight w:val="none"/>
                    </w:rPr>
                  </w:pPr>
                  <w:r>
                    <w:rPr>
                      <w:color w:val="auto"/>
                      <w:highlight w:val="none"/>
                    </w:rPr>
                    <w:t>临时工程</w:t>
                  </w: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施工场地</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rPr>
                    <w:t>设置施工场地1处，</w:t>
                  </w:r>
                  <w:r>
                    <w:rPr>
                      <w:rFonts w:hint="eastAsia"/>
                      <w:color w:val="FF0000"/>
                      <w:highlight w:val="none"/>
                      <w:lang w:eastAsia="zh-CN"/>
                    </w:rPr>
                    <w:t>位于本项目占地红线范围内，</w:t>
                  </w:r>
                  <w:r>
                    <w:rPr>
                      <w:rFonts w:hint="eastAsia"/>
                      <w:color w:val="auto"/>
                      <w:highlight w:val="none"/>
                      <w:lang w:eastAsia="zh-CN"/>
                    </w:rPr>
                    <w:t>施工</w:t>
                  </w:r>
                  <w:r>
                    <w:rPr>
                      <w:rFonts w:hint="eastAsia"/>
                      <w:color w:val="auto"/>
                      <w:highlight w:val="none"/>
                    </w:rPr>
                    <w:t>场地内存放物料机械，工人不在施工场地住宿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搅拌站</w:t>
                  </w:r>
                </w:p>
              </w:tc>
              <w:tc>
                <w:tcPr>
                  <w:tcW w:w="4045" w:type="pct"/>
                  <w:gridSpan w:val="2"/>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本项目不设置混凝土搅拌站、不设沥青搅拌站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取弃土场</w:t>
                  </w:r>
                </w:p>
              </w:tc>
              <w:tc>
                <w:tcPr>
                  <w:tcW w:w="4045" w:type="pct"/>
                  <w:gridSpan w:val="2"/>
                  <w:tcBorders>
                    <w:tl2br w:val="nil"/>
                    <w:tr2bl w:val="nil"/>
                  </w:tcBorders>
                  <w:noWrap w:val="0"/>
                  <w:vAlign w:val="center"/>
                </w:tcPr>
                <w:p>
                  <w:pPr>
                    <w:pStyle w:val="32"/>
                    <w:bidi w:val="0"/>
                    <w:jc w:val="left"/>
                    <w:rPr>
                      <w:color w:val="auto"/>
                      <w:highlight w:val="none"/>
                    </w:rPr>
                  </w:pPr>
                  <w:r>
                    <w:rPr>
                      <w:color w:val="FF0000"/>
                      <w:highlight w:val="none"/>
                    </w:rPr>
                    <w:t>本项目不设置取</w:t>
                  </w:r>
                  <w:r>
                    <w:rPr>
                      <w:rFonts w:hint="eastAsia"/>
                      <w:color w:val="FF0000"/>
                      <w:highlight w:val="none"/>
                      <w:lang w:eastAsia="zh-CN"/>
                    </w:rPr>
                    <w:t>弃</w:t>
                  </w:r>
                  <w:r>
                    <w:rPr>
                      <w:color w:val="FF0000"/>
                      <w:highlight w:val="none"/>
                    </w:rPr>
                    <w:t>土场，</w:t>
                  </w:r>
                  <w:r>
                    <w:rPr>
                      <w:rFonts w:hint="eastAsia"/>
                      <w:color w:val="FF0000"/>
                      <w:highlight w:val="none"/>
                    </w:rPr>
                    <w:t>项目</w:t>
                  </w:r>
                  <w:r>
                    <w:rPr>
                      <w:rFonts w:hint="eastAsia"/>
                      <w:color w:val="FF0000"/>
                      <w:highlight w:val="none"/>
                      <w:lang w:eastAsia="zh-CN"/>
                    </w:rPr>
                    <w:t>表土用于本项目绿化种植土回覆，挖方</w:t>
                  </w:r>
                  <w:r>
                    <w:rPr>
                      <w:rFonts w:hint="eastAsia"/>
                      <w:color w:val="FF0000"/>
                      <w:highlight w:val="none"/>
                    </w:rPr>
                    <w:t>通过及时回填和土地整平解决，</w:t>
                  </w:r>
                  <w:r>
                    <w:rPr>
                      <w:rFonts w:hint="eastAsia"/>
                      <w:color w:val="FF0000"/>
                      <w:highlight w:val="none"/>
                      <w:lang w:eastAsia="zh-CN"/>
                    </w:rPr>
                    <w:t>剩余弃方由唐山港兴实业集团有限公司接收运送综合利用用于场地平整和场坪提高</w:t>
                  </w:r>
                  <w:r>
                    <w:rPr>
                      <w:rFonts w:hint="eastAsia"/>
                      <w:color w:val="FF000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施工营地</w:t>
                  </w:r>
                </w:p>
              </w:tc>
              <w:tc>
                <w:tcPr>
                  <w:tcW w:w="4045" w:type="pct"/>
                  <w:gridSpan w:val="2"/>
                  <w:tcBorders>
                    <w:tl2br w:val="nil"/>
                    <w:tr2bl w:val="nil"/>
                  </w:tcBorders>
                  <w:noWrap w:val="0"/>
                  <w:vAlign w:val="center"/>
                </w:tcPr>
                <w:p>
                  <w:pPr>
                    <w:pStyle w:val="32"/>
                    <w:bidi w:val="0"/>
                    <w:jc w:val="left"/>
                    <w:rPr>
                      <w:color w:val="auto"/>
                      <w:highlight w:val="none"/>
                    </w:rPr>
                  </w:pPr>
                  <w:r>
                    <w:rPr>
                      <w:color w:val="auto"/>
                      <w:highlight w:val="none"/>
                    </w:rPr>
                    <w:t>项目</w:t>
                  </w:r>
                  <w:r>
                    <w:rPr>
                      <w:rFonts w:hint="eastAsia"/>
                      <w:color w:val="auto"/>
                      <w:highlight w:val="none"/>
                    </w:rPr>
                    <w:t>不建设施工营地</w:t>
                  </w:r>
                  <w:r>
                    <w:rPr>
                      <w:color w:val="auto"/>
                      <w:highlight w:val="none"/>
                    </w:rPr>
                    <w:t>，</w:t>
                  </w:r>
                  <w:r>
                    <w:rPr>
                      <w:rFonts w:hint="eastAsia"/>
                      <w:color w:val="auto"/>
                      <w:highlight w:val="none"/>
                    </w:rPr>
                    <w:t>仅设置临时办公场所，</w:t>
                  </w:r>
                  <w:r>
                    <w:rPr>
                      <w:rFonts w:hint="eastAsia"/>
                      <w:color w:val="FF0000"/>
                      <w:highlight w:val="none"/>
                      <w:lang w:eastAsia="zh-CN"/>
                    </w:rPr>
                    <w:t>位于本项目占地红线范围内，</w:t>
                  </w:r>
                  <w:r>
                    <w:rPr>
                      <w:color w:val="auto"/>
                      <w:highlight w:val="none"/>
                    </w:rPr>
                    <w:t>用于项目管理人员办公及施工人员临时</w:t>
                  </w:r>
                  <w:r>
                    <w:rPr>
                      <w:rFonts w:hint="eastAsia"/>
                      <w:color w:val="auto"/>
                      <w:highlight w:val="none"/>
                    </w:rPr>
                    <w:t>办公</w:t>
                  </w:r>
                  <w:r>
                    <w:rPr>
                      <w:color w:val="auto"/>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施工便道</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FF0000"/>
                      <w:highlight w:val="none"/>
                    </w:rPr>
                    <w:t>本项目</w:t>
                  </w:r>
                  <w:r>
                    <w:rPr>
                      <w:rFonts w:hint="eastAsia"/>
                      <w:color w:val="FF0000"/>
                      <w:highlight w:val="none"/>
                      <w:lang w:eastAsia="zh-CN"/>
                    </w:rPr>
                    <w:t>在</w:t>
                  </w:r>
                  <w:r>
                    <w:rPr>
                      <w:rFonts w:hint="eastAsia"/>
                      <w:color w:val="FF0000"/>
                      <w:highlight w:val="none"/>
                      <w:lang w:val="en-US" w:eastAsia="zh-CN"/>
                    </w:rPr>
                    <w:t>乐港路两侧的占地规划红线范围内设置施工临时道路，实行不断交施工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restart"/>
                  <w:tcBorders>
                    <w:tl2br w:val="nil"/>
                    <w:tr2bl w:val="nil"/>
                  </w:tcBorders>
                  <w:noWrap w:val="0"/>
                  <w:vAlign w:val="center"/>
                </w:tcPr>
                <w:p>
                  <w:pPr>
                    <w:pStyle w:val="32"/>
                    <w:bidi w:val="0"/>
                    <w:rPr>
                      <w:color w:val="auto"/>
                      <w:highlight w:val="none"/>
                    </w:rPr>
                  </w:pPr>
                  <w:r>
                    <w:rPr>
                      <w:color w:val="auto"/>
                      <w:highlight w:val="none"/>
                    </w:rPr>
                    <w:t>环保工程</w:t>
                  </w:r>
                </w:p>
              </w:tc>
              <w:tc>
                <w:tcPr>
                  <w:tcW w:w="189" w:type="pct"/>
                  <w:vMerge w:val="restart"/>
                  <w:tcBorders>
                    <w:tl2br w:val="nil"/>
                    <w:tr2bl w:val="nil"/>
                  </w:tcBorders>
                  <w:noWrap w:val="0"/>
                  <w:vAlign w:val="center"/>
                </w:tcPr>
                <w:p>
                  <w:pPr>
                    <w:pStyle w:val="32"/>
                    <w:bidi w:val="0"/>
                    <w:rPr>
                      <w:color w:val="auto"/>
                      <w:highlight w:val="none"/>
                    </w:rPr>
                  </w:pPr>
                  <w:r>
                    <w:rPr>
                      <w:color w:val="auto"/>
                      <w:highlight w:val="none"/>
                    </w:rPr>
                    <w:t>废气</w:t>
                  </w:r>
                </w:p>
              </w:tc>
              <w:tc>
                <w:tcPr>
                  <w:tcW w:w="410" w:type="pct"/>
                  <w:tcBorders>
                    <w:tl2br w:val="nil"/>
                    <w:tr2bl w:val="nil"/>
                  </w:tcBorders>
                  <w:noWrap w:val="0"/>
                  <w:vAlign w:val="center"/>
                </w:tcPr>
                <w:p>
                  <w:pPr>
                    <w:pStyle w:val="32"/>
                    <w:bidi w:val="0"/>
                    <w:rPr>
                      <w:color w:val="auto"/>
                      <w:highlight w:val="none"/>
                    </w:rPr>
                  </w:pPr>
                  <w:r>
                    <w:rPr>
                      <w:color w:val="auto"/>
                      <w:highlight w:val="none"/>
                    </w:rPr>
                    <w:t>施工期</w:t>
                  </w:r>
                </w:p>
              </w:tc>
              <w:tc>
                <w:tcPr>
                  <w:tcW w:w="4045" w:type="pct"/>
                  <w:gridSpan w:val="2"/>
                  <w:tcBorders>
                    <w:tl2br w:val="nil"/>
                    <w:tr2bl w:val="nil"/>
                  </w:tcBorders>
                  <w:noWrap w:val="0"/>
                  <w:vAlign w:val="center"/>
                </w:tcPr>
                <w:p>
                  <w:pPr>
                    <w:pStyle w:val="32"/>
                    <w:bidi w:val="0"/>
                    <w:jc w:val="left"/>
                    <w:rPr>
                      <w:color w:val="auto"/>
                      <w:highlight w:val="none"/>
                      <w:lang w:eastAsia="en-US"/>
                    </w:rPr>
                  </w:pPr>
                  <w:r>
                    <w:rPr>
                      <w:rFonts w:hint="eastAsia"/>
                      <w:color w:val="auto"/>
                      <w:highlight w:val="none"/>
                      <w:lang w:eastAsia="en-US"/>
                    </w:rPr>
                    <w:t>①施工场地定期洒水</w:t>
                  </w:r>
                  <w:r>
                    <w:rPr>
                      <w:rFonts w:hint="eastAsia"/>
                      <w:color w:val="auto"/>
                      <w:highlight w:val="none"/>
                    </w:rPr>
                    <w:t>、抑尘</w:t>
                  </w:r>
                  <w:r>
                    <w:rPr>
                      <w:rFonts w:hint="eastAsia"/>
                      <w:color w:val="auto"/>
                      <w:highlight w:val="none"/>
                      <w:lang w:eastAsia="zh-CN"/>
                    </w:rPr>
                    <w:t>，出入口设置车辆清洗设施</w:t>
                  </w:r>
                  <w:r>
                    <w:rPr>
                      <w:rFonts w:hint="eastAsia"/>
                      <w:color w:val="auto"/>
                      <w:highlight w:val="none"/>
                      <w:lang w:eastAsia="en-US"/>
                    </w:rPr>
                    <w:t>；</w:t>
                  </w:r>
                </w:p>
                <w:p>
                  <w:pPr>
                    <w:pStyle w:val="32"/>
                    <w:bidi w:val="0"/>
                    <w:jc w:val="left"/>
                    <w:rPr>
                      <w:rFonts w:hint="eastAsia"/>
                      <w:color w:val="auto"/>
                      <w:highlight w:val="none"/>
                      <w:lang w:eastAsia="en-US"/>
                    </w:rPr>
                  </w:pPr>
                  <w:r>
                    <w:rPr>
                      <w:rFonts w:hint="eastAsia"/>
                      <w:color w:val="auto"/>
                      <w:highlight w:val="none"/>
                      <w:lang w:eastAsia="en-US"/>
                    </w:rPr>
                    <w:t>②严格施工扬尘监管，做到</w:t>
                  </w:r>
                  <w:r>
                    <w:rPr>
                      <w:color w:val="auto"/>
                      <w:highlight w:val="none"/>
                      <w:lang w:eastAsia="en-US"/>
                    </w:rPr>
                    <w:t>“</w:t>
                  </w:r>
                  <w:r>
                    <w:rPr>
                      <w:rFonts w:hint="eastAsia"/>
                      <w:color w:val="auto"/>
                      <w:highlight w:val="none"/>
                    </w:rPr>
                    <w:t>六</w:t>
                  </w:r>
                  <w:r>
                    <w:rPr>
                      <w:rFonts w:hint="eastAsia"/>
                      <w:color w:val="auto"/>
                      <w:highlight w:val="none"/>
                      <w:lang w:eastAsia="en-US"/>
                    </w:rPr>
                    <w:t>个百分百</w:t>
                  </w:r>
                  <w:r>
                    <w:rPr>
                      <w:color w:val="auto"/>
                      <w:highlight w:val="none"/>
                      <w:lang w:eastAsia="en-US"/>
                    </w:rPr>
                    <w:t>”</w:t>
                  </w:r>
                  <w:r>
                    <w:rPr>
                      <w:rFonts w:hint="eastAsia"/>
                      <w:color w:val="auto"/>
                      <w:highlight w:val="none"/>
                      <w:lang w:eastAsia="en-US"/>
                    </w:rPr>
                    <w:t>；</w:t>
                  </w:r>
                </w:p>
                <w:p>
                  <w:pPr>
                    <w:pStyle w:val="32"/>
                    <w:bidi w:val="0"/>
                    <w:jc w:val="left"/>
                    <w:rPr>
                      <w:rFonts w:hint="eastAsia"/>
                      <w:color w:val="auto"/>
                      <w:highlight w:val="none"/>
                      <w:lang w:eastAsia="en-US"/>
                    </w:rPr>
                  </w:pPr>
                  <w:r>
                    <w:rPr>
                      <w:rFonts w:hint="eastAsia"/>
                      <w:color w:val="auto"/>
                      <w:highlight w:val="none"/>
                      <w:lang w:eastAsia="en-US"/>
                    </w:rPr>
                    <w:t>③采取围挡、遮盖等防尘措施；</w:t>
                  </w:r>
                </w:p>
                <w:p>
                  <w:pPr>
                    <w:pStyle w:val="32"/>
                    <w:bidi w:val="0"/>
                    <w:jc w:val="left"/>
                    <w:rPr>
                      <w:rFonts w:hint="eastAsia"/>
                      <w:color w:val="auto"/>
                      <w:highlight w:val="none"/>
                    </w:rPr>
                  </w:pPr>
                  <w:r>
                    <w:rPr>
                      <w:rFonts w:hint="eastAsia"/>
                      <w:color w:val="auto"/>
                      <w:highlight w:val="none"/>
                      <w:lang w:eastAsia="en-US"/>
                    </w:rPr>
                    <w:t>④运输其他易产生扬尘污染物料的单位和个人，应当采用密闭化车辆运输加强路面、交通设施的养护管理，保障道路畅通，加强对车辆的管理</w:t>
                  </w:r>
                  <w:r>
                    <w:rPr>
                      <w:rFonts w:hint="eastAsia"/>
                      <w:color w:val="auto"/>
                      <w:highlight w:val="none"/>
                    </w:rPr>
                    <w:t>；</w:t>
                  </w:r>
                </w:p>
                <w:p>
                  <w:pPr>
                    <w:pStyle w:val="32"/>
                    <w:bidi w:val="0"/>
                    <w:jc w:val="left"/>
                    <w:rPr>
                      <w:rFonts w:hint="eastAsia"/>
                      <w:color w:val="auto"/>
                      <w:highlight w:val="none"/>
                      <w:lang w:eastAsia="zh-CN"/>
                    </w:rPr>
                  </w:pPr>
                  <w:r>
                    <w:rPr>
                      <w:rFonts w:hint="eastAsia"/>
                      <w:color w:val="auto"/>
                      <w:highlight w:val="none"/>
                      <w:lang w:eastAsia="en-US"/>
                    </w:rPr>
                    <w:t>⑥沥青采取</w:t>
                  </w:r>
                  <w:r>
                    <w:rPr>
                      <w:rFonts w:hint="eastAsia"/>
                      <w:color w:val="auto"/>
                      <w:highlight w:val="none"/>
                      <w:lang w:eastAsia="zh-CN"/>
                    </w:rPr>
                    <w:t>商品沥青混凝土，</w:t>
                  </w:r>
                  <w:r>
                    <w:rPr>
                      <w:rFonts w:hint="eastAsia"/>
                      <w:color w:val="auto"/>
                      <w:highlight w:val="none"/>
                      <w:lang w:eastAsia="en-US"/>
                    </w:rPr>
                    <w:t>全封闭沥青摊铺车进</w:t>
                  </w:r>
                  <w:r>
                    <w:rPr>
                      <w:rFonts w:hint="eastAsia"/>
                      <w:color w:val="auto"/>
                      <w:highlight w:val="none"/>
                    </w:rPr>
                    <w:t>出</w:t>
                  </w:r>
                  <w:r>
                    <w:rPr>
                      <w:rFonts w:hint="eastAsia"/>
                      <w:color w:val="auto"/>
                      <w:highlight w:val="none"/>
                      <w:lang w:eastAsia="zh-CN"/>
                    </w:rPr>
                    <w:t>；</w:t>
                  </w:r>
                </w:p>
                <w:p>
                  <w:pPr>
                    <w:pStyle w:val="32"/>
                    <w:bidi w:val="0"/>
                    <w:jc w:val="left"/>
                    <w:rPr>
                      <w:rFonts w:hint="eastAsia" w:eastAsia="宋体"/>
                      <w:color w:val="auto"/>
                      <w:highlight w:val="none"/>
                      <w:lang w:eastAsia="zh-CN"/>
                    </w:rPr>
                  </w:pPr>
                  <w:r>
                    <w:rPr>
                      <w:rFonts w:hint="eastAsia"/>
                      <w:color w:val="auto"/>
                      <w:highlight w:val="none"/>
                    </w:rPr>
                    <w:t>⑦焊接配备移动式焊接烟尘净化器处理</w:t>
                  </w:r>
                  <w:r>
                    <w:rPr>
                      <w:rFonts w:hint="eastAsia"/>
                      <w:color w:val="auto"/>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189" w:type="pct"/>
                  <w:vMerge w:val="continue"/>
                  <w:tcBorders>
                    <w:tl2br w:val="nil"/>
                    <w:tr2bl w:val="nil"/>
                  </w:tcBorders>
                  <w:noWrap w:val="0"/>
                  <w:vAlign w:val="center"/>
                </w:tcPr>
                <w:p>
                  <w:pPr>
                    <w:pStyle w:val="32"/>
                    <w:bidi w:val="0"/>
                    <w:rPr>
                      <w:color w:val="auto"/>
                      <w:highlight w:val="none"/>
                    </w:rPr>
                  </w:pPr>
                </w:p>
              </w:tc>
              <w:tc>
                <w:tcPr>
                  <w:tcW w:w="410" w:type="pct"/>
                  <w:tcBorders>
                    <w:tl2br w:val="nil"/>
                    <w:tr2bl w:val="nil"/>
                  </w:tcBorders>
                  <w:noWrap w:val="0"/>
                  <w:vAlign w:val="center"/>
                </w:tcPr>
                <w:p>
                  <w:pPr>
                    <w:pStyle w:val="32"/>
                    <w:bidi w:val="0"/>
                    <w:rPr>
                      <w:color w:val="auto"/>
                      <w:highlight w:val="none"/>
                    </w:rPr>
                  </w:pPr>
                  <w:r>
                    <w:rPr>
                      <w:color w:val="auto"/>
                      <w:highlight w:val="none"/>
                    </w:rPr>
                    <w:t>运营期</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rPr>
                    <w:t>主要为车辆行驶过程中产生的尾气等，道路工程周边设置绿化缓冲带等。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189" w:type="pct"/>
                  <w:vMerge w:val="restart"/>
                  <w:tcBorders>
                    <w:tl2br w:val="nil"/>
                    <w:tr2bl w:val="nil"/>
                  </w:tcBorders>
                  <w:noWrap w:val="0"/>
                  <w:vAlign w:val="center"/>
                </w:tcPr>
                <w:p>
                  <w:pPr>
                    <w:pStyle w:val="32"/>
                    <w:bidi w:val="0"/>
                    <w:rPr>
                      <w:color w:val="auto"/>
                      <w:highlight w:val="none"/>
                    </w:rPr>
                  </w:pPr>
                  <w:r>
                    <w:rPr>
                      <w:color w:val="auto"/>
                      <w:highlight w:val="none"/>
                    </w:rPr>
                    <w:t>废水</w:t>
                  </w:r>
                </w:p>
              </w:tc>
              <w:tc>
                <w:tcPr>
                  <w:tcW w:w="410" w:type="pct"/>
                  <w:tcBorders>
                    <w:tl2br w:val="nil"/>
                    <w:tr2bl w:val="nil"/>
                  </w:tcBorders>
                  <w:noWrap w:val="0"/>
                  <w:vAlign w:val="center"/>
                </w:tcPr>
                <w:p>
                  <w:pPr>
                    <w:pStyle w:val="32"/>
                    <w:bidi w:val="0"/>
                    <w:rPr>
                      <w:color w:val="auto"/>
                      <w:highlight w:val="none"/>
                    </w:rPr>
                  </w:pPr>
                  <w:r>
                    <w:rPr>
                      <w:color w:val="auto"/>
                      <w:highlight w:val="none"/>
                    </w:rPr>
                    <w:t>施工期</w:t>
                  </w:r>
                </w:p>
              </w:tc>
              <w:tc>
                <w:tcPr>
                  <w:tcW w:w="4045" w:type="pct"/>
                  <w:gridSpan w:val="2"/>
                  <w:tcBorders>
                    <w:tl2br w:val="nil"/>
                    <w:tr2bl w:val="nil"/>
                  </w:tcBorders>
                  <w:noWrap w:val="0"/>
                  <w:vAlign w:val="center"/>
                </w:tcPr>
                <w:p>
                  <w:pPr>
                    <w:pStyle w:val="32"/>
                    <w:bidi w:val="0"/>
                    <w:jc w:val="left"/>
                    <w:rPr>
                      <w:rFonts w:hint="eastAsia" w:eastAsia="宋体"/>
                      <w:color w:val="auto"/>
                      <w:highlight w:val="none"/>
                      <w:lang w:eastAsia="zh-CN"/>
                    </w:rPr>
                  </w:pPr>
                  <w:r>
                    <w:rPr>
                      <w:rFonts w:hint="eastAsia"/>
                      <w:color w:val="auto"/>
                      <w:highlight w:val="none"/>
                    </w:rPr>
                    <w:t>施工机械及车辆需要经常清洗或受到雨淋，产生的废水污染物主要为SS、石油类。在施工场地出入口附近设置专门的车辆、机械冲洗区域，该区域地面设置硬化防渗地坪，同时在施工工地周围设置集水沟和沉淀池，废水</w:t>
                  </w:r>
                  <w:r>
                    <w:rPr>
                      <w:rFonts w:hint="eastAsia"/>
                      <w:color w:val="auto"/>
                      <w:highlight w:val="none"/>
                      <w:lang w:eastAsia="zh-CN"/>
                    </w:rPr>
                    <w:t>经</w:t>
                  </w:r>
                  <w:r>
                    <w:rPr>
                      <w:rFonts w:hint="eastAsia"/>
                      <w:color w:val="auto"/>
                      <w:highlight w:val="none"/>
                    </w:rPr>
                    <w:t>沉淀处理后</w:t>
                  </w:r>
                  <w:r>
                    <w:rPr>
                      <w:rFonts w:hint="eastAsia"/>
                      <w:color w:val="auto"/>
                      <w:highlight w:val="none"/>
                      <w:lang w:eastAsia="zh-CN"/>
                    </w:rPr>
                    <w:t>回用于洗车或洒水抑尘</w:t>
                  </w:r>
                  <w:r>
                    <w:rPr>
                      <w:rFonts w:hint="eastAsia"/>
                      <w:color w:val="auto"/>
                      <w:highlight w:val="none"/>
                    </w:rPr>
                    <w:t>；</w:t>
                  </w:r>
                  <w:r>
                    <w:rPr>
                      <w:color w:val="auto"/>
                      <w:highlight w:val="none"/>
                    </w:rPr>
                    <w:t>生活污水水质简单直接泼洒地面抑尘</w:t>
                  </w:r>
                  <w:r>
                    <w:rPr>
                      <w:rFonts w:hint="eastAsia"/>
                      <w:color w:val="auto"/>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189" w:type="pct"/>
                  <w:vMerge w:val="continue"/>
                  <w:tcBorders>
                    <w:tl2br w:val="nil"/>
                    <w:tr2bl w:val="nil"/>
                  </w:tcBorders>
                  <w:noWrap w:val="0"/>
                  <w:vAlign w:val="center"/>
                </w:tcPr>
                <w:p>
                  <w:pPr>
                    <w:pStyle w:val="32"/>
                    <w:bidi w:val="0"/>
                    <w:rPr>
                      <w:color w:val="auto"/>
                      <w:highlight w:val="none"/>
                    </w:rPr>
                  </w:pPr>
                </w:p>
              </w:tc>
              <w:tc>
                <w:tcPr>
                  <w:tcW w:w="410" w:type="pct"/>
                  <w:tcBorders>
                    <w:tl2br w:val="nil"/>
                    <w:tr2bl w:val="nil"/>
                  </w:tcBorders>
                  <w:noWrap w:val="0"/>
                  <w:vAlign w:val="center"/>
                </w:tcPr>
                <w:p>
                  <w:pPr>
                    <w:pStyle w:val="32"/>
                    <w:bidi w:val="0"/>
                    <w:rPr>
                      <w:color w:val="auto"/>
                      <w:highlight w:val="none"/>
                    </w:rPr>
                  </w:pPr>
                  <w:r>
                    <w:rPr>
                      <w:color w:val="auto"/>
                      <w:highlight w:val="none"/>
                    </w:rPr>
                    <w:t>运营期</w:t>
                  </w:r>
                </w:p>
              </w:tc>
              <w:tc>
                <w:tcPr>
                  <w:tcW w:w="4045" w:type="pct"/>
                  <w:gridSpan w:val="2"/>
                  <w:tcBorders>
                    <w:tl2br w:val="nil"/>
                    <w:tr2bl w:val="nil"/>
                  </w:tcBorders>
                  <w:noWrap w:val="0"/>
                  <w:vAlign w:val="center"/>
                </w:tcPr>
                <w:p>
                  <w:pPr>
                    <w:pStyle w:val="32"/>
                    <w:bidi w:val="0"/>
                    <w:jc w:val="left"/>
                    <w:rPr>
                      <w:color w:val="auto"/>
                      <w:highlight w:val="none"/>
                    </w:rPr>
                  </w:pPr>
                  <w:r>
                    <w:rPr>
                      <w:color w:val="auto"/>
                      <w:highlight w:val="none"/>
                    </w:rPr>
                    <w:t>营运期雨污分流，</w:t>
                  </w:r>
                  <w:r>
                    <w:rPr>
                      <w:rFonts w:hint="eastAsia"/>
                      <w:color w:val="auto"/>
                      <w:highlight w:val="none"/>
                      <w:lang w:eastAsia="zh-CN"/>
                    </w:rPr>
                    <w:t>本项目污水经管网收集后</w:t>
                  </w:r>
                  <w:r>
                    <w:rPr>
                      <w:rFonts w:hint="eastAsia"/>
                      <w:color w:val="auto"/>
                      <w:highlight w:val="none"/>
                      <w:lang w:val="en-US" w:eastAsia="zh-CN"/>
                    </w:rPr>
                    <w:t>接入下游现状污水管道，道路红线范围内雨水经雨水口收集后通过管道排至道路两侧排水沟。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189" w:type="pct"/>
                  <w:vMerge w:val="restart"/>
                  <w:tcBorders>
                    <w:tl2br w:val="nil"/>
                    <w:tr2bl w:val="nil"/>
                  </w:tcBorders>
                  <w:noWrap w:val="0"/>
                  <w:vAlign w:val="center"/>
                </w:tcPr>
                <w:p>
                  <w:pPr>
                    <w:pStyle w:val="32"/>
                    <w:bidi w:val="0"/>
                    <w:rPr>
                      <w:color w:val="auto"/>
                      <w:highlight w:val="none"/>
                    </w:rPr>
                  </w:pPr>
                  <w:r>
                    <w:rPr>
                      <w:color w:val="auto"/>
                      <w:highlight w:val="none"/>
                    </w:rPr>
                    <w:t>固废</w:t>
                  </w:r>
                </w:p>
              </w:tc>
              <w:tc>
                <w:tcPr>
                  <w:tcW w:w="410" w:type="pct"/>
                  <w:tcBorders>
                    <w:tl2br w:val="nil"/>
                    <w:tr2bl w:val="nil"/>
                  </w:tcBorders>
                  <w:noWrap w:val="0"/>
                  <w:vAlign w:val="center"/>
                </w:tcPr>
                <w:p>
                  <w:pPr>
                    <w:pStyle w:val="32"/>
                    <w:bidi w:val="0"/>
                    <w:rPr>
                      <w:color w:val="auto"/>
                      <w:highlight w:val="none"/>
                    </w:rPr>
                  </w:pPr>
                  <w:r>
                    <w:rPr>
                      <w:color w:val="auto"/>
                      <w:highlight w:val="none"/>
                    </w:rPr>
                    <w:t>施工期</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lang w:eastAsia="zh-CN"/>
                    </w:rPr>
                    <w:t>施工及拆除道路产生的</w:t>
                  </w:r>
                  <w:r>
                    <w:rPr>
                      <w:rFonts w:hint="eastAsia"/>
                      <w:color w:val="auto"/>
                      <w:highlight w:val="none"/>
                      <w:lang w:eastAsia="en-US"/>
                    </w:rPr>
                    <w:t>建筑垃圾</w:t>
                  </w:r>
                  <w:r>
                    <w:rPr>
                      <w:rFonts w:hint="eastAsia"/>
                      <w:color w:val="auto"/>
                      <w:highlight w:val="none"/>
                      <w:lang w:eastAsia="zh-CN"/>
                    </w:rPr>
                    <w:t>及时</w:t>
                  </w:r>
                  <w:r>
                    <w:rPr>
                      <w:rFonts w:hint="eastAsia"/>
                      <w:color w:val="auto"/>
                      <w:highlight w:val="none"/>
                      <w:lang w:eastAsia="en-US"/>
                    </w:rPr>
                    <w:t>外运</w:t>
                  </w:r>
                  <w:r>
                    <w:rPr>
                      <w:rFonts w:hint="eastAsia"/>
                      <w:color w:val="auto"/>
                      <w:highlight w:val="none"/>
                      <w:lang w:eastAsia="zh-CN"/>
                    </w:rPr>
                    <w:t>至政府指定建筑垃圾暂存处</w:t>
                  </w:r>
                  <w:r>
                    <w:rPr>
                      <w:rFonts w:hint="eastAsia"/>
                      <w:color w:val="auto"/>
                      <w:highlight w:val="none"/>
                      <w:lang w:eastAsia="en-US"/>
                    </w:rPr>
                    <w:t>；弃土方全部运至</w:t>
                  </w:r>
                  <w:r>
                    <w:rPr>
                      <w:rFonts w:hint="eastAsia"/>
                      <w:color w:val="auto"/>
                      <w:highlight w:val="none"/>
                      <w:lang w:eastAsia="zh-CN"/>
                    </w:rPr>
                    <w:t>临时堆土场，由施工单位综合调配利用</w:t>
                  </w:r>
                  <w:r>
                    <w:rPr>
                      <w:rFonts w:hint="eastAsia"/>
                      <w:color w:val="auto"/>
                      <w:highlight w:val="none"/>
                      <w:lang w:eastAsia="en-US"/>
                    </w:rPr>
                    <w:t>；生活垃圾经收集后定期交由环卫部门清运处置</w:t>
                  </w:r>
                  <w:r>
                    <w:rPr>
                      <w:rFonts w:hint="eastAsia"/>
                      <w:color w:val="auto"/>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189" w:type="pct"/>
                  <w:vMerge w:val="continue"/>
                  <w:tcBorders>
                    <w:tl2br w:val="nil"/>
                    <w:tr2bl w:val="nil"/>
                  </w:tcBorders>
                  <w:noWrap w:val="0"/>
                  <w:vAlign w:val="center"/>
                </w:tcPr>
                <w:p>
                  <w:pPr>
                    <w:pStyle w:val="32"/>
                    <w:bidi w:val="0"/>
                    <w:rPr>
                      <w:color w:val="auto"/>
                      <w:highlight w:val="none"/>
                    </w:rPr>
                  </w:pPr>
                </w:p>
              </w:tc>
              <w:tc>
                <w:tcPr>
                  <w:tcW w:w="410" w:type="pct"/>
                  <w:tcBorders>
                    <w:tl2br w:val="nil"/>
                    <w:tr2bl w:val="nil"/>
                  </w:tcBorders>
                  <w:noWrap w:val="0"/>
                  <w:vAlign w:val="center"/>
                </w:tcPr>
                <w:p>
                  <w:pPr>
                    <w:pStyle w:val="32"/>
                    <w:bidi w:val="0"/>
                    <w:rPr>
                      <w:color w:val="auto"/>
                      <w:highlight w:val="none"/>
                    </w:rPr>
                  </w:pPr>
                  <w:r>
                    <w:rPr>
                      <w:color w:val="auto"/>
                      <w:highlight w:val="none"/>
                    </w:rPr>
                    <w:t>运营期</w:t>
                  </w:r>
                </w:p>
              </w:tc>
              <w:tc>
                <w:tcPr>
                  <w:tcW w:w="4045" w:type="pct"/>
                  <w:gridSpan w:val="2"/>
                  <w:tcBorders>
                    <w:tl2br w:val="nil"/>
                    <w:tr2bl w:val="nil"/>
                  </w:tcBorders>
                  <w:noWrap w:val="0"/>
                  <w:vAlign w:val="center"/>
                </w:tcPr>
                <w:p>
                  <w:pPr>
                    <w:pStyle w:val="32"/>
                    <w:bidi w:val="0"/>
                    <w:jc w:val="left"/>
                    <w:rPr>
                      <w:color w:val="auto"/>
                      <w:highlight w:val="none"/>
                    </w:rPr>
                  </w:pPr>
                  <w:r>
                    <w:rPr>
                      <w:color w:val="auto"/>
                      <w:highlight w:val="none"/>
                    </w:rPr>
                    <w:t>路面垃圾，由当地环卫部门统一清运处理。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189" w:type="pct"/>
                  <w:vMerge w:val="restart"/>
                  <w:tcBorders>
                    <w:tl2br w:val="nil"/>
                    <w:tr2bl w:val="nil"/>
                  </w:tcBorders>
                  <w:noWrap w:val="0"/>
                  <w:vAlign w:val="center"/>
                </w:tcPr>
                <w:p>
                  <w:pPr>
                    <w:pStyle w:val="32"/>
                    <w:bidi w:val="0"/>
                    <w:rPr>
                      <w:color w:val="auto"/>
                      <w:highlight w:val="none"/>
                    </w:rPr>
                  </w:pPr>
                  <w:r>
                    <w:rPr>
                      <w:color w:val="auto"/>
                      <w:highlight w:val="none"/>
                    </w:rPr>
                    <w:t>噪声</w:t>
                  </w:r>
                </w:p>
              </w:tc>
              <w:tc>
                <w:tcPr>
                  <w:tcW w:w="410" w:type="pct"/>
                  <w:tcBorders>
                    <w:tl2br w:val="nil"/>
                    <w:tr2bl w:val="nil"/>
                  </w:tcBorders>
                  <w:noWrap w:val="0"/>
                  <w:vAlign w:val="center"/>
                </w:tcPr>
                <w:p>
                  <w:pPr>
                    <w:pStyle w:val="32"/>
                    <w:bidi w:val="0"/>
                    <w:rPr>
                      <w:color w:val="auto"/>
                      <w:highlight w:val="none"/>
                    </w:rPr>
                  </w:pPr>
                  <w:r>
                    <w:rPr>
                      <w:color w:val="auto"/>
                      <w:highlight w:val="none"/>
                    </w:rPr>
                    <w:t>施工期</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lang w:eastAsia="en-US"/>
                    </w:rPr>
                    <w:t>合理布置施工现场；合理安排施工作业时间；合理安排施工运输车辆的行走路线和行走时间；选择</w:t>
                  </w:r>
                  <w:r>
                    <w:rPr>
                      <w:rFonts w:hint="eastAsia"/>
                      <w:color w:val="auto"/>
                      <w:highlight w:val="none"/>
                      <w:lang w:eastAsia="zh-CN"/>
                    </w:rPr>
                    <w:t>低噪声</w:t>
                  </w:r>
                  <w:r>
                    <w:rPr>
                      <w:rFonts w:hint="eastAsia"/>
                      <w:color w:val="auto"/>
                      <w:highlight w:val="none"/>
                      <w:lang w:eastAsia="en-US"/>
                    </w:rPr>
                    <w:t>施工机械设备；加强环境管理，接受环保部门环境监督；施工单位需要贯彻各项施工管理制度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189" w:type="pct"/>
                  <w:vMerge w:val="continue"/>
                  <w:tcBorders>
                    <w:tl2br w:val="nil"/>
                    <w:tr2bl w:val="nil"/>
                  </w:tcBorders>
                  <w:noWrap w:val="0"/>
                  <w:vAlign w:val="center"/>
                </w:tcPr>
                <w:p>
                  <w:pPr>
                    <w:pStyle w:val="32"/>
                    <w:bidi w:val="0"/>
                    <w:rPr>
                      <w:color w:val="auto"/>
                      <w:highlight w:val="none"/>
                    </w:rPr>
                  </w:pPr>
                </w:p>
              </w:tc>
              <w:tc>
                <w:tcPr>
                  <w:tcW w:w="410" w:type="pct"/>
                  <w:tcBorders>
                    <w:tl2br w:val="nil"/>
                    <w:tr2bl w:val="nil"/>
                  </w:tcBorders>
                  <w:noWrap w:val="0"/>
                  <w:vAlign w:val="center"/>
                </w:tcPr>
                <w:p>
                  <w:pPr>
                    <w:pStyle w:val="32"/>
                    <w:bidi w:val="0"/>
                    <w:rPr>
                      <w:color w:val="auto"/>
                      <w:highlight w:val="none"/>
                    </w:rPr>
                  </w:pPr>
                  <w:r>
                    <w:rPr>
                      <w:color w:val="auto"/>
                      <w:highlight w:val="none"/>
                    </w:rPr>
                    <w:t>运营期</w:t>
                  </w:r>
                </w:p>
              </w:tc>
              <w:tc>
                <w:tcPr>
                  <w:tcW w:w="4045" w:type="pct"/>
                  <w:gridSpan w:val="2"/>
                  <w:tcBorders>
                    <w:tl2br w:val="nil"/>
                    <w:tr2bl w:val="nil"/>
                  </w:tcBorders>
                  <w:noWrap w:val="0"/>
                  <w:vAlign w:val="center"/>
                </w:tcPr>
                <w:p>
                  <w:pPr>
                    <w:pStyle w:val="32"/>
                    <w:bidi w:val="0"/>
                    <w:jc w:val="left"/>
                    <w:rPr>
                      <w:color w:val="auto"/>
                      <w:highlight w:val="none"/>
                    </w:rPr>
                  </w:pPr>
                  <w:r>
                    <w:rPr>
                      <w:color w:val="auto"/>
                      <w:highlight w:val="none"/>
                    </w:rPr>
                    <w:t>完善道路警示标志，</w:t>
                  </w:r>
                  <w:r>
                    <w:rPr>
                      <w:rFonts w:hint="eastAsia"/>
                      <w:color w:val="auto"/>
                      <w:highlight w:val="none"/>
                    </w:rPr>
                    <w:t>合理</w:t>
                  </w:r>
                  <w:r>
                    <w:rPr>
                      <w:rFonts w:hint="eastAsia"/>
                      <w:color w:val="auto"/>
                      <w:highlight w:val="none"/>
                      <w:lang w:eastAsia="en-US"/>
                    </w:rPr>
                    <w:t>车辆限速、鸣笛</w:t>
                  </w:r>
                  <w:r>
                    <w:rPr>
                      <w:rFonts w:hint="eastAsia"/>
                      <w:color w:val="auto"/>
                      <w:highlight w:val="none"/>
                    </w:rPr>
                    <w:t>，加强车辆管理</w:t>
                  </w:r>
                  <w:r>
                    <w:rPr>
                      <w:rFonts w:hint="eastAsia"/>
                      <w:color w:val="auto"/>
                      <w:highlight w:val="none"/>
                      <w:lang w:eastAsia="zh-CN"/>
                    </w:rPr>
                    <w:t>；</w:t>
                  </w:r>
                  <w:r>
                    <w:rPr>
                      <w:color w:val="auto"/>
                      <w:highlight w:val="none"/>
                    </w:rPr>
                    <w:t>对</w:t>
                  </w:r>
                  <w:r>
                    <w:rPr>
                      <w:rFonts w:hint="eastAsia"/>
                      <w:color w:val="auto"/>
                      <w:highlight w:val="none"/>
                      <w:lang w:eastAsia="zh-CN"/>
                    </w:rPr>
                    <w:t>周边</w:t>
                  </w:r>
                  <w:r>
                    <w:rPr>
                      <w:color w:val="auto"/>
                      <w:highlight w:val="none"/>
                    </w:rPr>
                    <w:t>绿化带进行维护、管理，使其具有良好的降噪效果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5" w:type="pct"/>
                  <w:vMerge w:val="continue"/>
                  <w:tcBorders>
                    <w:tl2br w:val="nil"/>
                    <w:tr2bl w:val="nil"/>
                  </w:tcBorders>
                  <w:noWrap w:val="0"/>
                  <w:vAlign w:val="center"/>
                </w:tcPr>
                <w:p>
                  <w:pPr>
                    <w:pStyle w:val="32"/>
                    <w:bidi w:val="0"/>
                    <w:rPr>
                      <w:color w:val="auto"/>
                      <w:highlight w:val="none"/>
                    </w:rPr>
                  </w:pPr>
                </w:p>
              </w:tc>
              <w:tc>
                <w:tcPr>
                  <w:tcW w:w="599" w:type="pct"/>
                  <w:gridSpan w:val="2"/>
                  <w:tcBorders>
                    <w:tl2br w:val="nil"/>
                    <w:tr2bl w:val="nil"/>
                  </w:tcBorders>
                  <w:noWrap w:val="0"/>
                  <w:vAlign w:val="center"/>
                </w:tcPr>
                <w:p>
                  <w:pPr>
                    <w:pStyle w:val="32"/>
                    <w:bidi w:val="0"/>
                    <w:rPr>
                      <w:color w:val="auto"/>
                      <w:highlight w:val="none"/>
                    </w:rPr>
                  </w:pPr>
                  <w:r>
                    <w:rPr>
                      <w:color w:val="auto"/>
                      <w:highlight w:val="none"/>
                    </w:rPr>
                    <w:t>生态</w:t>
                  </w:r>
                </w:p>
              </w:tc>
              <w:tc>
                <w:tcPr>
                  <w:tcW w:w="4045" w:type="pct"/>
                  <w:gridSpan w:val="2"/>
                  <w:tcBorders>
                    <w:tl2br w:val="nil"/>
                    <w:tr2bl w:val="nil"/>
                  </w:tcBorders>
                  <w:noWrap w:val="0"/>
                  <w:vAlign w:val="center"/>
                </w:tcPr>
                <w:p>
                  <w:pPr>
                    <w:pStyle w:val="32"/>
                    <w:bidi w:val="0"/>
                    <w:jc w:val="left"/>
                    <w:rPr>
                      <w:color w:val="auto"/>
                      <w:highlight w:val="none"/>
                    </w:rPr>
                  </w:pPr>
                  <w:r>
                    <w:rPr>
                      <w:rFonts w:hint="eastAsia"/>
                      <w:color w:val="auto"/>
                      <w:highlight w:val="none"/>
                    </w:rPr>
                    <w:t>①</w:t>
                  </w:r>
                  <w:r>
                    <w:rPr>
                      <w:color w:val="auto"/>
                      <w:highlight w:val="none"/>
                    </w:rPr>
                    <w:t>尽量减少临时占地，缩短占用时间。</w:t>
                  </w:r>
                </w:p>
                <w:p>
                  <w:pPr>
                    <w:pStyle w:val="32"/>
                    <w:bidi w:val="0"/>
                    <w:jc w:val="left"/>
                    <w:rPr>
                      <w:color w:val="auto"/>
                      <w:highlight w:val="none"/>
                    </w:rPr>
                  </w:pPr>
                  <w:r>
                    <w:rPr>
                      <w:rFonts w:hint="eastAsia"/>
                      <w:color w:val="auto"/>
                      <w:highlight w:val="none"/>
                    </w:rPr>
                    <w:t>②</w:t>
                  </w:r>
                  <w:r>
                    <w:rPr>
                      <w:color w:val="auto"/>
                      <w:highlight w:val="none"/>
                    </w:rPr>
                    <w:t>对占地范围内乔木进行移植，后期可用于绿化带植被。</w:t>
                  </w:r>
                </w:p>
                <w:p>
                  <w:pPr>
                    <w:pStyle w:val="32"/>
                    <w:bidi w:val="0"/>
                    <w:jc w:val="left"/>
                    <w:rPr>
                      <w:color w:val="auto"/>
                      <w:highlight w:val="none"/>
                    </w:rPr>
                  </w:pPr>
                  <w:r>
                    <w:rPr>
                      <w:rFonts w:hint="eastAsia"/>
                      <w:color w:val="auto"/>
                      <w:highlight w:val="none"/>
                    </w:rPr>
                    <w:t>③</w:t>
                  </w:r>
                  <w:r>
                    <w:rPr>
                      <w:color w:val="auto"/>
                      <w:highlight w:val="none"/>
                    </w:rPr>
                    <w:t>表土保存、后期表土回覆。</w:t>
                  </w:r>
                </w:p>
                <w:p>
                  <w:pPr>
                    <w:pStyle w:val="32"/>
                    <w:bidi w:val="0"/>
                    <w:jc w:val="left"/>
                    <w:rPr>
                      <w:color w:val="auto"/>
                      <w:highlight w:val="none"/>
                    </w:rPr>
                  </w:pPr>
                  <w:r>
                    <w:rPr>
                      <w:rFonts w:hint="eastAsia"/>
                      <w:color w:val="auto"/>
                      <w:highlight w:val="none"/>
                    </w:rPr>
                    <w:t>④</w:t>
                  </w:r>
                  <w:r>
                    <w:rPr>
                      <w:color w:val="auto"/>
                      <w:highlight w:val="none"/>
                    </w:rPr>
                    <w:t>加强施工人员环保意识，避免施工作业、施工车辆等损坏植被。</w:t>
                  </w:r>
                </w:p>
              </w:tc>
            </w:tr>
          </w:tbl>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FF0000"/>
                <w:highlight w:val="none"/>
                <w:lang w:val="en-US" w:eastAsia="zh-CN"/>
              </w:rPr>
            </w:pPr>
            <w:r>
              <w:rPr>
                <w:rFonts w:hint="eastAsia" w:ascii="Times New Roman" w:hAnsi="Times New Roman" w:eastAsia="宋体" w:cs="Times New Roman"/>
                <w:color w:val="FF0000"/>
                <w:highlight w:val="none"/>
                <w:lang w:val="en-US" w:eastAsia="zh-CN"/>
              </w:rPr>
              <w:t>临时占地一览表</w:t>
            </w:r>
          </w:p>
          <w:tbl>
            <w:tblPr>
              <w:tblStyle w:val="2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266"/>
              <w:gridCol w:w="2439"/>
              <w:gridCol w:w="945"/>
              <w:gridCol w:w="1305"/>
              <w:gridCol w:w="1260"/>
              <w:gridCol w:w="11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753" w:type="pct"/>
                  <w:vAlign w:val="center"/>
                </w:tcPr>
                <w:p>
                  <w:pPr>
                    <w:pStyle w:val="32"/>
                    <w:bidi w:val="0"/>
                    <w:jc w:val="center"/>
                    <w:rPr>
                      <w:rFonts w:hint="eastAsia"/>
                      <w:color w:val="FF0000"/>
                      <w:highlight w:val="none"/>
                      <w:lang w:eastAsia="zh-CN"/>
                    </w:rPr>
                  </w:pPr>
                  <w:r>
                    <w:rPr>
                      <w:rFonts w:hint="eastAsia"/>
                      <w:color w:val="FF0000"/>
                      <w:highlight w:val="none"/>
                      <w:lang w:eastAsia="zh-CN"/>
                    </w:rPr>
                    <w:t>临时占地用途</w:t>
                  </w:r>
                </w:p>
              </w:tc>
              <w:tc>
                <w:tcPr>
                  <w:tcW w:w="1450" w:type="pct"/>
                  <w:vAlign w:val="center"/>
                </w:tcPr>
                <w:p>
                  <w:pPr>
                    <w:pStyle w:val="32"/>
                    <w:bidi w:val="0"/>
                    <w:jc w:val="center"/>
                    <w:rPr>
                      <w:rFonts w:hint="eastAsia"/>
                      <w:color w:val="FF0000"/>
                      <w:highlight w:val="none"/>
                      <w:lang w:eastAsia="zh-CN"/>
                    </w:rPr>
                  </w:pPr>
                  <w:r>
                    <w:rPr>
                      <w:rFonts w:hint="eastAsia"/>
                      <w:color w:val="FF0000"/>
                      <w:highlight w:val="none"/>
                      <w:lang w:eastAsia="zh-CN"/>
                    </w:rPr>
                    <w:t>位置</w:t>
                  </w:r>
                </w:p>
              </w:tc>
              <w:tc>
                <w:tcPr>
                  <w:tcW w:w="562" w:type="pct"/>
                  <w:vAlign w:val="center"/>
                </w:tcPr>
                <w:p>
                  <w:pPr>
                    <w:pStyle w:val="32"/>
                    <w:bidi w:val="0"/>
                    <w:jc w:val="center"/>
                    <w:rPr>
                      <w:rFonts w:hint="default"/>
                      <w:color w:val="FF0000"/>
                      <w:highlight w:val="none"/>
                      <w:lang w:val="en-US" w:eastAsia="zh-CN"/>
                    </w:rPr>
                  </w:pPr>
                  <w:r>
                    <w:rPr>
                      <w:rFonts w:hint="eastAsia"/>
                      <w:color w:val="FF0000"/>
                      <w:highlight w:val="none"/>
                      <w:lang w:eastAsia="zh-CN"/>
                    </w:rPr>
                    <w:t>面积</w:t>
                  </w:r>
                  <w:r>
                    <w:rPr>
                      <w:rFonts w:hint="eastAsia"/>
                      <w:color w:val="FF0000"/>
                      <w:highlight w:val="none"/>
                      <w:lang w:val="en-US" w:eastAsia="zh-CN"/>
                    </w:rPr>
                    <w:t>/m</w:t>
                  </w:r>
                  <w:r>
                    <w:rPr>
                      <w:rFonts w:hint="eastAsia"/>
                      <w:color w:val="FF0000"/>
                      <w:highlight w:val="none"/>
                      <w:vertAlign w:val="superscript"/>
                      <w:lang w:val="en-US" w:eastAsia="zh-CN"/>
                    </w:rPr>
                    <w:t>2</w:t>
                  </w:r>
                </w:p>
              </w:tc>
              <w:tc>
                <w:tcPr>
                  <w:tcW w:w="776" w:type="pct"/>
                  <w:vAlign w:val="center"/>
                </w:tcPr>
                <w:p>
                  <w:pPr>
                    <w:pStyle w:val="32"/>
                    <w:bidi w:val="0"/>
                    <w:jc w:val="center"/>
                    <w:rPr>
                      <w:rFonts w:hint="eastAsia"/>
                      <w:color w:val="FF0000"/>
                      <w:highlight w:val="none"/>
                      <w:lang w:eastAsia="zh-CN"/>
                    </w:rPr>
                  </w:pPr>
                  <w:r>
                    <w:rPr>
                      <w:rFonts w:hint="eastAsia"/>
                      <w:color w:val="FF0000"/>
                      <w:highlight w:val="none"/>
                      <w:lang w:eastAsia="zh-CN"/>
                    </w:rPr>
                    <w:t>土地类型</w:t>
                  </w:r>
                </w:p>
              </w:tc>
              <w:tc>
                <w:tcPr>
                  <w:tcW w:w="749" w:type="pct"/>
                  <w:vAlign w:val="center"/>
                </w:tcPr>
                <w:p>
                  <w:pPr>
                    <w:pStyle w:val="32"/>
                    <w:bidi w:val="0"/>
                    <w:jc w:val="center"/>
                    <w:rPr>
                      <w:rFonts w:hint="eastAsia"/>
                      <w:color w:val="FF0000"/>
                      <w:highlight w:val="none"/>
                      <w:lang w:eastAsia="zh-CN"/>
                    </w:rPr>
                  </w:pPr>
                  <w:r>
                    <w:rPr>
                      <w:rFonts w:hint="eastAsia"/>
                      <w:color w:val="FF0000"/>
                      <w:highlight w:val="none"/>
                      <w:lang w:eastAsia="zh-CN"/>
                    </w:rPr>
                    <w:t>土地利用现状</w:t>
                  </w:r>
                </w:p>
              </w:tc>
              <w:tc>
                <w:tcPr>
                  <w:tcW w:w="708" w:type="pct"/>
                  <w:vAlign w:val="center"/>
                </w:tcPr>
                <w:p>
                  <w:pPr>
                    <w:pStyle w:val="32"/>
                    <w:bidi w:val="0"/>
                    <w:jc w:val="center"/>
                    <w:rPr>
                      <w:rFonts w:hint="eastAsia"/>
                      <w:color w:val="FF0000"/>
                      <w:highlight w:val="none"/>
                      <w:lang w:eastAsia="zh-CN"/>
                    </w:rPr>
                  </w:pPr>
                  <w:r>
                    <w:rPr>
                      <w:rFonts w:hint="eastAsia"/>
                      <w:color w:val="FF0000"/>
                      <w:highlight w:val="none"/>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753" w:type="pct"/>
                  <w:vAlign w:val="center"/>
                </w:tcPr>
                <w:p>
                  <w:pPr>
                    <w:pStyle w:val="32"/>
                    <w:bidi w:val="0"/>
                    <w:jc w:val="center"/>
                    <w:rPr>
                      <w:rFonts w:hint="eastAsia"/>
                      <w:color w:val="FF0000"/>
                      <w:highlight w:val="none"/>
                      <w:lang w:eastAsia="zh-CN"/>
                    </w:rPr>
                  </w:pPr>
                  <w:r>
                    <w:rPr>
                      <w:rFonts w:hint="eastAsia"/>
                      <w:color w:val="FF0000"/>
                      <w:highlight w:val="none"/>
                      <w:lang w:eastAsia="zh-CN"/>
                    </w:rPr>
                    <w:t>施工场地</w:t>
                  </w:r>
                </w:p>
              </w:tc>
              <w:tc>
                <w:tcPr>
                  <w:tcW w:w="1450" w:type="pct"/>
                  <w:vAlign w:val="center"/>
                </w:tcPr>
                <w:p>
                  <w:pPr>
                    <w:pStyle w:val="32"/>
                    <w:bidi w:val="0"/>
                    <w:jc w:val="center"/>
                    <w:rPr>
                      <w:rFonts w:hint="eastAsia"/>
                      <w:color w:val="FF0000"/>
                      <w:highlight w:val="none"/>
                      <w:lang w:eastAsia="zh-CN"/>
                    </w:rPr>
                  </w:pPr>
                  <w:r>
                    <w:rPr>
                      <w:rFonts w:hint="eastAsia"/>
                      <w:color w:val="FF0000"/>
                      <w:highlight w:val="none"/>
                      <w:lang w:val="en-US" w:eastAsia="zh-CN"/>
                    </w:rPr>
                    <w:t>E</w:t>
                  </w:r>
                  <w:r>
                    <w:rPr>
                      <w:rFonts w:hint="eastAsia"/>
                      <w:color w:val="FF0000"/>
                      <w:highlight w:val="none"/>
                      <w:lang w:eastAsia="zh-CN"/>
                    </w:rPr>
                    <w:t>118.968533，</w:t>
                  </w:r>
                  <w:r>
                    <w:rPr>
                      <w:rFonts w:hint="eastAsia"/>
                      <w:color w:val="FF0000"/>
                      <w:highlight w:val="none"/>
                      <w:lang w:val="en-US" w:eastAsia="zh-CN"/>
                    </w:rPr>
                    <w:t>N</w:t>
                  </w:r>
                  <w:r>
                    <w:rPr>
                      <w:rFonts w:hint="eastAsia"/>
                      <w:color w:val="FF0000"/>
                      <w:highlight w:val="none"/>
                      <w:lang w:eastAsia="zh-CN"/>
                    </w:rPr>
                    <w:t>39.274993</w:t>
                  </w:r>
                </w:p>
              </w:tc>
              <w:tc>
                <w:tcPr>
                  <w:tcW w:w="562" w:type="pct"/>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1500</w:t>
                  </w:r>
                </w:p>
              </w:tc>
              <w:tc>
                <w:tcPr>
                  <w:tcW w:w="776" w:type="pct"/>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道路与交通设施用地</w:t>
                  </w:r>
                </w:p>
              </w:tc>
              <w:tc>
                <w:tcPr>
                  <w:tcW w:w="749" w:type="pct"/>
                  <w:vAlign w:val="center"/>
                </w:tcPr>
                <w:p>
                  <w:pPr>
                    <w:pStyle w:val="32"/>
                    <w:bidi w:val="0"/>
                    <w:jc w:val="center"/>
                    <w:rPr>
                      <w:rFonts w:hint="eastAsia"/>
                      <w:color w:val="FF0000"/>
                      <w:highlight w:val="none"/>
                      <w:lang w:eastAsia="zh-CN"/>
                    </w:rPr>
                  </w:pPr>
                  <w:r>
                    <w:rPr>
                      <w:rFonts w:hint="eastAsia"/>
                      <w:color w:val="FF0000"/>
                      <w:highlight w:val="none"/>
                      <w:lang w:eastAsia="zh-CN"/>
                    </w:rPr>
                    <w:t>国道</w:t>
                  </w:r>
                </w:p>
              </w:tc>
              <w:tc>
                <w:tcPr>
                  <w:tcW w:w="708" w:type="pct"/>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本项目占地红线范围内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753" w:type="pct"/>
                  <w:vAlign w:val="center"/>
                </w:tcPr>
                <w:p>
                  <w:pPr>
                    <w:pStyle w:val="32"/>
                    <w:bidi w:val="0"/>
                    <w:jc w:val="center"/>
                    <w:rPr>
                      <w:rFonts w:hint="eastAsia"/>
                      <w:color w:val="FF0000"/>
                      <w:highlight w:val="none"/>
                      <w:lang w:eastAsia="zh-CN"/>
                    </w:rPr>
                  </w:pPr>
                  <w:r>
                    <w:rPr>
                      <w:rFonts w:hint="eastAsia"/>
                      <w:color w:val="FF0000"/>
                      <w:highlight w:val="none"/>
                      <w:lang w:eastAsia="zh-CN"/>
                    </w:rPr>
                    <w:t>施工营地</w:t>
                  </w:r>
                </w:p>
              </w:tc>
              <w:tc>
                <w:tcPr>
                  <w:tcW w:w="1450" w:type="pct"/>
                  <w:vAlign w:val="center"/>
                </w:tcPr>
                <w:p>
                  <w:pPr>
                    <w:pStyle w:val="32"/>
                    <w:bidi w:val="0"/>
                    <w:jc w:val="center"/>
                    <w:rPr>
                      <w:rFonts w:hint="eastAsia"/>
                      <w:color w:val="FF0000"/>
                      <w:highlight w:val="none"/>
                      <w:lang w:eastAsia="zh-CN"/>
                    </w:rPr>
                  </w:pPr>
                  <w:r>
                    <w:rPr>
                      <w:rFonts w:hint="eastAsia"/>
                      <w:color w:val="FF0000"/>
                      <w:highlight w:val="none"/>
                      <w:lang w:val="en-US" w:eastAsia="zh-CN"/>
                    </w:rPr>
                    <w:t>E</w:t>
                  </w:r>
                  <w:r>
                    <w:rPr>
                      <w:rFonts w:hint="eastAsia"/>
                      <w:color w:val="FF0000"/>
                      <w:highlight w:val="none"/>
                      <w:lang w:eastAsia="zh-CN"/>
                    </w:rPr>
                    <w:t>118.972052，</w:t>
                  </w:r>
                  <w:r>
                    <w:rPr>
                      <w:rFonts w:hint="eastAsia"/>
                      <w:color w:val="FF0000"/>
                      <w:highlight w:val="none"/>
                      <w:lang w:val="en-US" w:eastAsia="zh-CN"/>
                    </w:rPr>
                    <w:t>N</w:t>
                  </w:r>
                  <w:r>
                    <w:rPr>
                      <w:rFonts w:hint="eastAsia"/>
                      <w:color w:val="FF0000"/>
                      <w:highlight w:val="none"/>
                      <w:lang w:eastAsia="zh-CN"/>
                    </w:rPr>
                    <w:t>39.273805</w:t>
                  </w:r>
                </w:p>
              </w:tc>
              <w:tc>
                <w:tcPr>
                  <w:tcW w:w="562" w:type="pct"/>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100</w:t>
                  </w:r>
                </w:p>
              </w:tc>
              <w:tc>
                <w:tcPr>
                  <w:tcW w:w="776" w:type="pct"/>
                  <w:vMerge w:val="continue"/>
                  <w:vAlign w:val="center"/>
                </w:tcPr>
                <w:p>
                  <w:pPr>
                    <w:pStyle w:val="32"/>
                    <w:bidi w:val="0"/>
                    <w:jc w:val="center"/>
                    <w:rPr>
                      <w:rFonts w:hint="eastAsia"/>
                      <w:color w:val="FF0000"/>
                      <w:highlight w:val="none"/>
                      <w:lang w:eastAsia="zh-CN"/>
                    </w:rPr>
                  </w:pPr>
                </w:p>
              </w:tc>
              <w:tc>
                <w:tcPr>
                  <w:tcW w:w="749" w:type="pct"/>
                  <w:vAlign w:val="center"/>
                </w:tcPr>
                <w:p>
                  <w:pPr>
                    <w:pStyle w:val="32"/>
                    <w:bidi w:val="0"/>
                    <w:jc w:val="center"/>
                    <w:rPr>
                      <w:rFonts w:hint="eastAsia"/>
                      <w:color w:val="FF0000"/>
                      <w:highlight w:val="none"/>
                      <w:lang w:eastAsia="zh-CN"/>
                    </w:rPr>
                  </w:pPr>
                  <w:r>
                    <w:rPr>
                      <w:rFonts w:hint="eastAsia"/>
                      <w:color w:val="FF0000"/>
                      <w:highlight w:val="none"/>
                      <w:lang w:eastAsia="zh-CN"/>
                    </w:rPr>
                    <w:t>国道</w:t>
                  </w:r>
                </w:p>
              </w:tc>
              <w:tc>
                <w:tcPr>
                  <w:tcW w:w="708" w:type="pct"/>
                  <w:vMerge w:val="continue"/>
                  <w:vAlign w:val="center"/>
                </w:tcPr>
                <w:p>
                  <w:pPr>
                    <w:pStyle w:val="32"/>
                    <w:bidi w:val="0"/>
                    <w:jc w:val="center"/>
                    <w:rPr>
                      <w:rFonts w:hint="eastAsia"/>
                      <w:color w:val="FF0000"/>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753" w:type="pct"/>
                  <w:vAlign w:val="center"/>
                </w:tcPr>
                <w:p>
                  <w:pPr>
                    <w:pStyle w:val="32"/>
                    <w:bidi w:val="0"/>
                    <w:jc w:val="center"/>
                    <w:rPr>
                      <w:rFonts w:hint="eastAsia"/>
                      <w:color w:val="FF0000"/>
                      <w:highlight w:val="none"/>
                      <w:lang w:eastAsia="zh-CN"/>
                    </w:rPr>
                  </w:pPr>
                  <w:r>
                    <w:rPr>
                      <w:rFonts w:hint="eastAsia"/>
                      <w:color w:val="FF0000"/>
                      <w:highlight w:val="none"/>
                      <w:lang w:eastAsia="zh-CN"/>
                    </w:rPr>
                    <w:t>施工便道</w:t>
                  </w:r>
                </w:p>
              </w:tc>
              <w:tc>
                <w:tcPr>
                  <w:tcW w:w="1450" w:type="pct"/>
                  <w:vAlign w:val="center"/>
                </w:tcPr>
                <w:p>
                  <w:pPr>
                    <w:pStyle w:val="32"/>
                    <w:bidi w:val="0"/>
                    <w:jc w:val="center"/>
                    <w:rPr>
                      <w:rFonts w:hint="eastAsia"/>
                      <w:color w:val="FF0000"/>
                      <w:highlight w:val="none"/>
                      <w:lang w:eastAsia="zh-CN"/>
                    </w:rPr>
                  </w:pPr>
                  <w:r>
                    <w:rPr>
                      <w:rFonts w:hint="eastAsia"/>
                      <w:color w:val="FF0000"/>
                      <w:highlight w:val="none"/>
                      <w:lang w:val="en-US" w:eastAsia="zh-CN"/>
                    </w:rPr>
                    <w:t>E</w:t>
                  </w:r>
                  <w:r>
                    <w:rPr>
                      <w:rFonts w:hint="eastAsia"/>
                      <w:color w:val="FF0000"/>
                      <w:highlight w:val="none"/>
                      <w:lang w:eastAsia="zh-CN"/>
                    </w:rPr>
                    <w:t>118.969370，</w:t>
                  </w:r>
                  <w:r>
                    <w:rPr>
                      <w:rFonts w:hint="eastAsia"/>
                      <w:color w:val="FF0000"/>
                      <w:highlight w:val="none"/>
                      <w:lang w:val="en-US" w:eastAsia="zh-CN"/>
                    </w:rPr>
                    <w:t>N</w:t>
                  </w:r>
                  <w:r>
                    <w:rPr>
                      <w:rFonts w:hint="eastAsia"/>
                      <w:color w:val="FF0000"/>
                      <w:highlight w:val="none"/>
                      <w:lang w:eastAsia="zh-CN"/>
                    </w:rPr>
                    <w:t>39.274611</w:t>
                  </w:r>
                </w:p>
              </w:tc>
              <w:tc>
                <w:tcPr>
                  <w:tcW w:w="562" w:type="pct"/>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4500</w:t>
                  </w:r>
                </w:p>
              </w:tc>
              <w:tc>
                <w:tcPr>
                  <w:tcW w:w="776" w:type="pct"/>
                  <w:vMerge w:val="continue"/>
                  <w:vAlign w:val="center"/>
                </w:tcPr>
                <w:p>
                  <w:pPr>
                    <w:pStyle w:val="32"/>
                    <w:bidi w:val="0"/>
                    <w:jc w:val="center"/>
                    <w:rPr>
                      <w:rFonts w:hint="eastAsia"/>
                      <w:color w:val="FF0000"/>
                      <w:highlight w:val="none"/>
                      <w:lang w:eastAsia="zh-CN"/>
                    </w:rPr>
                  </w:pPr>
                </w:p>
              </w:tc>
              <w:tc>
                <w:tcPr>
                  <w:tcW w:w="749" w:type="pct"/>
                  <w:vAlign w:val="center"/>
                </w:tcPr>
                <w:p>
                  <w:pPr>
                    <w:pStyle w:val="32"/>
                    <w:bidi w:val="0"/>
                    <w:jc w:val="center"/>
                    <w:rPr>
                      <w:rFonts w:hint="eastAsia"/>
                      <w:color w:val="FF0000"/>
                      <w:highlight w:val="none"/>
                      <w:lang w:eastAsia="zh-CN"/>
                    </w:rPr>
                  </w:pPr>
                  <w:r>
                    <w:rPr>
                      <w:rFonts w:hint="eastAsia"/>
                      <w:color w:val="FF0000"/>
                      <w:highlight w:val="none"/>
                      <w:lang w:eastAsia="zh-CN"/>
                    </w:rPr>
                    <w:t>国道</w:t>
                  </w:r>
                </w:p>
              </w:tc>
              <w:tc>
                <w:tcPr>
                  <w:tcW w:w="708" w:type="pct"/>
                  <w:vMerge w:val="continue"/>
                  <w:vAlign w:val="center"/>
                </w:tcPr>
                <w:p>
                  <w:pPr>
                    <w:pStyle w:val="32"/>
                    <w:bidi w:val="0"/>
                    <w:jc w:val="center"/>
                    <w:rPr>
                      <w:rFonts w:hint="eastAsia"/>
                      <w:color w:val="FF0000"/>
                      <w:highlight w:val="none"/>
                      <w:lang w:eastAsia="zh-CN"/>
                    </w:rPr>
                  </w:pPr>
                </w:p>
              </w:tc>
            </w:tr>
          </w:tbl>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ascii="Times New Roman" w:hAnsi="Times New Roman" w:eastAsia="宋体" w:cs="Times New Roman"/>
                <w:b/>
                <w:bCs/>
                <w:color w:val="auto"/>
                <w:highlight w:val="none"/>
              </w:rPr>
            </w:pPr>
            <w:r>
              <w:rPr>
                <w:rFonts w:ascii="Times New Roman" w:hAnsi="Times New Roman" w:eastAsia="宋体" w:cs="Times New Roman"/>
                <w:b/>
                <w:bCs/>
                <w:color w:val="auto"/>
                <w:highlight w:val="none"/>
              </w:rPr>
              <w:t>主要工程</w:t>
            </w:r>
            <w:r>
              <w:rPr>
                <w:rFonts w:hint="eastAsia" w:ascii="Times New Roman" w:hAnsi="Times New Roman" w:eastAsia="宋体" w:cs="Times New Roman"/>
                <w:b/>
                <w:bCs/>
                <w:color w:val="auto"/>
                <w:highlight w:val="none"/>
              </w:rPr>
              <w:t>量</w:t>
            </w:r>
          </w:p>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主要工程量一览表</w:t>
            </w:r>
          </w:p>
          <w:tbl>
            <w:tblPr>
              <w:tblStyle w:val="22"/>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23" w:type="dxa"/>
                <w:bottom w:w="0" w:type="dxa"/>
                <w:right w:w="23" w:type="dxa"/>
              </w:tblCellMar>
            </w:tblPr>
            <w:tblGrid>
              <w:gridCol w:w="574"/>
              <w:gridCol w:w="1981"/>
              <w:gridCol w:w="3298"/>
              <w:gridCol w:w="1063"/>
              <w:gridCol w:w="14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bidi w:val="0"/>
                    <w:rPr>
                      <w:color w:val="auto"/>
                      <w:highlight w:val="none"/>
                    </w:rPr>
                  </w:pPr>
                  <w:r>
                    <w:rPr>
                      <w:color w:val="auto"/>
                      <w:highlight w:val="none"/>
                    </w:rPr>
                    <w:t>序号</w:t>
                  </w:r>
                </w:p>
              </w:tc>
              <w:tc>
                <w:tcPr>
                  <w:tcW w:w="3139" w:type="pct"/>
                  <w:gridSpan w:val="2"/>
                  <w:tcBorders>
                    <w:tl2br w:val="nil"/>
                    <w:tr2bl w:val="nil"/>
                  </w:tcBorders>
                  <w:noWrap w:val="0"/>
                  <w:vAlign w:val="center"/>
                </w:tcPr>
                <w:p>
                  <w:pPr>
                    <w:pStyle w:val="32"/>
                    <w:bidi w:val="0"/>
                    <w:rPr>
                      <w:color w:val="auto"/>
                      <w:highlight w:val="none"/>
                    </w:rPr>
                  </w:pPr>
                  <w:r>
                    <w:rPr>
                      <w:color w:val="auto"/>
                      <w:highlight w:val="none"/>
                    </w:rPr>
                    <w:t>项目</w:t>
                  </w:r>
                </w:p>
              </w:tc>
              <w:tc>
                <w:tcPr>
                  <w:tcW w:w="632" w:type="pct"/>
                  <w:tcBorders>
                    <w:tl2br w:val="nil"/>
                    <w:tr2bl w:val="nil"/>
                  </w:tcBorders>
                  <w:noWrap w:val="0"/>
                  <w:vAlign w:val="center"/>
                </w:tcPr>
                <w:p>
                  <w:pPr>
                    <w:pStyle w:val="32"/>
                    <w:bidi w:val="0"/>
                    <w:rPr>
                      <w:color w:val="auto"/>
                      <w:highlight w:val="none"/>
                    </w:rPr>
                  </w:pPr>
                  <w:r>
                    <w:rPr>
                      <w:color w:val="auto"/>
                      <w:highlight w:val="none"/>
                    </w:rPr>
                    <w:t>单位</w:t>
                  </w:r>
                </w:p>
              </w:tc>
              <w:tc>
                <w:tcPr>
                  <w:tcW w:w="887" w:type="pct"/>
                  <w:tcBorders>
                    <w:tl2br w:val="nil"/>
                    <w:tr2bl w:val="nil"/>
                  </w:tcBorders>
                  <w:noWrap w:val="0"/>
                  <w:vAlign w:val="center"/>
                </w:tcPr>
                <w:p>
                  <w:pPr>
                    <w:pStyle w:val="32"/>
                    <w:bidi w:val="0"/>
                    <w:rPr>
                      <w:color w:val="auto"/>
                      <w:highlight w:val="none"/>
                    </w:rPr>
                  </w:pPr>
                  <w:r>
                    <w:rPr>
                      <w:color w:val="auto"/>
                      <w:highlight w:val="none"/>
                    </w:rPr>
                    <w:t>工程量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restart"/>
                  <w:tcBorders>
                    <w:tl2br w:val="nil"/>
                    <w:tr2bl w:val="nil"/>
                  </w:tcBorders>
                  <w:noWrap w:val="0"/>
                  <w:vAlign w:val="center"/>
                </w:tcPr>
                <w:p>
                  <w:pPr>
                    <w:pStyle w:val="32"/>
                    <w:bidi w:val="0"/>
                    <w:rPr>
                      <w:rFonts w:hint="eastAsia" w:eastAsia="宋体"/>
                      <w:color w:val="auto"/>
                      <w:highlight w:val="none"/>
                      <w:lang w:eastAsia="zh-CN"/>
                    </w:rPr>
                  </w:pPr>
                  <w:r>
                    <w:rPr>
                      <w:rFonts w:hint="eastAsia"/>
                      <w:color w:val="auto"/>
                      <w:highlight w:val="none"/>
                      <w:lang w:eastAsia="zh-CN"/>
                    </w:rPr>
                    <w:t>路面工程</w:t>
                  </w:r>
                </w:p>
              </w:tc>
              <w:tc>
                <w:tcPr>
                  <w:tcW w:w="1960" w:type="pct"/>
                  <w:tcBorders>
                    <w:tl2br w:val="nil"/>
                    <w:tr2bl w:val="nil"/>
                  </w:tcBorders>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eastAsia="zh-CN"/>
                    </w:rPr>
                    <w:t>铺筑长度</w:t>
                  </w:r>
                </w:p>
              </w:tc>
              <w:tc>
                <w:tcPr>
                  <w:tcW w:w="632" w:type="pct"/>
                  <w:tcBorders>
                    <w:tl2br w:val="nil"/>
                    <w:tr2bl w:val="nil"/>
                  </w:tcBorders>
                  <w:noWrap w:val="0"/>
                  <w:vAlign w:val="center"/>
                </w:tcPr>
                <w:p>
                  <w:pPr>
                    <w:pStyle w:val="32"/>
                    <w:bidi w:val="0"/>
                    <w:rPr>
                      <w:rFonts w:hint="eastAsia" w:eastAsia="宋体"/>
                      <w:color w:val="auto"/>
                      <w:highlight w:val="none"/>
                      <w:lang w:val="en-US" w:eastAsia="zh-CN"/>
                    </w:rPr>
                  </w:pPr>
                  <w:r>
                    <w:rPr>
                      <w:rFonts w:hint="eastAsia"/>
                      <w:color w:val="auto"/>
                      <w:highlight w:val="none"/>
                      <w:lang w:val="en-US" w:eastAsia="zh-CN"/>
                    </w:rPr>
                    <w:t>m</w:t>
                  </w:r>
                </w:p>
              </w:tc>
              <w:tc>
                <w:tcPr>
                  <w:tcW w:w="887"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3083.5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eastAsia="zh-CN"/>
                    </w:rPr>
                    <w:t>面层（沥青混凝土）</w:t>
                  </w:r>
                </w:p>
              </w:tc>
              <w:tc>
                <w:tcPr>
                  <w:tcW w:w="632"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73854.7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改型乳化沥青粘层</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46685.3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default"/>
                      <w:color w:val="auto"/>
                      <w:highlight w:val="none"/>
                      <w:lang w:val="en-US" w:eastAsia="zh-CN"/>
                    </w:rPr>
                  </w:pPr>
                  <w:r>
                    <w:rPr>
                      <w:rFonts w:hint="eastAsia"/>
                      <w:color w:val="auto"/>
                      <w:highlight w:val="none"/>
                      <w:lang w:val="en-US" w:eastAsia="zh-CN"/>
                    </w:rPr>
                    <w:t>SBS改型沥青封层</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29614.0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default"/>
                      <w:color w:val="auto"/>
                      <w:highlight w:val="none"/>
                      <w:lang w:val="en-US" w:eastAsia="zh-CN"/>
                    </w:rPr>
                  </w:pPr>
                  <w:r>
                    <w:rPr>
                      <w:rFonts w:hint="eastAsia"/>
                      <w:color w:val="auto"/>
                      <w:highlight w:val="none"/>
                      <w:lang w:val="en-US" w:eastAsia="zh-CN"/>
                    </w:rPr>
                    <w:t>乳化沥青PC-2透层</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29614.0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水泥稳定碎石</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88658.2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玻纤格栅</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3896.6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土木格栅</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6906.9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eastAsia="zh-CN"/>
                    </w:rPr>
                    <w:t>路缘石</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6560.7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便道砖</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13965.5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路基工程</w:t>
                  </w:r>
                </w:p>
                <w:p>
                  <w:pPr>
                    <w:pStyle w:val="32"/>
                    <w:bidi w:val="0"/>
                    <w:rPr>
                      <w:rFonts w:hint="eastAsia"/>
                      <w:color w:val="auto"/>
                      <w:highlight w:val="none"/>
                      <w:lang w:eastAsia="zh-CN"/>
                    </w:rPr>
                  </w:pPr>
                  <w:r>
                    <w:rPr>
                      <w:rFonts w:hint="eastAsia"/>
                      <w:color w:val="auto"/>
                      <w:highlight w:val="none"/>
                      <w:lang w:eastAsia="zh-CN"/>
                    </w:rPr>
                    <w:t>（路床处理）</w:t>
                  </w: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处理长度</w:t>
                  </w:r>
                </w:p>
              </w:tc>
              <w:tc>
                <w:tcPr>
                  <w:tcW w:w="632"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m</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2637.57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换填山皮石</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vertAlign w:val="baseline"/>
                      <w:lang w:val="en-US" w:eastAsia="zh-CN"/>
                    </w:rPr>
                    <w:t>m</w:t>
                  </w:r>
                  <w:r>
                    <w:rPr>
                      <w:rFonts w:hint="eastAsia"/>
                      <w:color w:val="auto"/>
                      <w:highlight w:val="none"/>
                      <w:vertAlign w:val="superscript"/>
                      <w:lang w:val="en-US" w:eastAsia="zh-CN"/>
                    </w:rPr>
                    <w:t>3</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34733.2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填砂砾</w:t>
                  </w:r>
                </w:p>
              </w:tc>
              <w:tc>
                <w:tcPr>
                  <w:tcW w:w="632" w:type="pct"/>
                  <w:tcBorders>
                    <w:tl2br w:val="nil"/>
                    <w:tr2bl w:val="nil"/>
                  </w:tcBorders>
                  <w:noWrap w:val="0"/>
                  <w:vAlign w:val="center"/>
                </w:tcPr>
                <w:p>
                  <w:pPr>
                    <w:pStyle w:val="32"/>
                    <w:bidi w:val="0"/>
                    <w:rPr>
                      <w:rFonts w:hint="eastAsia"/>
                      <w:color w:val="auto"/>
                      <w:highlight w:val="none"/>
                      <w:vertAlign w:val="baseline"/>
                      <w:lang w:val="en-US" w:eastAsia="zh-CN"/>
                    </w:rPr>
                  </w:pPr>
                  <w:r>
                    <w:rPr>
                      <w:rFonts w:hint="eastAsia"/>
                      <w:color w:val="auto"/>
                      <w:highlight w:val="none"/>
                      <w:vertAlign w:val="baseline"/>
                      <w:lang w:val="en-US" w:eastAsia="zh-CN"/>
                    </w:rPr>
                    <w:t>m</w:t>
                  </w:r>
                  <w:r>
                    <w:rPr>
                      <w:rFonts w:hint="eastAsia"/>
                      <w:color w:val="auto"/>
                      <w:highlight w:val="none"/>
                      <w:vertAlign w:val="superscript"/>
                      <w:lang w:val="en-US" w:eastAsia="zh-CN"/>
                    </w:rPr>
                    <w:t>3</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11319.7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路基工程</w:t>
                  </w:r>
                </w:p>
                <w:p>
                  <w:pPr>
                    <w:pStyle w:val="32"/>
                    <w:bidi w:val="0"/>
                    <w:rPr>
                      <w:rFonts w:hint="eastAsia"/>
                      <w:color w:val="auto"/>
                      <w:highlight w:val="none"/>
                      <w:lang w:eastAsia="zh-CN"/>
                    </w:rPr>
                  </w:pPr>
                  <w:r>
                    <w:rPr>
                      <w:rFonts w:hint="eastAsia"/>
                      <w:color w:val="auto"/>
                      <w:highlight w:val="none"/>
                      <w:lang w:eastAsia="zh-CN"/>
                    </w:rPr>
                    <w:t>（特殊路基处理）</w:t>
                  </w: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处理长度</w:t>
                  </w:r>
                </w:p>
              </w:tc>
              <w:tc>
                <w:tcPr>
                  <w:tcW w:w="632" w:type="pct"/>
                  <w:tcBorders>
                    <w:tl2br w:val="nil"/>
                    <w:tr2bl w:val="nil"/>
                  </w:tcBorders>
                  <w:noWrap w:val="0"/>
                  <w:vAlign w:val="center"/>
                </w:tcPr>
                <w:p>
                  <w:pPr>
                    <w:pStyle w:val="32"/>
                    <w:bidi w:val="0"/>
                    <w:rPr>
                      <w:rFonts w:hint="default"/>
                      <w:color w:val="auto"/>
                      <w:highlight w:val="none"/>
                      <w:vertAlign w:val="baseline"/>
                      <w:lang w:val="en-US" w:eastAsia="zh-CN"/>
                    </w:rPr>
                  </w:pPr>
                  <w:r>
                    <w:rPr>
                      <w:rFonts w:hint="eastAsia"/>
                      <w:color w:val="auto"/>
                      <w:highlight w:val="none"/>
                      <w:vertAlign w:val="baseline"/>
                      <w:lang w:val="en-US" w:eastAsia="zh-CN"/>
                    </w:rPr>
                    <w:t>m</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204.8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砂砾垫层数量</w:t>
                  </w:r>
                </w:p>
              </w:tc>
              <w:tc>
                <w:tcPr>
                  <w:tcW w:w="632" w:type="pct"/>
                  <w:tcBorders>
                    <w:tl2br w:val="nil"/>
                    <w:tr2bl w:val="nil"/>
                  </w:tcBorders>
                  <w:noWrap w:val="0"/>
                  <w:vAlign w:val="center"/>
                </w:tcPr>
                <w:p>
                  <w:pPr>
                    <w:pStyle w:val="32"/>
                    <w:bidi w:val="0"/>
                    <w:rPr>
                      <w:rFonts w:hint="eastAsia"/>
                      <w:color w:val="auto"/>
                      <w:highlight w:val="none"/>
                      <w:vertAlign w:val="baseline"/>
                      <w:lang w:val="en-US" w:eastAsia="zh-CN"/>
                    </w:rPr>
                  </w:pPr>
                  <w:r>
                    <w:rPr>
                      <w:rFonts w:hint="eastAsia"/>
                      <w:color w:val="auto"/>
                      <w:highlight w:val="none"/>
                      <w:vertAlign w:val="baseline"/>
                      <w:lang w:val="en-US" w:eastAsia="zh-CN"/>
                    </w:rPr>
                    <w:t>m</w:t>
                  </w:r>
                  <w:r>
                    <w:rPr>
                      <w:rFonts w:hint="eastAsia"/>
                      <w:color w:val="auto"/>
                      <w:highlight w:val="none"/>
                      <w:vertAlign w:val="superscript"/>
                      <w:lang w:val="en-US" w:eastAsia="zh-CN"/>
                    </w:rPr>
                    <w:t>3</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400.7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eastAsia="zh-CN"/>
                    </w:rPr>
                  </w:pPr>
                  <w:r>
                    <w:rPr>
                      <w:rFonts w:hint="eastAsia"/>
                      <w:color w:val="auto"/>
                      <w:highlight w:val="none"/>
                      <w:lang w:eastAsia="zh-CN"/>
                    </w:rPr>
                    <w:t>挖路面数量</w:t>
                  </w:r>
                </w:p>
              </w:tc>
              <w:tc>
                <w:tcPr>
                  <w:tcW w:w="632" w:type="pct"/>
                  <w:tcBorders>
                    <w:tl2br w:val="nil"/>
                    <w:tr2bl w:val="nil"/>
                  </w:tcBorders>
                  <w:noWrap w:val="0"/>
                  <w:vAlign w:val="center"/>
                </w:tcPr>
                <w:p>
                  <w:pPr>
                    <w:pStyle w:val="32"/>
                    <w:bidi w:val="0"/>
                    <w:rPr>
                      <w:rFonts w:hint="eastAsia"/>
                      <w:color w:val="auto"/>
                      <w:highlight w:val="none"/>
                      <w:vertAlign w:val="baseline"/>
                      <w:lang w:val="en-US" w:eastAsia="zh-CN"/>
                    </w:rPr>
                  </w:pPr>
                  <w:r>
                    <w:rPr>
                      <w:rFonts w:hint="eastAsia"/>
                      <w:color w:val="auto"/>
                      <w:highlight w:val="none"/>
                      <w:vertAlign w:val="baseline"/>
                      <w:lang w:val="en-US" w:eastAsia="zh-CN"/>
                    </w:rPr>
                    <w:t>m</w:t>
                  </w:r>
                  <w:r>
                    <w:rPr>
                      <w:rFonts w:hint="eastAsia"/>
                      <w:color w:val="auto"/>
                      <w:highlight w:val="none"/>
                      <w:vertAlign w:val="superscript"/>
                      <w:lang w:val="en-US" w:eastAsia="zh-CN"/>
                    </w:rPr>
                    <w:t>3</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400.7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default"/>
                      <w:color w:val="auto"/>
                      <w:highlight w:val="none"/>
                      <w:lang w:val="en-US" w:eastAsia="zh-CN"/>
                    </w:rPr>
                  </w:pPr>
                  <w:r>
                    <w:rPr>
                      <w:rFonts w:hint="eastAsia"/>
                      <w:color w:val="auto"/>
                      <w:highlight w:val="none"/>
                      <w:lang w:val="en-US" w:eastAsia="zh-CN"/>
                    </w:rPr>
                    <w:t>CFG桩总长度</w:t>
                  </w:r>
                </w:p>
              </w:tc>
              <w:tc>
                <w:tcPr>
                  <w:tcW w:w="632" w:type="pct"/>
                  <w:tcBorders>
                    <w:tl2br w:val="nil"/>
                    <w:tr2bl w:val="nil"/>
                  </w:tcBorders>
                  <w:noWrap w:val="0"/>
                  <w:vAlign w:val="center"/>
                </w:tcPr>
                <w:p>
                  <w:pPr>
                    <w:pStyle w:val="32"/>
                    <w:bidi w:val="0"/>
                    <w:rPr>
                      <w:rFonts w:hint="default"/>
                      <w:color w:val="auto"/>
                      <w:highlight w:val="none"/>
                      <w:vertAlign w:val="baseline"/>
                      <w:lang w:val="en-US" w:eastAsia="zh-CN"/>
                    </w:rPr>
                  </w:pPr>
                  <w:r>
                    <w:rPr>
                      <w:rFonts w:hint="eastAsia"/>
                      <w:color w:val="auto"/>
                      <w:highlight w:val="none"/>
                      <w:vertAlign w:val="baseline"/>
                      <w:lang w:val="en-US" w:eastAsia="zh-CN"/>
                    </w:rPr>
                    <w:t>m</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7362.0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土工格栅铺设面积</w:t>
                  </w:r>
                </w:p>
              </w:tc>
              <w:tc>
                <w:tcPr>
                  <w:tcW w:w="632" w:type="pct"/>
                  <w:tcBorders>
                    <w:tl2br w:val="nil"/>
                    <w:tr2bl w:val="nil"/>
                  </w:tcBorders>
                  <w:noWrap w:val="0"/>
                  <w:vAlign w:val="center"/>
                </w:tcPr>
                <w:p>
                  <w:pPr>
                    <w:pStyle w:val="32"/>
                    <w:bidi w:val="0"/>
                    <w:rPr>
                      <w:rFonts w:hint="eastAsia"/>
                      <w:color w:val="auto"/>
                      <w:highlight w:val="none"/>
                      <w:vertAlign w:val="baseline"/>
                      <w:lang w:val="en-US" w:eastAsia="zh-CN"/>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3355.7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土石方</w:t>
                  </w:r>
                </w:p>
              </w:tc>
              <w:tc>
                <w:tcPr>
                  <w:tcW w:w="1960" w:type="pct"/>
                  <w:tcBorders>
                    <w:tl2br w:val="nil"/>
                    <w:tr2bl w:val="nil"/>
                  </w:tcBorders>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挖方</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vertAlign w:val="baseline"/>
                      <w:lang w:val="en-US" w:eastAsia="zh-CN"/>
                    </w:rPr>
                    <w:t>m</w:t>
                  </w:r>
                  <w:r>
                    <w:rPr>
                      <w:rFonts w:hint="eastAsia"/>
                      <w:color w:val="auto"/>
                      <w:highlight w:val="none"/>
                      <w:vertAlign w:val="superscript"/>
                      <w:lang w:val="en-US" w:eastAsia="zh-CN"/>
                    </w:rPr>
                    <w:t>3</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31770.49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3" w:type="dxa"/>
                  <w:bottom w:w="0" w:type="dxa"/>
                  <w:right w:w="23" w:type="dxa"/>
                </w:tblCellMar>
              </w:tblPrEx>
              <w:trPr>
                <w:trHeight w:val="340" w:hRule="atLeast"/>
                <w:jc w:val="center"/>
              </w:trPr>
              <w:tc>
                <w:tcPr>
                  <w:tcW w:w="341" w:type="pct"/>
                  <w:tcBorders>
                    <w:tl2br w:val="nil"/>
                    <w:tr2bl w:val="nil"/>
                  </w:tcBorders>
                  <w:noWrap w:val="0"/>
                  <w:vAlign w:val="center"/>
                </w:tcPr>
                <w:p>
                  <w:pPr>
                    <w:pStyle w:val="32"/>
                    <w:numPr>
                      <w:ilvl w:val="0"/>
                      <w:numId w:val="4"/>
                    </w:numPr>
                    <w:bidi w:val="0"/>
                    <w:ind w:left="425" w:leftChars="0" w:hanging="425" w:firstLineChars="0"/>
                    <w:rPr>
                      <w:rFonts w:hint="eastAsia" w:ascii="Times New Roman" w:hAnsi="Times New Roman" w:eastAsia="宋体" w:cs="Times New Roman"/>
                      <w:color w:val="auto"/>
                      <w:highlight w:val="none"/>
                      <w:lang w:eastAsia="zh-CN"/>
                    </w:rPr>
                  </w:pPr>
                </w:p>
              </w:tc>
              <w:tc>
                <w:tcPr>
                  <w:tcW w:w="1178" w:type="pct"/>
                  <w:vMerge w:val="continue"/>
                  <w:tcBorders>
                    <w:tl2br w:val="nil"/>
                    <w:tr2bl w:val="nil"/>
                  </w:tcBorders>
                  <w:noWrap w:val="0"/>
                  <w:vAlign w:val="center"/>
                </w:tcPr>
                <w:p>
                  <w:pPr>
                    <w:pStyle w:val="32"/>
                    <w:bidi w:val="0"/>
                    <w:rPr>
                      <w:rFonts w:hint="eastAsia"/>
                      <w:color w:val="auto"/>
                      <w:highlight w:val="none"/>
                      <w:lang w:eastAsia="zh-CN"/>
                    </w:rPr>
                  </w:pPr>
                </w:p>
              </w:tc>
              <w:tc>
                <w:tcPr>
                  <w:tcW w:w="1960" w:type="pct"/>
                  <w:tcBorders>
                    <w:tl2br w:val="nil"/>
                    <w:tr2bl w:val="nil"/>
                  </w:tcBorders>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填方</w:t>
                  </w:r>
                </w:p>
              </w:tc>
              <w:tc>
                <w:tcPr>
                  <w:tcW w:w="632" w:type="pct"/>
                  <w:tcBorders>
                    <w:tl2br w:val="nil"/>
                    <w:tr2bl w:val="nil"/>
                  </w:tcBorders>
                  <w:noWrap w:val="0"/>
                  <w:vAlign w:val="center"/>
                </w:tcPr>
                <w:p>
                  <w:pPr>
                    <w:pStyle w:val="32"/>
                    <w:bidi w:val="0"/>
                    <w:rPr>
                      <w:rFonts w:hint="eastAsia"/>
                      <w:color w:val="auto"/>
                      <w:highlight w:val="none"/>
                      <w:lang w:val="en-US" w:eastAsia="zh-CN"/>
                    </w:rPr>
                  </w:pPr>
                  <w:r>
                    <w:rPr>
                      <w:rFonts w:hint="eastAsia"/>
                      <w:color w:val="auto"/>
                      <w:highlight w:val="none"/>
                      <w:vertAlign w:val="baseline"/>
                      <w:lang w:val="en-US" w:eastAsia="zh-CN"/>
                    </w:rPr>
                    <w:t>m</w:t>
                  </w:r>
                  <w:r>
                    <w:rPr>
                      <w:rFonts w:hint="eastAsia"/>
                      <w:color w:val="auto"/>
                      <w:highlight w:val="none"/>
                      <w:vertAlign w:val="superscript"/>
                      <w:lang w:val="en-US" w:eastAsia="zh-CN"/>
                    </w:rPr>
                    <w:t>3</w:t>
                  </w:r>
                </w:p>
              </w:tc>
              <w:tc>
                <w:tcPr>
                  <w:tcW w:w="887"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3982.445</w:t>
                  </w:r>
                </w:p>
              </w:tc>
            </w:tr>
          </w:tbl>
          <w:p>
            <w:pPr>
              <w:pStyle w:val="36"/>
              <w:numPr>
                <w:ilvl w:val="0"/>
                <w:numId w:val="0"/>
              </w:numPr>
              <w:tabs>
                <w:tab w:val="left" w:pos="0"/>
              </w:tabs>
              <w:bidi w:val="0"/>
              <w:ind w:leftChars="0"/>
              <w:jc w:val="both"/>
              <w:rPr>
                <w:rFonts w:hint="eastAsia" w:cs="Times New Roman"/>
                <w:color w:val="auto"/>
                <w:highlight w:val="none"/>
                <w:lang w:val="en-US" w:eastAsia="zh-CN"/>
              </w:rPr>
            </w:pPr>
          </w:p>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交通安全设施工程量</w:t>
            </w:r>
          </w:p>
          <w:tbl>
            <w:tblPr>
              <w:tblStyle w:val="3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72"/>
              <w:gridCol w:w="779"/>
              <w:gridCol w:w="1711"/>
              <w:gridCol w:w="675"/>
              <w:gridCol w:w="1082"/>
              <w:gridCol w:w="35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bidi w:val="0"/>
                    <w:jc w:val="center"/>
                    <w:rPr>
                      <w:color w:val="auto"/>
                      <w:highlight w:val="none"/>
                    </w:rPr>
                  </w:pPr>
                  <w:r>
                    <w:rPr>
                      <w:color w:val="auto"/>
                      <w:highlight w:val="none"/>
                    </w:rPr>
                    <w:t>序号</w:t>
                  </w:r>
                </w:p>
              </w:tc>
              <w:tc>
                <w:tcPr>
                  <w:tcW w:w="1480" w:type="pct"/>
                  <w:gridSpan w:val="2"/>
                  <w:noWrap w:val="0"/>
                  <w:vAlign w:val="center"/>
                </w:tcPr>
                <w:p>
                  <w:pPr>
                    <w:pStyle w:val="32"/>
                    <w:bidi w:val="0"/>
                    <w:jc w:val="center"/>
                    <w:rPr>
                      <w:color w:val="auto"/>
                      <w:highlight w:val="none"/>
                    </w:rPr>
                  </w:pPr>
                  <w:r>
                    <w:rPr>
                      <w:color w:val="auto"/>
                      <w:highlight w:val="none"/>
                    </w:rPr>
                    <w:t>名称</w:t>
                  </w:r>
                </w:p>
              </w:tc>
              <w:tc>
                <w:tcPr>
                  <w:tcW w:w="401" w:type="pct"/>
                  <w:noWrap w:val="0"/>
                  <w:vAlign w:val="center"/>
                </w:tcPr>
                <w:p>
                  <w:pPr>
                    <w:pStyle w:val="32"/>
                    <w:bidi w:val="0"/>
                    <w:jc w:val="center"/>
                    <w:rPr>
                      <w:color w:val="auto"/>
                      <w:highlight w:val="none"/>
                    </w:rPr>
                  </w:pPr>
                  <w:r>
                    <w:rPr>
                      <w:color w:val="auto"/>
                      <w:highlight w:val="none"/>
                    </w:rPr>
                    <w:t>单位</w:t>
                  </w:r>
                </w:p>
              </w:tc>
              <w:tc>
                <w:tcPr>
                  <w:tcW w:w="643" w:type="pct"/>
                  <w:noWrap w:val="0"/>
                  <w:vAlign w:val="center"/>
                </w:tcPr>
                <w:p>
                  <w:pPr>
                    <w:pStyle w:val="32"/>
                    <w:bidi w:val="0"/>
                    <w:jc w:val="center"/>
                    <w:rPr>
                      <w:color w:val="auto"/>
                      <w:highlight w:val="none"/>
                    </w:rPr>
                  </w:pPr>
                  <w:r>
                    <w:rPr>
                      <w:color w:val="auto"/>
                      <w:highlight w:val="none"/>
                    </w:rPr>
                    <w:t>数量</w:t>
                  </w:r>
                </w:p>
              </w:tc>
              <w:tc>
                <w:tcPr>
                  <w:tcW w:w="2133" w:type="pct"/>
                  <w:noWrap w:val="0"/>
                  <w:vAlign w:val="center"/>
                </w:tcPr>
                <w:p>
                  <w:pPr>
                    <w:pStyle w:val="32"/>
                    <w:bidi w:val="0"/>
                    <w:jc w:val="center"/>
                    <w:rPr>
                      <w:color w:val="auto"/>
                      <w:highlight w:val="none"/>
                    </w:rPr>
                  </w:pPr>
                  <w:r>
                    <w:rPr>
                      <w:color w:val="auto"/>
                      <w:highlight w:val="none"/>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color w:val="auto"/>
                      <w:highlight w:val="none"/>
                    </w:rPr>
                  </w:pPr>
                  <w:r>
                    <w:rPr>
                      <w:color w:val="auto"/>
                      <w:highlight w:val="none"/>
                    </w:rPr>
                    <w:t>道口标柱</w:t>
                  </w:r>
                </w:p>
              </w:tc>
              <w:tc>
                <w:tcPr>
                  <w:tcW w:w="401" w:type="pct"/>
                  <w:noWrap w:val="0"/>
                  <w:vAlign w:val="center"/>
                </w:tcPr>
                <w:p>
                  <w:pPr>
                    <w:pStyle w:val="32"/>
                    <w:bidi w:val="0"/>
                    <w:jc w:val="center"/>
                    <w:rPr>
                      <w:color w:val="auto"/>
                      <w:highlight w:val="none"/>
                    </w:rPr>
                  </w:pPr>
                  <w:r>
                    <w:rPr>
                      <w:color w:val="auto"/>
                      <w:highlight w:val="none"/>
                    </w:rPr>
                    <w:t>根</w:t>
                  </w:r>
                </w:p>
              </w:tc>
              <w:tc>
                <w:tcPr>
                  <w:tcW w:w="643" w:type="pct"/>
                  <w:noWrap w:val="0"/>
                  <w:vAlign w:val="center"/>
                </w:tcPr>
                <w:p>
                  <w:pPr>
                    <w:pStyle w:val="32"/>
                    <w:bidi w:val="0"/>
                    <w:jc w:val="center"/>
                    <w:rPr>
                      <w:color w:val="auto"/>
                      <w:highlight w:val="none"/>
                    </w:rPr>
                  </w:pPr>
                  <w:r>
                    <w:rPr>
                      <w:color w:val="auto"/>
                      <w:highlight w:val="none"/>
                    </w:rPr>
                    <w:t>20</w:t>
                  </w:r>
                </w:p>
              </w:tc>
              <w:tc>
                <w:tcPr>
                  <w:tcW w:w="2133" w:type="pct"/>
                  <w:noWrap w:val="0"/>
                  <w:vAlign w:val="center"/>
                </w:tcPr>
                <w:p>
                  <w:pPr>
                    <w:pStyle w:val="32"/>
                    <w:bidi w:val="0"/>
                    <w:jc w:val="center"/>
                    <w:rPr>
                      <w:color w:val="auto"/>
                      <w:highlight w:val="none"/>
                    </w:rPr>
                  </w:pPr>
                  <w:r>
                    <w:rPr>
                      <w:color w:val="auto"/>
                      <w:highlight w:val="none"/>
                    </w:rPr>
                    <w:t>设置于与等外路平面交叉口的主路两侧，每侧设置2根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color w:val="auto"/>
                      <w:highlight w:val="none"/>
                    </w:rPr>
                  </w:pPr>
                  <w:r>
                    <w:rPr>
                      <w:color w:val="auto"/>
                      <w:highlight w:val="none"/>
                    </w:rPr>
                    <w:t>里程碑</w:t>
                  </w:r>
                </w:p>
              </w:tc>
              <w:tc>
                <w:tcPr>
                  <w:tcW w:w="401" w:type="pct"/>
                  <w:noWrap w:val="0"/>
                  <w:vAlign w:val="center"/>
                </w:tcPr>
                <w:p>
                  <w:pPr>
                    <w:pStyle w:val="32"/>
                    <w:bidi w:val="0"/>
                    <w:jc w:val="center"/>
                    <w:rPr>
                      <w:color w:val="auto"/>
                      <w:highlight w:val="none"/>
                    </w:rPr>
                  </w:pPr>
                  <w:r>
                    <w:rPr>
                      <w:color w:val="auto"/>
                      <w:highlight w:val="none"/>
                    </w:rPr>
                    <w:t>块</w:t>
                  </w:r>
                </w:p>
              </w:tc>
              <w:tc>
                <w:tcPr>
                  <w:tcW w:w="643" w:type="pct"/>
                  <w:noWrap w:val="0"/>
                  <w:vAlign w:val="center"/>
                </w:tcPr>
                <w:p>
                  <w:pPr>
                    <w:pStyle w:val="32"/>
                    <w:bidi w:val="0"/>
                    <w:jc w:val="center"/>
                    <w:rPr>
                      <w:color w:val="auto"/>
                      <w:highlight w:val="none"/>
                    </w:rPr>
                  </w:pPr>
                  <w:r>
                    <w:rPr>
                      <w:color w:val="auto"/>
                      <w:highlight w:val="none"/>
                    </w:rPr>
                    <w:t>4</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color w:val="auto"/>
                      <w:highlight w:val="none"/>
                    </w:rPr>
                  </w:pPr>
                  <w:r>
                    <w:rPr>
                      <w:color w:val="auto"/>
                      <w:highlight w:val="none"/>
                    </w:rPr>
                    <w:t>百米桩</w:t>
                  </w:r>
                </w:p>
              </w:tc>
              <w:tc>
                <w:tcPr>
                  <w:tcW w:w="401" w:type="pct"/>
                  <w:noWrap w:val="0"/>
                  <w:vAlign w:val="center"/>
                </w:tcPr>
                <w:p>
                  <w:pPr>
                    <w:pStyle w:val="32"/>
                    <w:bidi w:val="0"/>
                    <w:jc w:val="center"/>
                    <w:rPr>
                      <w:color w:val="auto"/>
                      <w:highlight w:val="none"/>
                    </w:rPr>
                  </w:pPr>
                  <w:r>
                    <w:rPr>
                      <w:color w:val="auto"/>
                      <w:highlight w:val="none"/>
                    </w:rPr>
                    <w:t>块</w:t>
                  </w:r>
                </w:p>
              </w:tc>
              <w:tc>
                <w:tcPr>
                  <w:tcW w:w="643" w:type="pct"/>
                  <w:noWrap w:val="0"/>
                  <w:vAlign w:val="center"/>
                </w:tcPr>
                <w:p>
                  <w:pPr>
                    <w:pStyle w:val="32"/>
                    <w:bidi w:val="0"/>
                    <w:jc w:val="center"/>
                    <w:rPr>
                      <w:color w:val="auto"/>
                      <w:highlight w:val="none"/>
                    </w:rPr>
                  </w:pPr>
                  <w:r>
                    <w:rPr>
                      <w:color w:val="auto"/>
                      <w:highlight w:val="none"/>
                    </w:rPr>
                    <w:t>36</w:t>
                  </w:r>
                </w:p>
              </w:tc>
              <w:tc>
                <w:tcPr>
                  <w:tcW w:w="2133"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复合材料（成品购入）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百米牌</w:t>
                  </w:r>
                </w:p>
              </w:tc>
              <w:tc>
                <w:tcPr>
                  <w:tcW w:w="401"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处</w:t>
                  </w:r>
                </w:p>
              </w:tc>
              <w:tc>
                <w:tcPr>
                  <w:tcW w:w="643"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16</w:t>
                  </w:r>
                </w:p>
              </w:tc>
              <w:tc>
                <w:tcPr>
                  <w:tcW w:w="2133" w:type="pct"/>
                  <w:noWrap w:val="0"/>
                  <w:vAlign w:val="center"/>
                </w:tcPr>
                <w:p>
                  <w:pPr>
                    <w:pStyle w:val="32"/>
                    <w:bidi w:val="0"/>
                    <w:jc w:val="center"/>
                    <w:rPr>
                      <w:rFonts w:hint="eastAsia"/>
                      <w:color w:val="auto"/>
                      <w:highlight w:val="none"/>
                      <w:lang w:eastAsia="zh-CN"/>
                    </w:rPr>
                  </w:pPr>
                  <w:r>
                    <w:rPr>
                      <w:rFonts w:hint="eastAsia"/>
                      <w:color w:val="auto"/>
                      <w:highlight w:val="none"/>
                      <w:lang w:eastAsia="zh-CN"/>
                    </w:rPr>
                    <w:t>镀锌钢板材质（成品购入）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color w:val="auto"/>
                      <w:highlight w:val="none"/>
                    </w:rPr>
                  </w:pPr>
                  <w:r>
                    <w:rPr>
                      <w:color w:val="auto"/>
                      <w:highlight w:val="none"/>
                    </w:rPr>
                    <w:t>界碑</w:t>
                  </w:r>
                </w:p>
              </w:tc>
              <w:tc>
                <w:tcPr>
                  <w:tcW w:w="401" w:type="pct"/>
                  <w:noWrap w:val="0"/>
                  <w:vAlign w:val="center"/>
                </w:tcPr>
                <w:p>
                  <w:pPr>
                    <w:pStyle w:val="32"/>
                    <w:bidi w:val="0"/>
                    <w:jc w:val="center"/>
                    <w:rPr>
                      <w:color w:val="auto"/>
                      <w:highlight w:val="none"/>
                    </w:rPr>
                  </w:pPr>
                  <w:r>
                    <w:rPr>
                      <w:color w:val="auto"/>
                      <w:highlight w:val="none"/>
                    </w:rPr>
                    <w:t>块</w:t>
                  </w:r>
                </w:p>
              </w:tc>
              <w:tc>
                <w:tcPr>
                  <w:tcW w:w="643" w:type="pct"/>
                  <w:noWrap w:val="0"/>
                  <w:vAlign w:val="center"/>
                </w:tcPr>
                <w:p>
                  <w:pPr>
                    <w:pStyle w:val="32"/>
                    <w:bidi w:val="0"/>
                    <w:jc w:val="center"/>
                    <w:rPr>
                      <w:color w:val="auto"/>
                      <w:highlight w:val="none"/>
                    </w:rPr>
                  </w:pPr>
                  <w:r>
                    <w:rPr>
                      <w:color w:val="auto"/>
                      <w:highlight w:val="none"/>
                    </w:rPr>
                    <w:t>20</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restart"/>
                  <w:noWrap w:val="0"/>
                  <w:vAlign w:val="center"/>
                </w:tcPr>
                <w:p>
                  <w:pPr>
                    <w:pStyle w:val="32"/>
                    <w:bidi w:val="0"/>
                    <w:jc w:val="center"/>
                    <w:rPr>
                      <w:color w:val="auto"/>
                      <w:highlight w:val="none"/>
                    </w:rPr>
                  </w:pPr>
                  <w:r>
                    <w:rPr>
                      <w:color w:val="auto"/>
                      <w:highlight w:val="none"/>
                    </w:rPr>
                    <w:t>标线</w:t>
                  </w:r>
                </w:p>
              </w:tc>
              <w:tc>
                <w:tcPr>
                  <w:tcW w:w="1017" w:type="pct"/>
                  <w:noWrap w:val="0"/>
                  <w:vAlign w:val="center"/>
                </w:tcPr>
                <w:p>
                  <w:pPr>
                    <w:pStyle w:val="32"/>
                    <w:bidi w:val="0"/>
                    <w:ind w:firstLine="0" w:firstLineChars="0"/>
                    <w:jc w:val="center"/>
                    <w:rPr>
                      <w:color w:val="auto"/>
                      <w:highlight w:val="none"/>
                    </w:rPr>
                  </w:pPr>
                  <w:r>
                    <w:rPr>
                      <w:color w:val="auto"/>
                      <w:highlight w:val="none"/>
                    </w:rPr>
                    <w:t>热熔标线</w:t>
                  </w:r>
                </w:p>
              </w:tc>
              <w:tc>
                <w:tcPr>
                  <w:tcW w:w="401" w:type="pct"/>
                  <w:noWrap w:val="0"/>
                  <w:vAlign w:val="center"/>
                </w:tcPr>
                <w:p>
                  <w:pPr>
                    <w:pStyle w:val="32"/>
                    <w:bidi w:val="0"/>
                    <w:jc w:val="center"/>
                    <w:rPr>
                      <w:color w:val="auto"/>
                      <w:highlight w:val="none"/>
                    </w:rPr>
                  </w:pPr>
                  <w:r>
                    <w:rPr>
                      <w:color w:val="auto"/>
                      <w:highlight w:val="none"/>
                    </w:rPr>
                    <w:t>m²</w:t>
                  </w:r>
                </w:p>
              </w:tc>
              <w:tc>
                <w:tcPr>
                  <w:tcW w:w="643"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4474.8</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continue"/>
                  <w:noWrap w:val="0"/>
                  <w:vAlign w:val="center"/>
                </w:tcPr>
                <w:p>
                  <w:pPr>
                    <w:pStyle w:val="32"/>
                    <w:bidi w:val="0"/>
                    <w:jc w:val="center"/>
                    <w:rPr>
                      <w:color w:val="auto"/>
                      <w:highlight w:val="none"/>
                    </w:rPr>
                  </w:pPr>
                </w:p>
              </w:tc>
              <w:tc>
                <w:tcPr>
                  <w:tcW w:w="1017" w:type="pct"/>
                  <w:noWrap w:val="0"/>
                  <w:vAlign w:val="center"/>
                </w:tcPr>
                <w:p>
                  <w:pPr>
                    <w:pStyle w:val="32"/>
                    <w:bidi w:val="0"/>
                    <w:ind w:firstLine="0" w:firstLineChars="0"/>
                    <w:jc w:val="center"/>
                    <w:rPr>
                      <w:color w:val="auto"/>
                      <w:highlight w:val="none"/>
                    </w:rPr>
                  </w:pPr>
                  <w:r>
                    <w:rPr>
                      <w:color w:val="auto"/>
                      <w:highlight w:val="none"/>
                    </w:rPr>
                    <w:t>振荡热熔标线</w:t>
                  </w:r>
                </w:p>
              </w:tc>
              <w:tc>
                <w:tcPr>
                  <w:tcW w:w="401" w:type="pct"/>
                  <w:noWrap w:val="0"/>
                  <w:vAlign w:val="center"/>
                </w:tcPr>
                <w:p>
                  <w:pPr>
                    <w:pStyle w:val="32"/>
                    <w:bidi w:val="0"/>
                    <w:jc w:val="center"/>
                    <w:rPr>
                      <w:color w:val="auto"/>
                      <w:highlight w:val="none"/>
                    </w:rPr>
                  </w:pPr>
                  <w:r>
                    <w:rPr>
                      <w:color w:val="auto"/>
                      <w:highlight w:val="none"/>
                    </w:rPr>
                    <w:t>m²</w:t>
                  </w:r>
                </w:p>
              </w:tc>
              <w:tc>
                <w:tcPr>
                  <w:tcW w:w="643"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36.0</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restart"/>
                  <w:noWrap w:val="0"/>
                  <w:vAlign w:val="center"/>
                </w:tcPr>
                <w:p>
                  <w:pPr>
                    <w:pStyle w:val="32"/>
                    <w:bidi w:val="0"/>
                    <w:jc w:val="center"/>
                    <w:rPr>
                      <w:color w:val="auto"/>
                      <w:highlight w:val="none"/>
                    </w:rPr>
                  </w:pPr>
                  <w:r>
                    <w:rPr>
                      <w:color w:val="auto"/>
                      <w:highlight w:val="none"/>
                    </w:rPr>
                    <w:t>标志</w:t>
                  </w:r>
                </w:p>
              </w:tc>
              <w:tc>
                <w:tcPr>
                  <w:tcW w:w="1017" w:type="pct"/>
                  <w:noWrap w:val="0"/>
                  <w:vAlign w:val="center"/>
                </w:tcPr>
                <w:p>
                  <w:pPr>
                    <w:pStyle w:val="32"/>
                    <w:bidi w:val="0"/>
                    <w:ind w:firstLine="0" w:firstLineChars="0"/>
                    <w:jc w:val="center"/>
                    <w:rPr>
                      <w:color w:val="auto"/>
                      <w:highlight w:val="none"/>
                    </w:rPr>
                  </w:pPr>
                  <w:r>
                    <w:rPr>
                      <w:color w:val="auto"/>
                      <w:highlight w:val="none"/>
                    </w:rPr>
                    <w:t>双悬臂式</w:t>
                  </w:r>
                </w:p>
              </w:tc>
              <w:tc>
                <w:tcPr>
                  <w:tcW w:w="401" w:type="pct"/>
                  <w:noWrap w:val="0"/>
                  <w:vAlign w:val="center"/>
                </w:tcPr>
                <w:p>
                  <w:pPr>
                    <w:pStyle w:val="32"/>
                    <w:bidi w:val="0"/>
                    <w:jc w:val="center"/>
                    <w:rPr>
                      <w:color w:val="auto"/>
                      <w:highlight w:val="none"/>
                    </w:rPr>
                  </w:pPr>
                  <w:r>
                    <w:rPr>
                      <w:color w:val="auto"/>
                      <w:highlight w:val="none"/>
                    </w:rPr>
                    <w:t>个</w:t>
                  </w:r>
                </w:p>
              </w:tc>
              <w:tc>
                <w:tcPr>
                  <w:tcW w:w="643" w:type="pct"/>
                  <w:noWrap w:val="0"/>
                  <w:vAlign w:val="center"/>
                </w:tcPr>
                <w:p>
                  <w:pPr>
                    <w:pStyle w:val="32"/>
                    <w:bidi w:val="0"/>
                    <w:jc w:val="center"/>
                    <w:rPr>
                      <w:color w:val="auto"/>
                      <w:highlight w:val="none"/>
                    </w:rPr>
                  </w:pPr>
                  <w:r>
                    <w:rPr>
                      <w:color w:val="auto"/>
                      <w:highlight w:val="none"/>
                    </w:rPr>
                    <w:t>2</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continue"/>
                  <w:noWrap w:val="0"/>
                  <w:vAlign w:val="center"/>
                </w:tcPr>
                <w:p>
                  <w:pPr>
                    <w:pStyle w:val="32"/>
                    <w:bidi w:val="0"/>
                    <w:jc w:val="center"/>
                    <w:rPr>
                      <w:color w:val="auto"/>
                      <w:highlight w:val="none"/>
                    </w:rPr>
                  </w:pPr>
                </w:p>
              </w:tc>
              <w:tc>
                <w:tcPr>
                  <w:tcW w:w="1017" w:type="pct"/>
                  <w:noWrap w:val="0"/>
                  <w:vAlign w:val="center"/>
                </w:tcPr>
                <w:p>
                  <w:pPr>
                    <w:pStyle w:val="32"/>
                    <w:bidi w:val="0"/>
                    <w:ind w:firstLine="0" w:firstLineChars="0"/>
                    <w:jc w:val="center"/>
                    <w:rPr>
                      <w:color w:val="auto"/>
                      <w:highlight w:val="none"/>
                    </w:rPr>
                  </w:pPr>
                  <w:r>
                    <w:rPr>
                      <w:color w:val="auto"/>
                      <w:highlight w:val="none"/>
                    </w:rPr>
                    <w:t>单悬臂式</w:t>
                  </w:r>
                </w:p>
              </w:tc>
              <w:tc>
                <w:tcPr>
                  <w:tcW w:w="401" w:type="pct"/>
                  <w:noWrap w:val="0"/>
                  <w:vAlign w:val="center"/>
                </w:tcPr>
                <w:p>
                  <w:pPr>
                    <w:pStyle w:val="32"/>
                    <w:bidi w:val="0"/>
                    <w:jc w:val="center"/>
                    <w:rPr>
                      <w:color w:val="auto"/>
                      <w:highlight w:val="none"/>
                    </w:rPr>
                  </w:pPr>
                  <w:r>
                    <w:rPr>
                      <w:color w:val="auto"/>
                      <w:highlight w:val="none"/>
                    </w:rPr>
                    <w:t>个</w:t>
                  </w:r>
                </w:p>
              </w:tc>
              <w:tc>
                <w:tcPr>
                  <w:tcW w:w="643"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19</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continue"/>
                  <w:noWrap w:val="0"/>
                  <w:vAlign w:val="center"/>
                </w:tcPr>
                <w:p>
                  <w:pPr>
                    <w:pStyle w:val="32"/>
                    <w:bidi w:val="0"/>
                    <w:jc w:val="center"/>
                    <w:rPr>
                      <w:color w:val="auto"/>
                      <w:highlight w:val="none"/>
                    </w:rPr>
                  </w:pPr>
                </w:p>
              </w:tc>
              <w:tc>
                <w:tcPr>
                  <w:tcW w:w="1017" w:type="pct"/>
                  <w:noWrap w:val="0"/>
                  <w:vAlign w:val="center"/>
                </w:tcPr>
                <w:p>
                  <w:pPr>
                    <w:pStyle w:val="32"/>
                    <w:bidi w:val="0"/>
                    <w:ind w:firstLine="0" w:firstLineChars="0"/>
                    <w:jc w:val="center"/>
                    <w:rPr>
                      <w:color w:val="auto"/>
                      <w:highlight w:val="none"/>
                    </w:rPr>
                  </w:pPr>
                  <w:r>
                    <w:rPr>
                      <w:color w:val="auto"/>
                      <w:highlight w:val="none"/>
                    </w:rPr>
                    <w:t>单柱式</w:t>
                  </w:r>
                </w:p>
              </w:tc>
              <w:tc>
                <w:tcPr>
                  <w:tcW w:w="401" w:type="pct"/>
                  <w:noWrap w:val="0"/>
                  <w:vAlign w:val="center"/>
                </w:tcPr>
                <w:p>
                  <w:pPr>
                    <w:pStyle w:val="32"/>
                    <w:bidi w:val="0"/>
                    <w:jc w:val="center"/>
                    <w:rPr>
                      <w:color w:val="auto"/>
                      <w:highlight w:val="none"/>
                    </w:rPr>
                  </w:pPr>
                  <w:r>
                    <w:rPr>
                      <w:color w:val="auto"/>
                      <w:highlight w:val="none"/>
                    </w:rPr>
                    <w:t>个</w:t>
                  </w:r>
                </w:p>
              </w:tc>
              <w:tc>
                <w:tcPr>
                  <w:tcW w:w="643" w:type="pct"/>
                  <w:noWrap w:val="0"/>
                  <w:vAlign w:val="center"/>
                </w:tcPr>
                <w:p>
                  <w:pPr>
                    <w:pStyle w:val="32"/>
                    <w:bidi w:val="0"/>
                    <w:jc w:val="center"/>
                    <w:rPr>
                      <w:color w:val="auto"/>
                      <w:highlight w:val="none"/>
                    </w:rPr>
                  </w:pPr>
                  <w:r>
                    <w:rPr>
                      <w:color w:val="auto"/>
                      <w:highlight w:val="none"/>
                    </w:rPr>
                    <w:t>11</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continue"/>
                  <w:noWrap w:val="0"/>
                  <w:vAlign w:val="center"/>
                </w:tcPr>
                <w:p>
                  <w:pPr>
                    <w:pStyle w:val="32"/>
                    <w:bidi w:val="0"/>
                    <w:jc w:val="center"/>
                    <w:rPr>
                      <w:color w:val="auto"/>
                      <w:highlight w:val="none"/>
                    </w:rPr>
                  </w:pPr>
                </w:p>
              </w:tc>
              <w:tc>
                <w:tcPr>
                  <w:tcW w:w="1017" w:type="pct"/>
                  <w:noWrap w:val="0"/>
                  <w:vAlign w:val="center"/>
                </w:tcPr>
                <w:p>
                  <w:pPr>
                    <w:pStyle w:val="32"/>
                    <w:bidi w:val="0"/>
                    <w:ind w:firstLine="0" w:firstLineChars="0"/>
                    <w:jc w:val="center"/>
                    <w:rPr>
                      <w:color w:val="auto"/>
                      <w:highlight w:val="none"/>
                    </w:rPr>
                  </w:pPr>
                  <w:r>
                    <w:rPr>
                      <w:color w:val="auto"/>
                      <w:highlight w:val="none"/>
                    </w:rPr>
                    <w:t>附着式</w:t>
                  </w:r>
                </w:p>
              </w:tc>
              <w:tc>
                <w:tcPr>
                  <w:tcW w:w="401" w:type="pct"/>
                  <w:noWrap w:val="0"/>
                  <w:vAlign w:val="center"/>
                </w:tcPr>
                <w:p>
                  <w:pPr>
                    <w:pStyle w:val="32"/>
                    <w:bidi w:val="0"/>
                    <w:jc w:val="center"/>
                    <w:rPr>
                      <w:color w:val="auto"/>
                      <w:highlight w:val="none"/>
                    </w:rPr>
                  </w:pPr>
                  <w:r>
                    <w:rPr>
                      <w:color w:val="auto"/>
                      <w:highlight w:val="none"/>
                    </w:rPr>
                    <w:t>个</w:t>
                  </w:r>
                </w:p>
              </w:tc>
              <w:tc>
                <w:tcPr>
                  <w:tcW w:w="643"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val="en-US" w:eastAsia="zh-CN"/>
                    </w:rPr>
                    <w:t>9</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color w:val="auto"/>
                      <w:highlight w:val="none"/>
                    </w:rPr>
                  </w:pPr>
                  <w:r>
                    <w:rPr>
                      <w:color w:val="auto"/>
                      <w:highlight w:val="none"/>
                    </w:rPr>
                    <w:t>防撞桶</w:t>
                  </w:r>
                </w:p>
              </w:tc>
              <w:tc>
                <w:tcPr>
                  <w:tcW w:w="401" w:type="pct"/>
                  <w:noWrap w:val="0"/>
                  <w:vAlign w:val="center"/>
                </w:tcPr>
                <w:p>
                  <w:pPr>
                    <w:pStyle w:val="32"/>
                    <w:bidi w:val="0"/>
                    <w:jc w:val="center"/>
                    <w:rPr>
                      <w:color w:val="auto"/>
                      <w:highlight w:val="none"/>
                    </w:rPr>
                  </w:pPr>
                  <w:r>
                    <w:rPr>
                      <w:color w:val="auto"/>
                      <w:highlight w:val="none"/>
                    </w:rPr>
                    <w:t>个</w:t>
                  </w:r>
                </w:p>
              </w:tc>
              <w:tc>
                <w:tcPr>
                  <w:tcW w:w="643"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val="en-US" w:eastAsia="zh-CN"/>
                    </w:rPr>
                    <w:t>6</w:t>
                  </w:r>
                </w:p>
              </w:tc>
              <w:tc>
                <w:tcPr>
                  <w:tcW w:w="2133" w:type="pct"/>
                  <w:noWrap w:val="0"/>
                  <w:vAlign w:val="center"/>
                </w:tcPr>
                <w:p>
                  <w:pPr>
                    <w:pStyle w:val="32"/>
                    <w:bidi w:val="0"/>
                    <w:jc w:val="center"/>
                    <w:rPr>
                      <w:color w:val="auto"/>
                      <w:highlight w:val="none"/>
                    </w:rPr>
                  </w:pPr>
                  <w:r>
                    <w:rPr>
                      <w:color w:val="auto"/>
                      <w:highlight w:val="none"/>
                    </w:rPr>
                    <w:t>分流鼻端品字型布设，每组3个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警示桩</w:t>
                  </w:r>
                </w:p>
              </w:tc>
              <w:tc>
                <w:tcPr>
                  <w:tcW w:w="401"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根</w:t>
                  </w:r>
                </w:p>
              </w:tc>
              <w:tc>
                <w:tcPr>
                  <w:tcW w:w="643" w:type="pct"/>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86</w:t>
                  </w:r>
                </w:p>
              </w:tc>
              <w:tc>
                <w:tcPr>
                  <w:tcW w:w="2133"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eastAsia="zh-CN"/>
                    </w:rPr>
                    <w:t>设置于平交口导流岛，间距</w:t>
                  </w:r>
                  <w:r>
                    <w:rPr>
                      <w:rFonts w:hint="eastAsia"/>
                      <w:color w:val="auto"/>
                      <w:highlight w:val="none"/>
                      <w:lang w:val="en-US" w:eastAsia="zh-CN"/>
                    </w:rPr>
                    <w:t>3m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restart"/>
                  <w:noWrap w:val="0"/>
                  <w:vAlign w:val="center"/>
                </w:tcPr>
                <w:p>
                  <w:pPr>
                    <w:pStyle w:val="32"/>
                    <w:bidi w:val="0"/>
                    <w:jc w:val="center"/>
                    <w:rPr>
                      <w:color w:val="auto"/>
                      <w:highlight w:val="none"/>
                    </w:rPr>
                  </w:pPr>
                  <w:r>
                    <w:rPr>
                      <w:color w:val="auto"/>
                      <w:highlight w:val="none"/>
                    </w:rPr>
                    <w:t>信号灯</w:t>
                  </w:r>
                </w:p>
              </w:tc>
              <w:tc>
                <w:tcPr>
                  <w:tcW w:w="1017" w:type="pct"/>
                  <w:noWrap w:val="0"/>
                  <w:vAlign w:val="center"/>
                </w:tcPr>
                <w:p>
                  <w:pPr>
                    <w:pStyle w:val="32"/>
                    <w:bidi w:val="0"/>
                    <w:ind w:firstLine="0" w:firstLineChars="0"/>
                    <w:jc w:val="center"/>
                    <w:rPr>
                      <w:color w:val="auto"/>
                      <w:highlight w:val="none"/>
                    </w:rPr>
                  </w:pPr>
                  <w:r>
                    <w:rPr>
                      <w:rFonts w:hint="eastAsia"/>
                      <w:color w:val="auto"/>
                      <w:highlight w:val="none"/>
                      <w:lang w:eastAsia="zh-CN"/>
                    </w:rPr>
                    <w:t>悬臂式</w:t>
                  </w:r>
                  <w:r>
                    <w:rPr>
                      <w:color w:val="auto"/>
                      <w:highlight w:val="none"/>
                    </w:rPr>
                    <w:t>交通信号灯</w:t>
                  </w:r>
                </w:p>
              </w:tc>
              <w:tc>
                <w:tcPr>
                  <w:tcW w:w="401" w:type="pct"/>
                  <w:noWrap w:val="0"/>
                  <w:vAlign w:val="center"/>
                </w:tcPr>
                <w:p>
                  <w:pPr>
                    <w:pStyle w:val="32"/>
                    <w:bidi w:val="0"/>
                    <w:jc w:val="center"/>
                    <w:rPr>
                      <w:color w:val="auto"/>
                      <w:highlight w:val="none"/>
                    </w:rPr>
                  </w:pPr>
                  <w:r>
                    <w:rPr>
                      <w:color w:val="auto"/>
                      <w:highlight w:val="none"/>
                    </w:rPr>
                    <w:t>基</w:t>
                  </w:r>
                </w:p>
              </w:tc>
              <w:tc>
                <w:tcPr>
                  <w:tcW w:w="643" w:type="pct"/>
                  <w:noWrap w:val="0"/>
                  <w:vAlign w:val="center"/>
                </w:tcPr>
                <w:p>
                  <w:pPr>
                    <w:pStyle w:val="32"/>
                    <w:bidi w:val="0"/>
                    <w:jc w:val="center"/>
                    <w:rPr>
                      <w:color w:val="auto"/>
                      <w:highlight w:val="none"/>
                    </w:rPr>
                  </w:pPr>
                  <w:r>
                    <w:rPr>
                      <w:color w:val="auto"/>
                      <w:highlight w:val="none"/>
                    </w:rPr>
                    <w:t>2</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continue"/>
                  <w:noWrap w:val="0"/>
                  <w:vAlign w:val="center"/>
                </w:tcPr>
                <w:p>
                  <w:pPr>
                    <w:pStyle w:val="32"/>
                    <w:bidi w:val="0"/>
                    <w:jc w:val="center"/>
                    <w:rPr>
                      <w:color w:val="auto"/>
                      <w:highlight w:val="none"/>
                    </w:rPr>
                  </w:pPr>
                </w:p>
              </w:tc>
              <w:tc>
                <w:tcPr>
                  <w:tcW w:w="1017" w:type="pct"/>
                  <w:noWrap w:val="0"/>
                  <w:vAlign w:val="center"/>
                </w:tcPr>
                <w:p>
                  <w:pPr>
                    <w:pStyle w:val="32"/>
                    <w:bidi w:val="0"/>
                    <w:ind w:firstLine="0" w:firstLineChars="0"/>
                    <w:jc w:val="center"/>
                    <w:rPr>
                      <w:color w:val="auto"/>
                      <w:highlight w:val="none"/>
                    </w:rPr>
                  </w:pPr>
                  <w:r>
                    <w:rPr>
                      <w:rFonts w:hint="eastAsia"/>
                      <w:color w:val="auto"/>
                      <w:highlight w:val="none"/>
                      <w:lang w:eastAsia="zh-CN"/>
                    </w:rPr>
                    <w:t>附着式</w:t>
                  </w:r>
                  <w:r>
                    <w:rPr>
                      <w:color w:val="auto"/>
                      <w:highlight w:val="none"/>
                    </w:rPr>
                    <w:t>交通信号灯</w:t>
                  </w:r>
                </w:p>
              </w:tc>
              <w:tc>
                <w:tcPr>
                  <w:tcW w:w="401" w:type="pct"/>
                  <w:noWrap w:val="0"/>
                  <w:vAlign w:val="center"/>
                </w:tcPr>
                <w:p>
                  <w:pPr>
                    <w:pStyle w:val="32"/>
                    <w:bidi w:val="0"/>
                    <w:jc w:val="center"/>
                    <w:rPr>
                      <w:color w:val="auto"/>
                      <w:highlight w:val="none"/>
                    </w:rPr>
                  </w:pPr>
                  <w:r>
                    <w:rPr>
                      <w:color w:val="auto"/>
                      <w:highlight w:val="none"/>
                    </w:rPr>
                    <w:t>基</w:t>
                  </w:r>
                </w:p>
              </w:tc>
              <w:tc>
                <w:tcPr>
                  <w:tcW w:w="643" w:type="pct"/>
                  <w:noWrap w:val="0"/>
                  <w:vAlign w:val="center"/>
                </w:tcPr>
                <w:p>
                  <w:pPr>
                    <w:pStyle w:val="32"/>
                    <w:bidi w:val="0"/>
                    <w:jc w:val="center"/>
                    <w:rPr>
                      <w:color w:val="auto"/>
                      <w:highlight w:val="none"/>
                    </w:rPr>
                  </w:pPr>
                  <w:r>
                    <w:rPr>
                      <w:color w:val="auto"/>
                      <w:highlight w:val="none"/>
                    </w:rPr>
                    <w:t>2</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463" w:type="pct"/>
                  <w:vMerge w:val="continue"/>
                  <w:noWrap w:val="0"/>
                  <w:vAlign w:val="center"/>
                </w:tcPr>
                <w:p>
                  <w:pPr>
                    <w:pStyle w:val="32"/>
                    <w:bidi w:val="0"/>
                    <w:jc w:val="center"/>
                    <w:rPr>
                      <w:color w:val="auto"/>
                      <w:highlight w:val="none"/>
                    </w:rPr>
                  </w:pPr>
                </w:p>
              </w:tc>
              <w:tc>
                <w:tcPr>
                  <w:tcW w:w="1017" w:type="pct"/>
                  <w:noWrap w:val="0"/>
                  <w:vAlign w:val="center"/>
                </w:tcPr>
                <w:p>
                  <w:pPr>
                    <w:pStyle w:val="32"/>
                    <w:bidi w:val="0"/>
                    <w:ind w:firstLine="0" w:firstLineChars="0"/>
                    <w:jc w:val="center"/>
                    <w:rPr>
                      <w:color w:val="auto"/>
                      <w:highlight w:val="none"/>
                    </w:rPr>
                  </w:pPr>
                  <w:r>
                    <w:rPr>
                      <w:color w:val="auto"/>
                      <w:highlight w:val="none"/>
                    </w:rPr>
                    <w:t>步行灯</w:t>
                  </w:r>
                </w:p>
              </w:tc>
              <w:tc>
                <w:tcPr>
                  <w:tcW w:w="401" w:type="pct"/>
                  <w:noWrap w:val="0"/>
                  <w:vAlign w:val="center"/>
                </w:tcPr>
                <w:p>
                  <w:pPr>
                    <w:pStyle w:val="32"/>
                    <w:bidi w:val="0"/>
                    <w:jc w:val="center"/>
                    <w:rPr>
                      <w:color w:val="auto"/>
                      <w:highlight w:val="none"/>
                    </w:rPr>
                  </w:pPr>
                  <w:r>
                    <w:rPr>
                      <w:color w:val="auto"/>
                      <w:highlight w:val="none"/>
                    </w:rPr>
                    <w:t>基</w:t>
                  </w:r>
                </w:p>
              </w:tc>
              <w:tc>
                <w:tcPr>
                  <w:tcW w:w="643"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val="en-US" w:eastAsia="zh-CN"/>
                    </w:rPr>
                    <w:t>8</w:t>
                  </w:r>
                </w:p>
              </w:tc>
              <w:tc>
                <w:tcPr>
                  <w:tcW w:w="2133" w:type="pct"/>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340" w:type="pct"/>
                  <w:noWrap w:val="0"/>
                  <w:vAlign w:val="center"/>
                </w:tcPr>
                <w:p>
                  <w:pPr>
                    <w:pStyle w:val="32"/>
                    <w:numPr>
                      <w:ilvl w:val="0"/>
                      <w:numId w:val="5"/>
                    </w:numPr>
                    <w:bidi w:val="0"/>
                    <w:ind w:left="425" w:leftChars="0" w:hanging="425" w:firstLineChars="0"/>
                    <w:rPr>
                      <w:rFonts w:hint="eastAsia" w:ascii="Times New Roman" w:hAnsi="Times New Roman" w:eastAsia="宋体" w:cs="Times New Roman"/>
                      <w:color w:val="auto"/>
                      <w:highlight w:val="none"/>
                    </w:rPr>
                  </w:pPr>
                </w:p>
              </w:tc>
              <w:tc>
                <w:tcPr>
                  <w:tcW w:w="1480" w:type="pct"/>
                  <w:gridSpan w:val="2"/>
                  <w:noWrap w:val="0"/>
                  <w:vAlign w:val="center"/>
                </w:tcPr>
                <w:p>
                  <w:pPr>
                    <w:pStyle w:val="32"/>
                    <w:bidi w:val="0"/>
                    <w:jc w:val="center"/>
                    <w:rPr>
                      <w:color w:val="auto"/>
                      <w:highlight w:val="none"/>
                    </w:rPr>
                  </w:pPr>
                  <w:r>
                    <w:rPr>
                      <w:color w:val="auto"/>
                      <w:highlight w:val="none"/>
                    </w:rPr>
                    <w:t>F型SA级混凝土护栏</w:t>
                  </w:r>
                </w:p>
              </w:tc>
              <w:tc>
                <w:tcPr>
                  <w:tcW w:w="401" w:type="pct"/>
                  <w:noWrap w:val="0"/>
                  <w:vAlign w:val="center"/>
                </w:tcPr>
                <w:p>
                  <w:pPr>
                    <w:pStyle w:val="32"/>
                    <w:bidi w:val="0"/>
                    <w:jc w:val="center"/>
                    <w:rPr>
                      <w:color w:val="auto"/>
                      <w:highlight w:val="none"/>
                    </w:rPr>
                  </w:pPr>
                  <w:r>
                    <w:rPr>
                      <w:color w:val="auto"/>
                      <w:highlight w:val="none"/>
                    </w:rPr>
                    <w:t>米</w:t>
                  </w:r>
                </w:p>
              </w:tc>
              <w:tc>
                <w:tcPr>
                  <w:tcW w:w="643"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791.1</w:t>
                  </w:r>
                </w:p>
              </w:tc>
              <w:tc>
                <w:tcPr>
                  <w:tcW w:w="2133" w:type="pct"/>
                  <w:noWrap w:val="0"/>
                  <w:vAlign w:val="center"/>
                </w:tcPr>
                <w:p>
                  <w:pPr>
                    <w:pStyle w:val="32"/>
                    <w:bidi w:val="0"/>
                    <w:jc w:val="center"/>
                    <w:rPr>
                      <w:color w:val="auto"/>
                      <w:highlight w:val="none"/>
                    </w:rPr>
                  </w:pPr>
                </w:p>
              </w:tc>
            </w:tr>
          </w:tbl>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拆迁工程一览表</w:t>
            </w:r>
          </w:p>
          <w:tbl>
            <w:tblPr>
              <w:tblStyle w:val="22"/>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89"/>
              <w:gridCol w:w="1107"/>
              <w:gridCol w:w="2480"/>
              <w:gridCol w:w="984"/>
              <w:gridCol w:w="1329"/>
              <w:gridCol w:w="19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bidi w:val="0"/>
                    <w:jc w:val="center"/>
                    <w:rPr>
                      <w:rFonts w:hint="eastAsia"/>
                      <w:color w:val="auto"/>
                      <w:highlight w:val="none"/>
                    </w:rPr>
                  </w:pPr>
                  <w:r>
                    <w:rPr>
                      <w:rFonts w:hint="eastAsia"/>
                      <w:color w:val="auto"/>
                      <w:highlight w:val="none"/>
                    </w:rPr>
                    <w:t>序号</w:t>
                  </w:r>
                </w:p>
              </w:tc>
              <w:tc>
                <w:tcPr>
                  <w:tcW w:w="2132" w:type="pct"/>
                  <w:gridSpan w:val="2"/>
                  <w:noWrap w:val="0"/>
                  <w:vAlign w:val="center"/>
                </w:tcPr>
                <w:p>
                  <w:pPr>
                    <w:pStyle w:val="32"/>
                    <w:bidi w:val="0"/>
                    <w:jc w:val="center"/>
                    <w:rPr>
                      <w:rFonts w:hint="eastAsia"/>
                      <w:color w:val="auto"/>
                      <w:highlight w:val="none"/>
                    </w:rPr>
                  </w:pPr>
                  <w:r>
                    <w:rPr>
                      <w:rFonts w:hint="eastAsia"/>
                      <w:color w:val="auto"/>
                      <w:highlight w:val="none"/>
                    </w:rPr>
                    <w:t>名称</w:t>
                  </w:r>
                </w:p>
              </w:tc>
              <w:tc>
                <w:tcPr>
                  <w:tcW w:w="585" w:type="pct"/>
                  <w:noWrap w:val="0"/>
                  <w:vAlign w:val="center"/>
                </w:tcPr>
                <w:p>
                  <w:pPr>
                    <w:pStyle w:val="32"/>
                    <w:bidi w:val="0"/>
                    <w:jc w:val="center"/>
                    <w:rPr>
                      <w:rFonts w:hint="eastAsia"/>
                      <w:color w:val="auto"/>
                      <w:highlight w:val="none"/>
                    </w:rPr>
                  </w:pPr>
                  <w:r>
                    <w:rPr>
                      <w:rFonts w:hint="eastAsia"/>
                      <w:color w:val="auto"/>
                      <w:highlight w:val="none"/>
                    </w:rPr>
                    <w:t>单位</w:t>
                  </w:r>
                </w:p>
              </w:tc>
              <w:tc>
                <w:tcPr>
                  <w:tcW w:w="790" w:type="pct"/>
                  <w:noWrap w:val="0"/>
                  <w:vAlign w:val="center"/>
                </w:tcPr>
                <w:p>
                  <w:pPr>
                    <w:pStyle w:val="32"/>
                    <w:bidi w:val="0"/>
                    <w:jc w:val="center"/>
                    <w:rPr>
                      <w:rFonts w:hint="eastAsia"/>
                      <w:color w:val="auto"/>
                      <w:highlight w:val="none"/>
                    </w:rPr>
                  </w:pPr>
                  <w:r>
                    <w:rPr>
                      <w:rFonts w:hint="eastAsia"/>
                      <w:color w:val="auto"/>
                      <w:highlight w:val="none"/>
                    </w:rPr>
                    <w:t>数量</w:t>
                  </w:r>
                </w:p>
              </w:tc>
              <w:tc>
                <w:tcPr>
                  <w:tcW w:w="1141" w:type="pct"/>
                  <w:noWrap w:val="0"/>
                  <w:vAlign w:val="center"/>
                </w:tcPr>
                <w:p>
                  <w:pPr>
                    <w:pStyle w:val="32"/>
                    <w:bidi w:val="0"/>
                    <w:jc w:val="center"/>
                    <w:rPr>
                      <w:rFonts w:hint="eastAsia"/>
                      <w:color w:val="auto"/>
                      <w:highlight w:val="none"/>
                    </w:rPr>
                  </w:pPr>
                  <w:r>
                    <w:rPr>
                      <w:rFonts w:hint="eastAsia"/>
                      <w:color w:val="auto"/>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restar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建构</w:t>
                  </w:r>
                </w:p>
                <w:p>
                  <w:pPr>
                    <w:pStyle w:val="32"/>
                    <w:bidi w:val="0"/>
                    <w:rPr>
                      <w:rFonts w:hint="eastAsia"/>
                      <w:color w:val="auto"/>
                      <w:highlight w:val="none"/>
                      <w:lang w:val="en-US" w:eastAsia="zh-CN"/>
                    </w:rPr>
                  </w:pPr>
                  <w:r>
                    <w:rPr>
                      <w:rFonts w:hint="eastAsia"/>
                      <w:color w:val="auto"/>
                      <w:highlight w:val="none"/>
                      <w:lang w:val="en-US" w:eastAsia="zh-CN"/>
                    </w:rPr>
                    <w:t>筑物</w:t>
                  </w: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混凝土</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m</w:t>
                  </w:r>
                  <w:r>
                    <w:rPr>
                      <w:rFonts w:hint="eastAsia"/>
                      <w:color w:val="auto"/>
                      <w:highlight w:val="none"/>
                      <w:vertAlign w:val="superscript"/>
                      <w:lang w:val="en-US" w:eastAsia="zh-CN"/>
                    </w:rPr>
                    <w:t>2</w:t>
                  </w:r>
                </w:p>
              </w:tc>
              <w:tc>
                <w:tcPr>
                  <w:tcW w:w="790" w:type="pct"/>
                  <w:noWrap w:val="0"/>
                  <w:vAlign w:val="center"/>
                </w:tcPr>
                <w:p>
                  <w:pPr>
                    <w:pStyle w:val="32"/>
                    <w:bidi w:val="0"/>
                    <w:rPr>
                      <w:color w:val="auto"/>
                      <w:highlight w:val="none"/>
                    </w:rPr>
                  </w:pPr>
                  <w:r>
                    <w:rPr>
                      <w:rFonts w:hint="eastAsia"/>
                      <w:color w:val="auto"/>
                      <w:highlight w:val="none"/>
                      <w:lang w:val="en-US" w:eastAsia="zh-CN"/>
                    </w:rPr>
                    <w:t>243</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5.5m桁架式限高门架</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处</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1</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电子警察</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处</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4</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附着式标志牌</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个</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1</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单柱标志牌</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个</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1</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color w:val="auto"/>
                      <w:highlight w:val="none"/>
                    </w:rPr>
                  </w:pPr>
                  <w:r>
                    <w:rPr>
                      <w:rFonts w:hint="eastAsia"/>
                      <w:color w:val="auto"/>
                      <w:highlight w:val="none"/>
                      <w:lang w:val="en-US" w:eastAsia="zh-CN"/>
                    </w:rPr>
                    <w:t>单悬臂标志牌</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个</w:t>
                  </w:r>
                </w:p>
              </w:tc>
              <w:tc>
                <w:tcPr>
                  <w:tcW w:w="790" w:type="pct"/>
                  <w:noWrap w:val="0"/>
                  <w:vAlign w:val="center"/>
                </w:tcPr>
                <w:p>
                  <w:pPr>
                    <w:pStyle w:val="32"/>
                    <w:bidi w:val="0"/>
                    <w:rPr>
                      <w:color w:val="auto"/>
                      <w:highlight w:val="none"/>
                    </w:rPr>
                  </w:pPr>
                  <w:r>
                    <w:rPr>
                      <w:rFonts w:hint="eastAsia"/>
                      <w:color w:val="auto"/>
                      <w:highlight w:val="none"/>
                      <w:lang w:val="en-US" w:eastAsia="zh-CN"/>
                    </w:rPr>
                    <w:t>6</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双柱式电子广告栏</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个</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1</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公告牌</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个</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2</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混凝土基础</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m</w:t>
                  </w:r>
                  <w:r>
                    <w:rPr>
                      <w:color w:val="auto"/>
                      <w:highlight w:val="none"/>
                      <w:vertAlign w:val="superscript"/>
                      <w:lang w:val="en-US" w:eastAsia="zh-CN"/>
                    </w:rPr>
                    <w:t>3</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5</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rPr>
                  </w:pPr>
                  <w:r>
                    <w:rPr>
                      <w:rFonts w:hint="eastAsia"/>
                      <w:color w:val="auto"/>
                      <w:highlight w:val="none"/>
                      <w:lang w:val="en-US" w:eastAsia="zh-CN"/>
                    </w:rPr>
                    <w:t>拆圬工</w:t>
                  </w:r>
                </w:p>
              </w:tc>
              <w:tc>
                <w:tcPr>
                  <w:tcW w:w="585" w:type="pct"/>
                  <w:noWrap w:val="0"/>
                  <w:vAlign w:val="center"/>
                </w:tcPr>
                <w:p>
                  <w:pPr>
                    <w:pStyle w:val="32"/>
                    <w:bidi w:val="0"/>
                    <w:rPr>
                      <w:rFonts w:hint="eastAsia"/>
                      <w:color w:val="auto"/>
                      <w:highlight w:val="none"/>
                    </w:rPr>
                  </w:pPr>
                  <w:r>
                    <w:rPr>
                      <w:rFonts w:hint="eastAsia"/>
                      <w:color w:val="auto"/>
                      <w:highlight w:val="none"/>
                      <w:lang w:val="en-US" w:eastAsia="zh-CN"/>
                    </w:rPr>
                    <w:t>m</w:t>
                  </w:r>
                  <w:r>
                    <w:rPr>
                      <w:color w:val="auto"/>
                      <w:highlight w:val="none"/>
                      <w:vertAlign w:val="superscript"/>
                      <w:lang w:val="en-US" w:eastAsia="zh-CN"/>
                    </w:rPr>
                    <w:t>3</w:t>
                  </w:r>
                </w:p>
              </w:tc>
              <w:tc>
                <w:tcPr>
                  <w:tcW w:w="790" w:type="pct"/>
                  <w:noWrap w:val="0"/>
                  <w:vAlign w:val="center"/>
                </w:tcPr>
                <w:p>
                  <w:pPr>
                    <w:pStyle w:val="32"/>
                    <w:bidi w:val="0"/>
                    <w:rPr>
                      <w:rFonts w:hint="eastAsia"/>
                      <w:color w:val="auto"/>
                      <w:highlight w:val="none"/>
                    </w:rPr>
                  </w:pPr>
                  <w:r>
                    <w:rPr>
                      <w:rFonts w:hint="eastAsia"/>
                      <w:color w:val="auto"/>
                      <w:highlight w:val="none"/>
                      <w:lang w:val="en-US" w:eastAsia="zh-CN"/>
                    </w:rPr>
                    <w:t>139.5</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restar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电力、电讯及其它管线</w:t>
                  </w:r>
                </w:p>
              </w:tc>
              <w:tc>
                <w:tcPr>
                  <w:tcW w:w="1474"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高压电杆</w:t>
                  </w:r>
                </w:p>
              </w:tc>
              <w:tc>
                <w:tcPr>
                  <w:tcW w:w="585"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根</w:t>
                  </w:r>
                </w:p>
              </w:tc>
              <w:tc>
                <w:tcPr>
                  <w:tcW w:w="790"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1</w:t>
                  </w:r>
                </w:p>
              </w:tc>
              <w:tc>
                <w:tcPr>
                  <w:tcW w:w="1141"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5"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rPr>
                      <w:rFonts w:hint="eastAsia"/>
                      <w:color w:val="auto"/>
                      <w:highlight w:val="none"/>
                      <w:lang w:val="en-US" w:eastAsia="zh-CN"/>
                    </w:rPr>
                  </w:pPr>
                </w:p>
              </w:tc>
              <w:tc>
                <w:tcPr>
                  <w:tcW w:w="1474"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通讯线杆</w:t>
                  </w:r>
                </w:p>
              </w:tc>
              <w:tc>
                <w:tcPr>
                  <w:tcW w:w="585"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根</w:t>
                  </w:r>
                </w:p>
              </w:tc>
              <w:tc>
                <w:tcPr>
                  <w:tcW w:w="790"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19</w:t>
                  </w:r>
                </w:p>
              </w:tc>
              <w:tc>
                <w:tcPr>
                  <w:tcW w:w="1141"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eastAsia="zh-CN"/>
                    </w:rPr>
                    <w:t>砼</w:t>
                  </w:r>
                  <w:r>
                    <w:rPr>
                      <w:rFonts w:hint="eastAsia"/>
                      <w:color w:val="auto"/>
                      <w:highlight w:val="none"/>
                      <w:lang w:val="en-US" w:eastAsia="zh-CN"/>
                    </w:rPr>
                    <w:t>13根，木6根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ind w:firstLine="0" w:firstLineChars="0"/>
                    <w:rPr>
                      <w:rFonts w:hint="eastAsia"/>
                      <w:color w:val="auto"/>
                      <w:highlight w:val="none"/>
                      <w:lang w:val="en-US" w:eastAsia="zh-CN"/>
                    </w:rPr>
                  </w:pPr>
                </w:p>
              </w:tc>
              <w:tc>
                <w:tcPr>
                  <w:tcW w:w="1474" w:type="pct"/>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天然气管线</w:t>
                  </w:r>
                </w:p>
              </w:tc>
              <w:tc>
                <w:tcPr>
                  <w:tcW w:w="585"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m</w:t>
                  </w:r>
                </w:p>
              </w:tc>
              <w:tc>
                <w:tcPr>
                  <w:tcW w:w="790"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980</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ind w:firstLine="0" w:firstLineChars="0"/>
                    <w:rPr>
                      <w:rFonts w:hint="eastAsia"/>
                      <w:color w:val="auto"/>
                      <w:highlight w:val="none"/>
                      <w:lang w:val="en-US" w:eastAsia="zh-CN"/>
                    </w:rPr>
                  </w:pPr>
                </w:p>
              </w:tc>
              <w:tc>
                <w:tcPr>
                  <w:tcW w:w="1474" w:type="pct"/>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电缆穿线井</w:t>
                  </w:r>
                </w:p>
              </w:tc>
              <w:tc>
                <w:tcPr>
                  <w:tcW w:w="585"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座</w:t>
                  </w:r>
                </w:p>
              </w:tc>
              <w:tc>
                <w:tcPr>
                  <w:tcW w:w="790"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2</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ind w:firstLine="0" w:firstLineChars="0"/>
                    <w:rPr>
                      <w:rFonts w:hint="eastAsia"/>
                      <w:color w:val="auto"/>
                      <w:highlight w:val="none"/>
                      <w:lang w:val="en-US" w:eastAsia="zh-CN"/>
                    </w:rPr>
                  </w:pPr>
                </w:p>
              </w:tc>
              <w:tc>
                <w:tcPr>
                  <w:tcW w:w="1474" w:type="pct"/>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路灯</w:t>
                  </w:r>
                </w:p>
              </w:tc>
              <w:tc>
                <w:tcPr>
                  <w:tcW w:w="585"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基</w:t>
                  </w:r>
                </w:p>
              </w:tc>
              <w:tc>
                <w:tcPr>
                  <w:tcW w:w="790"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62</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ind w:firstLine="0" w:firstLineChars="0"/>
                    <w:rPr>
                      <w:rFonts w:hint="eastAsia"/>
                      <w:color w:val="auto"/>
                      <w:highlight w:val="none"/>
                      <w:lang w:val="en-US" w:eastAsia="zh-CN"/>
                    </w:rPr>
                  </w:pPr>
                </w:p>
              </w:tc>
              <w:tc>
                <w:tcPr>
                  <w:tcW w:w="1474" w:type="pct"/>
                  <w:noWrap w:val="0"/>
                  <w:vAlign w:val="center"/>
                </w:tcPr>
                <w:p>
                  <w:pPr>
                    <w:pStyle w:val="32"/>
                    <w:bidi w:val="0"/>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lang w:val="en-US" w:eastAsia="zh-CN"/>
                    </w:rPr>
                    <w:t>高杆灯</w:t>
                  </w:r>
                </w:p>
              </w:tc>
              <w:tc>
                <w:tcPr>
                  <w:tcW w:w="585"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基</w:t>
                  </w:r>
                </w:p>
              </w:tc>
              <w:tc>
                <w:tcPr>
                  <w:tcW w:w="790" w:type="pct"/>
                  <w:noWrap w:val="0"/>
                  <w:vAlign w:val="center"/>
                </w:tcPr>
                <w:p>
                  <w:pPr>
                    <w:pStyle w:val="32"/>
                    <w:bidi w:val="0"/>
                    <w:rPr>
                      <w:rFonts w:hint="eastAsia"/>
                      <w:color w:val="auto"/>
                      <w:highlight w:val="none"/>
                      <w:lang w:val="en-US" w:eastAsia="zh-CN"/>
                    </w:rPr>
                  </w:pPr>
                  <w:r>
                    <w:rPr>
                      <w:rFonts w:hint="eastAsia"/>
                      <w:color w:val="auto"/>
                      <w:highlight w:val="none"/>
                      <w:lang w:val="en-US" w:eastAsia="zh-CN"/>
                    </w:rPr>
                    <w:t>2</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restart"/>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路面</w:t>
                  </w:r>
                </w:p>
              </w:tc>
              <w:tc>
                <w:tcPr>
                  <w:tcW w:w="1474" w:type="pct"/>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铣刨长度</w:t>
                  </w:r>
                </w:p>
              </w:tc>
              <w:tc>
                <w:tcPr>
                  <w:tcW w:w="585"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m</w:t>
                  </w:r>
                </w:p>
              </w:tc>
              <w:tc>
                <w:tcPr>
                  <w:tcW w:w="790"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2637.5</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ind w:firstLine="0" w:firstLineChars="0"/>
                    <w:rPr>
                      <w:rFonts w:hint="eastAsia"/>
                      <w:color w:val="auto"/>
                      <w:highlight w:val="none"/>
                      <w:lang w:val="en-US" w:eastAsia="zh-CN"/>
                    </w:rPr>
                  </w:pPr>
                </w:p>
              </w:tc>
              <w:tc>
                <w:tcPr>
                  <w:tcW w:w="1474" w:type="pct"/>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拆除路缘石（花岗岩）</w:t>
                  </w:r>
                </w:p>
              </w:tc>
              <w:tc>
                <w:tcPr>
                  <w:tcW w:w="585"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m</w:t>
                  </w:r>
                </w:p>
              </w:tc>
              <w:tc>
                <w:tcPr>
                  <w:tcW w:w="790"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3644.9</w:t>
                  </w:r>
                </w:p>
              </w:tc>
              <w:tc>
                <w:tcPr>
                  <w:tcW w:w="1141" w:type="pct"/>
                  <w:noWrap w:val="0"/>
                  <w:vAlign w:val="center"/>
                </w:tcPr>
                <w:p>
                  <w:pPr>
                    <w:pStyle w:val="32"/>
                    <w:bidi w:val="0"/>
                    <w:jc w:val="center"/>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50" w:type="pct"/>
                  <w:noWrap w:val="0"/>
                  <w:vAlign w:val="center"/>
                </w:tcPr>
                <w:p>
                  <w:pPr>
                    <w:pStyle w:val="32"/>
                    <w:numPr>
                      <w:ilvl w:val="0"/>
                      <w:numId w:val="6"/>
                    </w:numPr>
                    <w:bidi w:val="0"/>
                    <w:ind w:left="425" w:leftChars="0" w:hanging="425" w:firstLineChars="0"/>
                    <w:rPr>
                      <w:rFonts w:hint="eastAsia" w:ascii="Times New Roman" w:hAnsi="Times New Roman" w:eastAsia="宋体" w:cs="Times New Roman"/>
                      <w:color w:val="auto"/>
                      <w:highlight w:val="none"/>
                    </w:rPr>
                  </w:pPr>
                </w:p>
              </w:tc>
              <w:tc>
                <w:tcPr>
                  <w:tcW w:w="658" w:type="pct"/>
                  <w:vMerge w:val="continue"/>
                  <w:noWrap w:val="0"/>
                  <w:vAlign w:val="center"/>
                </w:tcPr>
                <w:p>
                  <w:pPr>
                    <w:pStyle w:val="32"/>
                    <w:bidi w:val="0"/>
                    <w:ind w:firstLine="0" w:firstLineChars="0"/>
                    <w:rPr>
                      <w:rFonts w:hint="eastAsia"/>
                      <w:color w:val="auto"/>
                      <w:highlight w:val="none"/>
                      <w:lang w:val="en-US" w:eastAsia="zh-CN"/>
                    </w:rPr>
                  </w:pPr>
                </w:p>
              </w:tc>
              <w:tc>
                <w:tcPr>
                  <w:tcW w:w="1474" w:type="pct"/>
                  <w:noWrap w:val="0"/>
                  <w:vAlign w:val="center"/>
                </w:tcPr>
                <w:p>
                  <w:pPr>
                    <w:pStyle w:val="32"/>
                    <w:bidi w:val="0"/>
                    <w:ind w:firstLine="0" w:firstLineChars="0"/>
                    <w:rPr>
                      <w:rFonts w:hint="eastAsia"/>
                      <w:color w:val="auto"/>
                      <w:highlight w:val="none"/>
                      <w:lang w:val="en-US" w:eastAsia="zh-CN"/>
                    </w:rPr>
                  </w:pPr>
                  <w:r>
                    <w:rPr>
                      <w:rFonts w:hint="eastAsia"/>
                      <w:color w:val="auto"/>
                      <w:highlight w:val="none"/>
                      <w:lang w:val="en-US" w:eastAsia="zh-CN"/>
                    </w:rPr>
                    <w:t>拆除路缘石（混凝土）</w:t>
                  </w:r>
                </w:p>
              </w:tc>
              <w:tc>
                <w:tcPr>
                  <w:tcW w:w="585"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m</w:t>
                  </w:r>
                </w:p>
              </w:tc>
              <w:tc>
                <w:tcPr>
                  <w:tcW w:w="790" w:type="pct"/>
                  <w:noWrap w:val="0"/>
                  <w:vAlign w:val="center"/>
                </w:tcPr>
                <w:p>
                  <w:pPr>
                    <w:pStyle w:val="32"/>
                    <w:bidi w:val="0"/>
                    <w:rPr>
                      <w:rFonts w:hint="default"/>
                      <w:color w:val="auto"/>
                      <w:highlight w:val="none"/>
                      <w:lang w:val="en-US" w:eastAsia="zh-CN"/>
                    </w:rPr>
                  </w:pPr>
                  <w:r>
                    <w:rPr>
                      <w:rFonts w:hint="eastAsia"/>
                      <w:color w:val="auto"/>
                      <w:highlight w:val="none"/>
                      <w:lang w:val="en-US" w:eastAsia="zh-CN"/>
                    </w:rPr>
                    <w:t>4366.2</w:t>
                  </w:r>
                </w:p>
              </w:tc>
              <w:tc>
                <w:tcPr>
                  <w:tcW w:w="1141" w:type="pct"/>
                  <w:noWrap w:val="0"/>
                  <w:vAlign w:val="center"/>
                </w:tcPr>
                <w:p>
                  <w:pPr>
                    <w:pStyle w:val="32"/>
                    <w:bidi w:val="0"/>
                    <w:jc w:val="center"/>
                    <w:rPr>
                      <w:rFonts w:hint="eastAsia"/>
                      <w:color w:val="auto"/>
                      <w:highlight w:val="none"/>
                    </w:rPr>
                  </w:pPr>
                </w:p>
              </w:tc>
            </w:tr>
          </w:tbl>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ascii="Times New Roman" w:hAnsi="Times New Roman" w:eastAsia="宋体" w:cs="Times New Roman"/>
                <w:b/>
                <w:bCs/>
                <w:color w:val="auto"/>
                <w:highlight w:val="none"/>
              </w:rPr>
            </w:pPr>
            <w:r>
              <w:rPr>
                <w:rFonts w:ascii="Times New Roman" w:hAnsi="Times New Roman" w:eastAsia="宋体" w:cs="Times New Roman"/>
                <w:b/>
                <w:bCs/>
                <w:color w:val="auto"/>
                <w:highlight w:val="none"/>
              </w:rPr>
              <w:t>主要技术指标</w:t>
            </w:r>
          </w:p>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主要技术指标表（主线）</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87"/>
              <w:gridCol w:w="2804"/>
              <w:gridCol w:w="4431"/>
              <w:gridCol w:w="5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tblHeader/>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序号</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项目</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采用值</w:t>
                  </w:r>
                </w:p>
              </w:tc>
              <w:tc>
                <w:tcPr>
                  <w:tcW w:w="348" w:type="pct"/>
                  <w:tcBorders>
                    <w:tl2br w:val="nil"/>
                    <w:tr2bl w:val="nil"/>
                  </w:tcBorders>
                  <w:noWrap w:val="0"/>
                  <w:vAlign w:val="center"/>
                </w:tcPr>
                <w:p>
                  <w:pPr>
                    <w:pStyle w:val="32"/>
                    <w:bidi w:val="0"/>
                    <w:rPr>
                      <w:color w:val="auto"/>
                      <w:highlight w:val="none"/>
                    </w:rPr>
                  </w:pPr>
                  <w:r>
                    <w:rPr>
                      <w:rFonts w:hint="eastAsia"/>
                      <w:color w:val="auto"/>
                      <w:highlight w:val="none"/>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公路等级</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一级公路</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2</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车道数</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四</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3</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设计速度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60km/h</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vMerge w:val="restart"/>
                  <w:tcBorders>
                    <w:tl2br w:val="nil"/>
                    <w:tr2bl w:val="nil"/>
                  </w:tcBorders>
                  <w:noWrap w:val="0"/>
                  <w:vAlign w:val="center"/>
                </w:tcPr>
                <w:p>
                  <w:pPr>
                    <w:pStyle w:val="32"/>
                    <w:bidi w:val="0"/>
                    <w:rPr>
                      <w:color w:val="auto"/>
                      <w:highlight w:val="none"/>
                    </w:rPr>
                  </w:pPr>
                  <w:r>
                    <w:rPr>
                      <w:rFonts w:hint="eastAsia"/>
                      <w:color w:val="auto"/>
                      <w:highlight w:val="none"/>
                    </w:rPr>
                    <w:t>4</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路基宽度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现状道路34.0m，跨线桥路段5</w:t>
                  </w:r>
                  <w:r>
                    <w:rPr>
                      <w:color w:val="auto"/>
                      <w:highlight w:val="none"/>
                    </w:rPr>
                    <w:t>2</w:t>
                  </w:r>
                  <w:r>
                    <w:rPr>
                      <w:rFonts w:hint="eastAsia"/>
                      <w:color w:val="auto"/>
                      <w:highlight w:val="none"/>
                    </w:rPr>
                    <w:t>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vMerge w:val="continue"/>
                  <w:tcBorders>
                    <w:tl2br w:val="nil"/>
                    <w:tr2bl w:val="nil"/>
                  </w:tcBorders>
                  <w:noWrap w:val="0"/>
                  <w:vAlign w:val="center"/>
                </w:tcPr>
                <w:p>
                  <w:pPr>
                    <w:pStyle w:val="32"/>
                    <w:bidi w:val="0"/>
                    <w:rPr>
                      <w:color w:val="auto"/>
                      <w:highlight w:val="none"/>
                    </w:rPr>
                  </w:pP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行车道宽度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2×3.75m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vMerge w:val="continue"/>
                  <w:tcBorders>
                    <w:tl2br w:val="nil"/>
                    <w:tr2bl w:val="nil"/>
                  </w:tcBorders>
                  <w:noWrap w:val="0"/>
                  <w:vAlign w:val="center"/>
                </w:tcPr>
                <w:p>
                  <w:pPr>
                    <w:pStyle w:val="32"/>
                    <w:bidi w:val="0"/>
                    <w:rPr>
                      <w:color w:val="auto"/>
                      <w:highlight w:val="none"/>
                    </w:rPr>
                  </w:pP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中央分隔带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2.0m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vMerge w:val="continue"/>
                  <w:tcBorders>
                    <w:tl2br w:val="nil"/>
                    <w:tr2bl w:val="nil"/>
                  </w:tcBorders>
                  <w:noWrap w:val="0"/>
                  <w:vAlign w:val="center"/>
                </w:tcPr>
                <w:p>
                  <w:pPr>
                    <w:pStyle w:val="32"/>
                    <w:bidi w:val="0"/>
                    <w:rPr>
                      <w:color w:val="auto"/>
                      <w:highlight w:val="none"/>
                    </w:rPr>
                  </w:pP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左侧路缘带宽度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0.75m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vMerge w:val="continue"/>
                  <w:tcBorders>
                    <w:tl2br w:val="nil"/>
                    <w:tr2bl w:val="nil"/>
                  </w:tcBorders>
                  <w:noWrap w:val="0"/>
                  <w:vAlign w:val="center"/>
                </w:tcPr>
                <w:p>
                  <w:pPr>
                    <w:pStyle w:val="32"/>
                    <w:bidi w:val="0"/>
                    <w:rPr>
                      <w:color w:val="auto"/>
                      <w:highlight w:val="none"/>
                    </w:rPr>
                  </w:pP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硬路肩</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主线2.5m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vMerge w:val="continue"/>
                  <w:tcBorders>
                    <w:tl2br w:val="nil"/>
                    <w:tr2bl w:val="nil"/>
                  </w:tcBorders>
                  <w:noWrap w:val="0"/>
                  <w:vAlign w:val="center"/>
                </w:tcPr>
                <w:p>
                  <w:pPr>
                    <w:pStyle w:val="32"/>
                    <w:bidi w:val="0"/>
                    <w:rPr>
                      <w:color w:val="auto"/>
                      <w:highlight w:val="none"/>
                    </w:rPr>
                  </w:pP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土路肩</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1.5m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5</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路拱横坡</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行车道和硬路肩2%，绿化带2</w:t>
                  </w:r>
                  <w:r>
                    <w:rPr>
                      <w:color w:val="auto"/>
                      <w:highlight w:val="none"/>
                    </w:rPr>
                    <w:t>%</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6</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设计洪水频率</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1/100</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7</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最小平曲线半径</w:t>
                  </w:r>
                </w:p>
              </w:tc>
              <w:tc>
                <w:tcPr>
                  <w:tcW w:w="2634" w:type="pct"/>
                  <w:tcBorders>
                    <w:tl2br w:val="nil"/>
                    <w:tr2bl w:val="nil"/>
                  </w:tcBorders>
                  <w:noWrap w:val="0"/>
                  <w:vAlign w:val="center"/>
                </w:tcPr>
                <w:p>
                  <w:pPr>
                    <w:pStyle w:val="32"/>
                    <w:bidi w:val="0"/>
                    <w:rPr>
                      <w:color w:val="auto"/>
                      <w:highlight w:val="none"/>
                    </w:rPr>
                  </w:pPr>
                  <w:r>
                    <w:rPr>
                      <w:color w:val="auto"/>
                      <w:highlight w:val="none"/>
                    </w:rPr>
                    <w:t>650</w:t>
                  </w:r>
                  <w:r>
                    <w:rPr>
                      <w:rFonts w:hint="eastAsia"/>
                      <w:color w:val="auto"/>
                      <w:highlight w:val="none"/>
                    </w:rPr>
                    <w:t>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8</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不设超高最小半径</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6</w:t>
                  </w:r>
                  <w:r>
                    <w:rPr>
                      <w:color w:val="auto"/>
                      <w:highlight w:val="none"/>
                    </w:rPr>
                    <w:t>50</w:t>
                  </w:r>
                  <w:r>
                    <w:rPr>
                      <w:rFonts w:hint="eastAsia"/>
                      <w:color w:val="auto"/>
                      <w:highlight w:val="none"/>
                    </w:rPr>
                    <w:t>m（拟合现状）</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9</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最小停车视距</w:t>
                  </w:r>
                </w:p>
              </w:tc>
              <w:tc>
                <w:tcPr>
                  <w:tcW w:w="2634" w:type="pct"/>
                  <w:tcBorders>
                    <w:tl2br w:val="nil"/>
                    <w:tr2bl w:val="nil"/>
                  </w:tcBorders>
                  <w:noWrap w:val="0"/>
                  <w:vAlign w:val="center"/>
                </w:tcPr>
                <w:p>
                  <w:pPr>
                    <w:pStyle w:val="32"/>
                    <w:bidi w:val="0"/>
                    <w:rPr>
                      <w:color w:val="auto"/>
                      <w:highlight w:val="none"/>
                    </w:rPr>
                  </w:pPr>
                  <w:r>
                    <w:rPr>
                      <w:color w:val="auto"/>
                      <w:highlight w:val="none"/>
                    </w:rPr>
                    <w:t>75</w:t>
                  </w:r>
                  <w:r>
                    <w:rPr>
                      <w:rFonts w:hint="eastAsia"/>
                      <w:color w:val="auto"/>
                      <w:highlight w:val="none"/>
                    </w:rPr>
                    <w:t>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最大纵坡</w:t>
                  </w:r>
                </w:p>
              </w:tc>
              <w:tc>
                <w:tcPr>
                  <w:tcW w:w="2634" w:type="pct"/>
                  <w:tcBorders>
                    <w:tl2br w:val="nil"/>
                    <w:tr2bl w:val="nil"/>
                  </w:tcBorders>
                  <w:noWrap w:val="0"/>
                  <w:vAlign w:val="center"/>
                </w:tcPr>
                <w:p>
                  <w:pPr>
                    <w:pStyle w:val="32"/>
                    <w:bidi w:val="0"/>
                    <w:rPr>
                      <w:color w:val="auto"/>
                      <w:highlight w:val="none"/>
                    </w:rPr>
                  </w:pPr>
                  <w:r>
                    <w:rPr>
                      <w:color w:val="auto"/>
                      <w:highlight w:val="none"/>
                    </w:rPr>
                    <w:t>2.984</w:t>
                  </w:r>
                  <w:r>
                    <w:rPr>
                      <w:rFonts w:hint="eastAsia"/>
                      <w:color w:val="auto"/>
                      <w:highlight w:val="none"/>
                    </w:rPr>
                    <w:t>%</w:t>
                  </w:r>
                  <w:r>
                    <w:rPr>
                      <w:color w:val="auto"/>
                      <w:highlight w:val="none"/>
                    </w:rPr>
                    <w:t>/1</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11</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最短坡长</w:t>
                  </w:r>
                </w:p>
              </w:tc>
              <w:tc>
                <w:tcPr>
                  <w:tcW w:w="2634" w:type="pct"/>
                  <w:tcBorders>
                    <w:tl2br w:val="nil"/>
                    <w:tr2bl w:val="nil"/>
                  </w:tcBorders>
                  <w:noWrap w:val="0"/>
                  <w:vAlign w:val="center"/>
                </w:tcPr>
                <w:p>
                  <w:pPr>
                    <w:pStyle w:val="32"/>
                    <w:bidi w:val="0"/>
                    <w:rPr>
                      <w:color w:val="auto"/>
                      <w:highlight w:val="none"/>
                    </w:rPr>
                  </w:pPr>
                  <w:r>
                    <w:rPr>
                      <w:color w:val="auto"/>
                      <w:highlight w:val="none"/>
                    </w:rPr>
                    <w:t>185</w:t>
                  </w:r>
                  <w:r>
                    <w:rPr>
                      <w:rFonts w:hint="eastAsia"/>
                      <w:color w:val="auto"/>
                      <w:highlight w:val="none"/>
                    </w:rPr>
                    <w:t>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12</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竖曲线最小半径</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凸形：</w:t>
                  </w:r>
                  <w:r>
                    <w:rPr>
                      <w:color w:val="auto"/>
                      <w:highlight w:val="none"/>
                    </w:rPr>
                    <w:t>500</w:t>
                  </w:r>
                  <w:r>
                    <w:rPr>
                      <w:rFonts w:hint="eastAsia"/>
                      <w:color w:val="auto"/>
                      <w:highlight w:val="none"/>
                    </w:rPr>
                    <w:t>0m；凹形：4</w:t>
                  </w:r>
                  <w:r>
                    <w:rPr>
                      <w:color w:val="auto"/>
                      <w:highlight w:val="none"/>
                    </w:rPr>
                    <w:t>1</w:t>
                  </w:r>
                  <w:r>
                    <w:rPr>
                      <w:rFonts w:hint="eastAsia"/>
                      <w:color w:val="auto"/>
                      <w:highlight w:val="none"/>
                    </w:rPr>
                    <w:t>00m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13</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桥涵设计汽车荷载</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公路-I级</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9" w:type="pct"/>
                  <w:tcBorders>
                    <w:tl2br w:val="nil"/>
                    <w:tr2bl w:val="nil"/>
                  </w:tcBorders>
                  <w:noWrap w:val="0"/>
                  <w:vAlign w:val="center"/>
                </w:tcPr>
                <w:p>
                  <w:pPr>
                    <w:pStyle w:val="32"/>
                    <w:bidi w:val="0"/>
                    <w:rPr>
                      <w:color w:val="auto"/>
                      <w:highlight w:val="none"/>
                    </w:rPr>
                  </w:pPr>
                  <w:r>
                    <w:rPr>
                      <w:rFonts w:hint="eastAsia"/>
                      <w:color w:val="auto"/>
                      <w:highlight w:val="none"/>
                    </w:rPr>
                    <w:t>14</w:t>
                  </w:r>
                </w:p>
              </w:tc>
              <w:tc>
                <w:tcPr>
                  <w:tcW w:w="1667" w:type="pct"/>
                  <w:tcBorders>
                    <w:tl2br w:val="nil"/>
                    <w:tr2bl w:val="nil"/>
                  </w:tcBorders>
                  <w:noWrap w:val="0"/>
                  <w:vAlign w:val="center"/>
                </w:tcPr>
                <w:p>
                  <w:pPr>
                    <w:pStyle w:val="32"/>
                    <w:bidi w:val="0"/>
                    <w:rPr>
                      <w:color w:val="auto"/>
                      <w:highlight w:val="none"/>
                    </w:rPr>
                  </w:pPr>
                  <w:r>
                    <w:rPr>
                      <w:rFonts w:hint="eastAsia"/>
                      <w:color w:val="auto"/>
                      <w:highlight w:val="none"/>
                    </w:rPr>
                    <w:t>净空标准</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一级公路5.0m</w:t>
                  </w:r>
                </w:p>
              </w:tc>
              <w:tc>
                <w:tcPr>
                  <w:tcW w:w="348" w:type="pct"/>
                  <w:tcBorders>
                    <w:tl2br w:val="nil"/>
                    <w:tr2bl w:val="nil"/>
                  </w:tcBorders>
                  <w:noWrap/>
                  <w:vAlign w:val="bottom"/>
                </w:tcPr>
                <w:p>
                  <w:pPr>
                    <w:pStyle w:val="32"/>
                    <w:bidi w:val="0"/>
                    <w:rPr>
                      <w:color w:val="auto"/>
                      <w:highlight w:val="none"/>
                    </w:rPr>
                  </w:pPr>
                  <w:r>
                    <w:rPr>
                      <w:rFonts w:hint="eastAsia"/>
                      <w:color w:val="auto"/>
                      <w:highlight w:val="none"/>
                    </w:rPr>
                    <w:t>　</w:t>
                  </w:r>
                </w:p>
              </w:tc>
            </w:tr>
          </w:tbl>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主要技术指标表（辅道）</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72"/>
              <w:gridCol w:w="2820"/>
              <w:gridCol w:w="4432"/>
              <w:gridCol w:w="5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tblHeader/>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序号</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项    目</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采用值</w:t>
                  </w:r>
                </w:p>
              </w:tc>
              <w:tc>
                <w:tcPr>
                  <w:tcW w:w="347" w:type="pct"/>
                  <w:tcBorders>
                    <w:tl2br w:val="nil"/>
                    <w:tr2bl w:val="nil"/>
                  </w:tcBorders>
                  <w:noWrap w:val="0"/>
                  <w:vAlign w:val="center"/>
                </w:tcPr>
                <w:p>
                  <w:pPr>
                    <w:pStyle w:val="32"/>
                    <w:bidi w:val="0"/>
                    <w:rPr>
                      <w:color w:val="auto"/>
                      <w:highlight w:val="none"/>
                    </w:rPr>
                  </w:pPr>
                  <w:r>
                    <w:rPr>
                      <w:rFonts w:hint="eastAsia"/>
                      <w:color w:val="auto"/>
                      <w:highlight w:val="none"/>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车道数</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二</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2</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设计速度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40km/h</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vMerge w:val="restart"/>
                  <w:tcBorders>
                    <w:tl2br w:val="nil"/>
                    <w:tr2bl w:val="nil"/>
                  </w:tcBorders>
                  <w:noWrap w:val="0"/>
                  <w:vAlign w:val="center"/>
                </w:tcPr>
                <w:p>
                  <w:pPr>
                    <w:pStyle w:val="32"/>
                    <w:bidi w:val="0"/>
                    <w:rPr>
                      <w:color w:val="auto"/>
                      <w:highlight w:val="none"/>
                    </w:rPr>
                  </w:pPr>
                  <w:r>
                    <w:rPr>
                      <w:rFonts w:hint="eastAsia"/>
                      <w:color w:val="auto"/>
                      <w:highlight w:val="none"/>
                    </w:rPr>
                    <w:t>3</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路基宽度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1</w:t>
                  </w:r>
                  <w:r>
                    <w:rPr>
                      <w:color w:val="auto"/>
                      <w:highlight w:val="none"/>
                    </w:rPr>
                    <w:t>3.25</w:t>
                  </w:r>
                  <w:r>
                    <w:rPr>
                      <w:rFonts w:hint="eastAsia"/>
                      <w:color w:val="auto"/>
                      <w:highlight w:val="none"/>
                    </w:rPr>
                    <w:t>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vMerge w:val="continue"/>
                  <w:tcBorders>
                    <w:tl2br w:val="nil"/>
                    <w:tr2bl w:val="nil"/>
                  </w:tcBorders>
                  <w:noWrap w:val="0"/>
                  <w:vAlign w:val="center"/>
                </w:tcPr>
                <w:p>
                  <w:pPr>
                    <w:pStyle w:val="32"/>
                    <w:bidi w:val="0"/>
                    <w:rPr>
                      <w:color w:val="auto"/>
                      <w:highlight w:val="none"/>
                    </w:rPr>
                  </w:pP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行车道宽度</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2×3.5m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vMerge w:val="continue"/>
                  <w:tcBorders>
                    <w:tl2br w:val="nil"/>
                    <w:tr2bl w:val="nil"/>
                  </w:tcBorders>
                  <w:noWrap w:val="0"/>
                  <w:vAlign w:val="center"/>
                </w:tcPr>
                <w:p>
                  <w:pPr>
                    <w:pStyle w:val="32"/>
                    <w:bidi w:val="0"/>
                    <w:rPr>
                      <w:color w:val="auto"/>
                      <w:highlight w:val="none"/>
                    </w:rPr>
                  </w:pP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左侧硬路肩</w:t>
                  </w:r>
                </w:p>
              </w:tc>
              <w:tc>
                <w:tcPr>
                  <w:tcW w:w="2634" w:type="pct"/>
                  <w:tcBorders>
                    <w:tl2br w:val="nil"/>
                    <w:tr2bl w:val="nil"/>
                  </w:tcBorders>
                  <w:noWrap w:val="0"/>
                  <w:vAlign w:val="center"/>
                </w:tcPr>
                <w:p>
                  <w:pPr>
                    <w:pStyle w:val="32"/>
                    <w:bidi w:val="0"/>
                    <w:rPr>
                      <w:color w:val="auto"/>
                      <w:highlight w:val="none"/>
                    </w:rPr>
                  </w:pPr>
                  <w:r>
                    <w:rPr>
                      <w:color w:val="auto"/>
                      <w:highlight w:val="none"/>
                    </w:rPr>
                    <w:t>1</w:t>
                  </w:r>
                  <w:r>
                    <w:rPr>
                      <w:rFonts w:hint="eastAsia"/>
                      <w:color w:val="auto"/>
                      <w:highlight w:val="none"/>
                    </w:rPr>
                    <w:t>.0m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vMerge w:val="continue"/>
                  <w:tcBorders>
                    <w:tl2br w:val="nil"/>
                    <w:tr2bl w:val="nil"/>
                  </w:tcBorders>
                  <w:noWrap w:val="0"/>
                  <w:vAlign w:val="center"/>
                </w:tcPr>
                <w:p>
                  <w:pPr>
                    <w:pStyle w:val="32"/>
                    <w:bidi w:val="0"/>
                    <w:rPr>
                      <w:color w:val="auto"/>
                      <w:highlight w:val="none"/>
                    </w:rPr>
                  </w:pP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硬路肩</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3.0m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vMerge w:val="continue"/>
                  <w:tcBorders>
                    <w:tl2br w:val="nil"/>
                    <w:tr2bl w:val="nil"/>
                  </w:tcBorders>
                  <w:noWrap w:val="0"/>
                  <w:vAlign w:val="center"/>
                </w:tcPr>
                <w:p>
                  <w:pPr>
                    <w:pStyle w:val="32"/>
                    <w:bidi w:val="0"/>
                    <w:rPr>
                      <w:color w:val="auto"/>
                      <w:highlight w:val="none"/>
                    </w:rPr>
                  </w:pP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土路肩</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1.5m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4</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路拱横坡</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行车道和硬路肩2%，绿化带2</w:t>
                  </w:r>
                  <w:r>
                    <w:rPr>
                      <w:color w:val="auto"/>
                      <w:highlight w:val="none"/>
                    </w:rPr>
                    <w:t>%</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5</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最小平曲线半径</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5</w:t>
                  </w:r>
                  <w:r>
                    <w:rPr>
                      <w:color w:val="auto"/>
                      <w:highlight w:val="none"/>
                    </w:rPr>
                    <w:t>20</w:t>
                  </w:r>
                  <w:r>
                    <w:rPr>
                      <w:rFonts w:hint="eastAsia"/>
                      <w:color w:val="auto"/>
                      <w:highlight w:val="none"/>
                    </w:rPr>
                    <w:t>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6</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布设超高最小半径</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6</w:t>
                  </w:r>
                  <w:r>
                    <w:rPr>
                      <w:color w:val="auto"/>
                      <w:highlight w:val="none"/>
                    </w:rPr>
                    <w:t>00</w:t>
                  </w:r>
                  <w:r>
                    <w:rPr>
                      <w:rFonts w:hint="eastAsia"/>
                      <w:color w:val="auto"/>
                      <w:highlight w:val="none"/>
                    </w:rPr>
                    <w:t>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7</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最大纵坡</w:t>
                  </w:r>
                </w:p>
              </w:tc>
              <w:tc>
                <w:tcPr>
                  <w:tcW w:w="2634" w:type="pct"/>
                  <w:tcBorders>
                    <w:tl2br w:val="nil"/>
                    <w:tr2bl w:val="nil"/>
                  </w:tcBorders>
                  <w:noWrap w:val="0"/>
                  <w:vAlign w:val="center"/>
                </w:tcPr>
                <w:p>
                  <w:pPr>
                    <w:pStyle w:val="32"/>
                    <w:bidi w:val="0"/>
                    <w:rPr>
                      <w:color w:val="auto"/>
                      <w:highlight w:val="none"/>
                    </w:rPr>
                  </w:pPr>
                  <w:r>
                    <w:rPr>
                      <w:color w:val="auto"/>
                      <w:highlight w:val="none"/>
                    </w:rPr>
                    <w:t>0.451%</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29" w:hRule="exact"/>
                <w:jc w:val="center"/>
              </w:trPr>
              <w:tc>
                <w:tcPr>
                  <w:tcW w:w="340" w:type="pct"/>
                  <w:tcBorders>
                    <w:tl2br w:val="nil"/>
                    <w:tr2bl w:val="nil"/>
                  </w:tcBorders>
                  <w:noWrap w:val="0"/>
                  <w:vAlign w:val="center"/>
                </w:tcPr>
                <w:p>
                  <w:pPr>
                    <w:pStyle w:val="32"/>
                    <w:bidi w:val="0"/>
                    <w:rPr>
                      <w:color w:val="auto"/>
                      <w:highlight w:val="none"/>
                    </w:rPr>
                  </w:pPr>
                  <w:r>
                    <w:rPr>
                      <w:rFonts w:hint="eastAsia"/>
                      <w:color w:val="auto"/>
                      <w:highlight w:val="none"/>
                    </w:rPr>
                    <w:t>8</w:t>
                  </w:r>
                </w:p>
              </w:tc>
              <w:tc>
                <w:tcPr>
                  <w:tcW w:w="1676" w:type="pct"/>
                  <w:tcBorders>
                    <w:tl2br w:val="nil"/>
                    <w:tr2bl w:val="nil"/>
                  </w:tcBorders>
                  <w:noWrap w:val="0"/>
                  <w:vAlign w:val="center"/>
                </w:tcPr>
                <w:p>
                  <w:pPr>
                    <w:pStyle w:val="32"/>
                    <w:bidi w:val="0"/>
                    <w:rPr>
                      <w:color w:val="auto"/>
                      <w:highlight w:val="none"/>
                    </w:rPr>
                  </w:pPr>
                  <w:r>
                    <w:rPr>
                      <w:rFonts w:hint="eastAsia"/>
                      <w:color w:val="auto"/>
                      <w:highlight w:val="none"/>
                    </w:rPr>
                    <w:t>竖曲线最小半径</w:t>
                  </w:r>
                </w:p>
              </w:tc>
              <w:tc>
                <w:tcPr>
                  <w:tcW w:w="2634" w:type="pct"/>
                  <w:tcBorders>
                    <w:tl2br w:val="nil"/>
                    <w:tr2bl w:val="nil"/>
                  </w:tcBorders>
                  <w:noWrap w:val="0"/>
                  <w:vAlign w:val="center"/>
                </w:tcPr>
                <w:p>
                  <w:pPr>
                    <w:pStyle w:val="32"/>
                    <w:bidi w:val="0"/>
                    <w:rPr>
                      <w:color w:val="auto"/>
                      <w:highlight w:val="none"/>
                    </w:rPr>
                  </w:pPr>
                  <w:r>
                    <w:rPr>
                      <w:rFonts w:hint="eastAsia"/>
                      <w:color w:val="auto"/>
                      <w:highlight w:val="none"/>
                    </w:rPr>
                    <w:t>凸形：</w:t>
                  </w:r>
                  <w:r>
                    <w:rPr>
                      <w:color w:val="auto"/>
                      <w:highlight w:val="none"/>
                    </w:rPr>
                    <w:t>1500</w:t>
                  </w:r>
                  <w:r>
                    <w:rPr>
                      <w:rFonts w:hint="eastAsia"/>
                      <w:color w:val="auto"/>
                      <w:highlight w:val="none"/>
                    </w:rPr>
                    <w:t>0m；凹形：</w:t>
                  </w:r>
                  <w:r>
                    <w:rPr>
                      <w:color w:val="auto"/>
                      <w:highlight w:val="none"/>
                    </w:rPr>
                    <w:t>59500</w:t>
                  </w:r>
                  <w:r>
                    <w:rPr>
                      <w:rFonts w:hint="eastAsia"/>
                      <w:color w:val="auto"/>
                      <w:highlight w:val="none"/>
                    </w:rPr>
                    <w:t>m</w:t>
                  </w:r>
                </w:p>
              </w:tc>
              <w:tc>
                <w:tcPr>
                  <w:tcW w:w="347" w:type="pct"/>
                  <w:tcBorders>
                    <w:tl2br w:val="nil"/>
                    <w:tr2bl w:val="nil"/>
                  </w:tcBorders>
                  <w:noWrap/>
                  <w:vAlign w:val="bottom"/>
                </w:tcPr>
                <w:p>
                  <w:pPr>
                    <w:pStyle w:val="32"/>
                    <w:bidi w:val="0"/>
                    <w:rPr>
                      <w:color w:val="auto"/>
                      <w:highlight w:val="none"/>
                    </w:rPr>
                  </w:pPr>
                  <w:r>
                    <w:rPr>
                      <w:rFonts w:hint="eastAsia"/>
                      <w:color w:val="auto"/>
                      <w:highlight w:val="none"/>
                    </w:rPr>
                    <w:t>　</w:t>
                  </w:r>
                </w:p>
              </w:tc>
            </w:tr>
          </w:tbl>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主要技术指标一览表（立交桥）</w:t>
            </w:r>
          </w:p>
          <w:tbl>
            <w:tblPr>
              <w:tblStyle w:val="22"/>
              <w:tblW w:w="4998" w:type="pct"/>
              <w:tblInd w:w="1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67"/>
              <w:gridCol w:w="1765"/>
              <w:gridCol w:w="4402"/>
              <w:gridCol w:w="16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bidi w:val="0"/>
                    <w:rPr>
                      <w:color w:val="auto"/>
                      <w:highlight w:val="none"/>
                    </w:rPr>
                  </w:pPr>
                  <w:r>
                    <w:rPr>
                      <w:color w:val="auto"/>
                      <w:highlight w:val="none"/>
                    </w:rPr>
                    <w:t>序号</w:t>
                  </w:r>
                </w:p>
              </w:tc>
              <w:tc>
                <w:tcPr>
                  <w:tcW w:w="1049" w:type="pct"/>
                  <w:tcBorders>
                    <w:tl2br w:val="nil"/>
                    <w:tr2bl w:val="nil"/>
                  </w:tcBorders>
                  <w:noWrap w:val="0"/>
                  <w:vAlign w:val="center"/>
                </w:tcPr>
                <w:p>
                  <w:pPr>
                    <w:pStyle w:val="32"/>
                    <w:bidi w:val="0"/>
                    <w:rPr>
                      <w:color w:val="auto"/>
                      <w:highlight w:val="none"/>
                    </w:rPr>
                  </w:pPr>
                  <w:r>
                    <w:rPr>
                      <w:color w:val="auto"/>
                      <w:highlight w:val="none"/>
                    </w:rPr>
                    <w:t>名称</w:t>
                  </w:r>
                </w:p>
              </w:tc>
              <w:tc>
                <w:tcPr>
                  <w:tcW w:w="2617" w:type="pct"/>
                  <w:tcBorders>
                    <w:tl2br w:val="nil"/>
                    <w:tr2bl w:val="nil"/>
                  </w:tcBorders>
                  <w:noWrap w:val="0"/>
                  <w:vAlign w:val="center"/>
                </w:tcPr>
                <w:p>
                  <w:pPr>
                    <w:pStyle w:val="32"/>
                    <w:bidi w:val="0"/>
                    <w:rPr>
                      <w:color w:val="auto"/>
                      <w:highlight w:val="none"/>
                    </w:rPr>
                  </w:pPr>
                  <w:r>
                    <w:rPr>
                      <w:color w:val="auto"/>
                      <w:highlight w:val="none"/>
                    </w:rPr>
                    <w:t>技术指标</w:t>
                  </w:r>
                </w:p>
              </w:tc>
              <w:tc>
                <w:tcPr>
                  <w:tcW w:w="995" w:type="pc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道路等级</w:t>
                  </w:r>
                </w:p>
              </w:tc>
              <w:tc>
                <w:tcPr>
                  <w:tcW w:w="2617" w:type="pct"/>
                  <w:tcBorders>
                    <w:tl2br w:val="nil"/>
                    <w:tr2bl w:val="nil"/>
                  </w:tcBorders>
                  <w:noWrap w:val="0"/>
                  <w:vAlign w:val="center"/>
                </w:tcPr>
                <w:p>
                  <w:pPr>
                    <w:pStyle w:val="32"/>
                    <w:bidi w:val="0"/>
                    <w:rPr>
                      <w:color w:val="auto"/>
                      <w:highlight w:val="none"/>
                    </w:rPr>
                  </w:pPr>
                  <w:r>
                    <w:rPr>
                      <w:rFonts w:hint="eastAsia"/>
                      <w:color w:val="auto"/>
                      <w:highlight w:val="none"/>
                    </w:rPr>
                    <w:t>一级公路</w:t>
                  </w:r>
                </w:p>
              </w:tc>
              <w:tc>
                <w:tcPr>
                  <w:tcW w:w="995" w:type="pct"/>
                  <w:tcBorders>
                    <w:tl2br w:val="nil"/>
                    <w:tr2bl w:val="nil"/>
                  </w:tcBorders>
                  <w:noWrap w:val="0"/>
                  <w:vAlign w:val="center"/>
                </w:tcPr>
                <w:p>
                  <w:pPr>
                    <w:pStyle w:val="32"/>
                    <w:bidi w:val="0"/>
                    <w:rPr>
                      <w:rFonts w:hint="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设计荷载</w:t>
                  </w:r>
                </w:p>
              </w:tc>
              <w:tc>
                <w:tcPr>
                  <w:tcW w:w="2617" w:type="pct"/>
                  <w:tcBorders>
                    <w:tl2br w:val="nil"/>
                    <w:tr2bl w:val="nil"/>
                  </w:tcBorders>
                  <w:noWrap w:val="0"/>
                  <w:vAlign w:val="center"/>
                </w:tcPr>
                <w:p>
                  <w:pPr>
                    <w:pStyle w:val="32"/>
                    <w:bidi w:val="0"/>
                    <w:rPr>
                      <w:color w:val="auto"/>
                      <w:highlight w:val="none"/>
                    </w:rPr>
                  </w:pPr>
                  <w:r>
                    <w:rPr>
                      <w:rFonts w:hint="eastAsia"/>
                      <w:color w:val="auto"/>
                      <w:highlight w:val="none"/>
                    </w:rPr>
                    <w:t>公路</w:t>
                  </w:r>
                  <w:r>
                    <w:rPr>
                      <w:color w:val="auto"/>
                      <w:highlight w:val="none"/>
                    </w:rPr>
                    <w:t>-</w:t>
                  </w:r>
                  <w:r>
                    <w:rPr>
                      <w:rFonts w:hint="eastAsia"/>
                      <w:color w:val="auto"/>
                      <w:highlight w:val="none"/>
                    </w:rPr>
                    <w:t>Ⅰ级</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设计安全等级</w:t>
                  </w:r>
                </w:p>
              </w:tc>
              <w:tc>
                <w:tcPr>
                  <w:tcW w:w="2617"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一级</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桥下净空</w:t>
                  </w:r>
                </w:p>
              </w:tc>
              <w:tc>
                <w:tcPr>
                  <w:tcW w:w="2617" w:type="pct"/>
                  <w:tcBorders>
                    <w:tl2br w:val="nil"/>
                    <w:tr2bl w:val="nil"/>
                  </w:tcBorders>
                  <w:noWrap w:val="0"/>
                  <w:vAlign w:val="center"/>
                </w:tcPr>
                <w:p>
                  <w:pPr>
                    <w:pStyle w:val="32"/>
                    <w:bidi w:val="0"/>
                    <w:rPr>
                      <w:color w:val="auto"/>
                      <w:highlight w:val="none"/>
                    </w:rPr>
                  </w:pPr>
                  <w:r>
                    <w:rPr>
                      <w:rFonts w:hint="eastAsia"/>
                      <w:color w:val="auto"/>
                      <w:highlight w:val="none"/>
                    </w:rPr>
                    <w:t>6</w:t>
                  </w:r>
                  <w:r>
                    <w:rPr>
                      <w:color w:val="auto"/>
                      <w:highlight w:val="none"/>
                    </w:rPr>
                    <w:t>.3</w:t>
                  </w:r>
                  <w:r>
                    <w:rPr>
                      <w:rFonts w:hint="eastAsia"/>
                      <w:color w:val="auto"/>
                      <w:highlight w:val="none"/>
                    </w:rPr>
                    <w:t>m</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桥面最大纵坡</w:t>
                  </w:r>
                </w:p>
              </w:tc>
              <w:tc>
                <w:tcPr>
                  <w:tcW w:w="2617" w:type="pct"/>
                  <w:tcBorders>
                    <w:tl2br w:val="nil"/>
                    <w:tr2bl w:val="nil"/>
                  </w:tcBorders>
                  <w:noWrap w:val="0"/>
                  <w:vAlign w:val="center"/>
                </w:tcPr>
                <w:p>
                  <w:pPr>
                    <w:pStyle w:val="32"/>
                    <w:bidi w:val="0"/>
                    <w:rPr>
                      <w:color w:val="auto"/>
                      <w:highlight w:val="none"/>
                    </w:rPr>
                  </w:pPr>
                  <w:r>
                    <w:rPr>
                      <w:color w:val="auto"/>
                      <w:highlight w:val="none"/>
                    </w:rPr>
                    <w:t>2.95</w:t>
                  </w:r>
                  <w:r>
                    <w:rPr>
                      <w:rFonts w:hint="eastAsia"/>
                      <w:color w:val="auto"/>
                      <w:highlight w:val="none"/>
                    </w:rPr>
                    <w:t>%</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桥面标准横坡</w:t>
                  </w:r>
                </w:p>
              </w:tc>
              <w:tc>
                <w:tcPr>
                  <w:tcW w:w="2617" w:type="pct"/>
                  <w:tcBorders>
                    <w:tl2br w:val="nil"/>
                    <w:tr2bl w:val="nil"/>
                  </w:tcBorders>
                  <w:noWrap w:val="0"/>
                  <w:vAlign w:val="center"/>
                </w:tcPr>
                <w:p>
                  <w:pPr>
                    <w:pStyle w:val="32"/>
                    <w:bidi w:val="0"/>
                    <w:rPr>
                      <w:rFonts w:hint="eastAsia" w:eastAsia="宋体"/>
                      <w:color w:val="auto"/>
                      <w:highlight w:val="none"/>
                      <w:lang w:val="en-US" w:eastAsia="zh-CN"/>
                    </w:rPr>
                  </w:pPr>
                  <w:r>
                    <w:rPr>
                      <w:color w:val="auto"/>
                      <w:highlight w:val="none"/>
                    </w:rPr>
                    <w:t>2.0</w:t>
                  </w:r>
                  <w:r>
                    <w:rPr>
                      <w:rFonts w:hint="eastAsia"/>
                      <w:color w:val="auto"/>
                      <w:highlight w:val="none"/>
                      <w:lang w:val="en-US" w:eastAsia="zh-CN"/>
                    </w:rPr>
                    <w:t>%</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桥面宽度</w:t>
                  </w:r>
                </w:p>
              </w:tc>
              <w:tc>
                <w:tcPr>
                  <w:tcW w:w="2617" w:type="pct"/>
                  <w:tcBorders>
                    <w:tl2br w:val="nil"/>
                    <w:tr2bl w:val="nil"/>
                  </w:tcBorders>
                  <w:noWrap w:val="0"/>
                  <w:vAlign w:val="center"/>
                </w:tcPr>
                <w:p>
                  <w:pPr>
                    <w:pStyle w:val="32"/>
                    <w:bidi w:val="0"/>
                    <w:rPr>
                      <w:color w:val="auto"/>
                      <w:highlight w:val="none"/>
                    </w:rPr>
                  </w:pPr>
                  <w:r>
                    <w:rPr>
                      <w:rFonts w:hint="eastAsia"/>
                      <w:color w:val="auto"/>
                      <w:highlight w:val="none"/>
                    </w:rPr>
                    <w:t>单幅1</w:t>
                  </w:r>
                  <w:r>
                    <w:rPr>
                      <w:color w:val="auto"/>
                      <w:highlight w:val="none"/>
                    </w:rPr>
                    <w:t>1.75</w:t>
                  </w:r>
                  <w:r>
                    <w:rPr>
                      <w:rFonts w:hint="eastAsia"/>
                      <w:color w:val="auto"/>
                      <w:highlight w:val="none"/>
                    </w:rPr>
                    <w:t>m</w:t>
                  </w:r>
                  <w:r>
                    <w:rPr>
                      <w:color w:val="auto"/>
                      <w:highlight w:val="none"/>
                    </w:rPr>
                    <w:t>=0.5</w:t>
                  </w:r>
                  <w:r>
                    <w:rPr>
                      <w:rFonts w:hint="eastAsia"/>
                      <w:color w:val="auto"/>
                      <w:highlight w:val="none"/>
                    </w:rPr>
                    <w:t>m（防撞护栏）+</w:t>
                  </w:r>
                  <w:r>
                    <w:rPr>
                      <w:color w:val="auto"/>
                      <w:highlight w:val="none"/>
                    </w:rPr>
                    <w:t>10.75</w:t>
                  </w:r>
                  <w:r>
                    <w:rPr>
                      <w:rFonts w:hint="eastAsia"/>
                      <w:color w:val="auto"/>
                      <w:highlight w:val="none"/>
                    </w:rPr>
                    <w:t>m（车行道）+</w:t>
                  </w:r>
                  <w:r>
                    <w:rPr>
                      <w:color w:val="auto"/>
                      <w:highlight w:val="none"/>
                    </w:rPr>
                    <w:t>0.5</w:t>
                  </w:r>
                  <w:r>
                    <w:rPr>
                      <w:rFonts w:hint="eastAsia"/>
                      <w:color w:val="auto"/>
                      <w:highlight w:val="none"/>
                    </w:rPr>
                    <w:t>m（防撞护栏）</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地震烈度</w:t>
                  </w:r>
                </w:p>
              </w:tc>
              <w:tc>
                <w:tcPr>
                  <w:tcW w:w="2617" w:type="pct"/>
                  <w:tcBorders>
                    <w:tl2br w:val="nil"/>
                    <w:tr2bl w:val="nil"/>
                  </w:tcBorders>
                  <w:noWrap w:val="0"/>
                  <w:vAlign w:val="center"/>
                </w:tcPr>
                <w:p>
                  <w:pPr>
                    <w:pStyle w:val="32"/>
                    <w:bidi w:val="0"/>
                    <w:rPr>
                      <w:color w:val="auto"/>
                      <w:highlight w:val="none"/>
                    </w:rPr>
                  </w:pPr>
                  <w:r>
                    <w:rPr>
                      <w:rFonts w:hint="eastAsia"/>
                      <w:color w:val="auto"/>
                      <w:highlight w:val="none"/>
                    </w:rPr>
                    <w:t>7度，地震动峰值加速度0.15g</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防撞护栏防撞等级</w:t>
                  </w:r>
                </w:p>
              </w:tc>
              <w:tc>
                <w:tcPr>
                  <w:tcW w:w="2617" w:type="pct"/>
                  <w:tcBorders>
                    <w:tl2br w:val="nil"/>
                    <w:tr2bl w:val="nil"/>
                  </w:tcBorders>
                  <w:noWrap w:val="0"/>
                  <w:vAlign w:val="center"/>
                </w:tcPr>
                <w:p>
                  <w:pPr>
                    <w:pStyle w:val="32"/>
                    <w:bidi w:val="0"/>
                    <w:rPr>
                      <w:color w:val="auto"/>
                      <w:highlight w:val="none"/>
                    </w:rPr>
                  </w:pPr>
                  <w:r>
                    <w:rPr>
                      <w:rFonts w:hint="eastAsia"/>
                      <w:color w:val="auto"/>
                      <w:highlight w:val="none"/>
                    </w:rPr>
                    <w:t>SA级</w:t>
                  </w:r>
                </w:p>
              </w:tc>
              <w:tc>
                <w:tcPr>
                  <w:tcW w:w="995" w:type="pc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37" w:type="pct"/>
                  <w:tcBorders>
                    <w:tl2br w:val="nil"/>
                    <w:tr2bl w:val="nil"/>
                  </w:tcBorders>
                  <w:noWrap w:val="0"/>
                  <w:vAlign w:val="center"/>
                </w:tcPr>
                <w:p>
                  <w:pPr>
                    <w:pStyle w:val="32"/>
                    <w:numPr>
                      <w:ilvl w:val="0"/>
                      <w:numId w:val="7"/>
                    </w:numPr>
                    <w:bidi w:val="0"/>
                    <w:ind w:left="425" w:leftChars="0" w:hanging="425" w:firstLineChars="0"/>
                    <w:rPr>
                      <w:rFonts w:ascii="Times New Roman" w:hAnsi="Times New Roman" w:eastAsia="宋体" w:cs="Times New Roman"/>
                      <w:color w:val="auto"/>
                      <w:highlight w:val="none"/>
                    </w:rPr>
                  </w:pPr>
                </w:p>
              </w:tc>
              <w:tc>
                <w:tcPr>
                  <w:tcW w:w="1049" w:type="pct"/>
                  <w:tcBorders>
                    <w:tl2br w:val="nil"/>
                    <w:tr2bl w:val="nil"/>
                  </w:tcBorders>
                  <w:noWrap w:val="0"/>
                  <w:vAlign w:val="center"/>
                </w:tcPr>
                <w:p>
                  <w:pPr>
                    <w:pStyle w:val="32"/>
                    <w:bidi w:val="0"/>
                    <w:rPr>
                      <w:color w:val="auto"/>
                      <w:highlight w:val="none"/>
                    </w:rPr>
                  </w:pPr>
                  <w:r>
                    <w:rPr>
                      <w:rFonts w:hint="eastAsia"/>
                      <w:color w:val="auto"/>
                      <w:highlight w:val="none"/>
                    </w:rPr>
                    <w:t>桥梁设计使用年限</w:t>
                  </w:r>
                </w:p>
              </w:tc>
              <w:tc>
                <w:tcPr>
                  <w:tcW w:w="2617"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桥梁主体结构</w:t>
                  </w:r>
                  <w:r>
                    <w:rPr>
                      <w:rFonts w:hint="eastAsia"/>
                      <w:color w:val="auto"/>
                      <w:highlight w:val="none"/>
                      <w:lang w:eastAsia="zh-CN"/>
                    </w:rPr>
                    <w:t>：</w:t>
                  </w:r>
                  <w:r>
                    <w:rPr>
                      <w:rFonts w:hint="eastAsia"/>
                      <w:color w:val="auto"/>
                      <w:highlight w:val="none"/>
                    </w:rPr>
                    <w:t>100年</w:t>
                  </w:r>
                </w:p>
                <w:p>
                  <w:pPr>
                    <w:pStyle w:val="32"/>
                    <w:bidi w:val="0"/>
                    <w:rPr>
                      <w:color w:val="auto"/>
                      <w:highlight w:val="none"/>
                    </w:rPr>
                  </w:pPr>
                  <w:r>
                    <w:rPr>
                      <w:rFonts w:hint="eastAsia"/>
                      <w:color w:val="auto"/>
                      <w:highlight w:val="none"/>
                    </w:rPr>
                    <w:t>护栏、支座、伸缩缝等可更换部件</w:t>
                  </w:r>
                  <w:r>
                    <w:rPr>
                      <w:rFonts w:hint="eastAsia"/>
                      <w:color w:val="auto"/>
                      <w:highlight w:val="none"/>
                      <w:lang w:eastAsia="zh-CN"/>
                    </w:rPr>
                    <w:t>：</w:t>
                  </w:r>
                  <w:r>
                    <w:rPr>
                      <w:rFonts w:hint="eastAsia"/>
                      <w:color w:val="auto"/>
                      <w:highlight w:val="none"/>
                    </w:rPr>
                    <w:t>15年</w:t>
                  </w:r>
                </w:p>
              </w:tc>
              <w:tc>
                <w:tcPr>
                  <w:tcW w:w="995" w:type="pct"/>
                  <w:tcBorders>
                    <w:tl2br w:val="nil"/>
                    <w:tr2bl w:val="nil"/>
                  </w:tcBorders>
                  <w:noWrap w:val="0"/>
                  <w:vAlign w:val="center"/>
                </w:tcPr>
                <w:p>
                  <w:pPr>
                    <w:pStyle w:val="32"/>
                    <w:bidi w:val="0"/>
                    <w:rPr>
                      <w:color w:val="auto"/>
                      <w:highlight w:val="none"/>
                    </w:rPr>
                  </w:pPr>
                  <w:r>
                    <w:rPr>
                      <w:rFonts w:hint="eastAsia"/>
                      <w:color w:val="auto"/>
                      <w:highlight w:val="none"/>
                    </w:rPr>
                    <w:t>一级公路上大桥</w:t>
                  </w:r>
                </w:p>
              </w:tc>
            </w:tr>
          </w:tbl>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ascii="Times New Roman" w:hAnsi="Times New Roman" w:eastAsia="宋体" w:cs="Times New Roman"/>
                <w:b/>
                <w:bCs/>
                <w:color w:val="auto"/>
                <w:highlight w:val="none"/>
              </w:rPr>
            </w:pPr>
            <w:r>
              <w:rPr>
                <w:rFonts w:ascii="Times New Roman" w:hAnsi="Times New Roman" w:eastAsia="宋体" w:cs="Times New Roman"/>
                <w:b/>
                <w:bCs/>
                <w:color w:val="auto"/>
                <w:highlight w:val="none"/>
              </w:rPr>
              <w:t>施工情况</w:t>
            </w:r>
          </w:p>
          <w:p>
            <w:pPr>
              <w:pStyle w:val="33"/>
              <w:bidi w:val="0"/>
              <w:rPr>
                <w:rFonts w:hint="eastAsia"/>
                <w:color w:val="auto"/>
                <w:highlight w:val="none"/>
                <w:lang w:eastAsia="zh-CN"/>
              </w:rPr>
            </w:pPr>
            <w:r>
              <w:rPr>
                <w:rFonts w:hint="eastAsia"/>
                <w:color w:val="auto"/>
                <w:highlight w:val="none"/>
              </w:rPr>
              <w:t>本项目涉及的主要施工机械</w:t>
            </w:r>
            <w:r>
              <w:rPr>
                <w:rFonts w:hint="eastAsia"/>
                <w:color w:val="auto"/>
                <w:highlight w:val="none"/>
                <w:lang w:eastAsia="zh-CN"/>
              </w:rPr>
              <w:t>详见下表。</w:t>
            </w:r>
          </w:p>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主要施工设备一览表</w:t>
            </w:r>
          </w:p>
          <w:tbl>
            <w:tblPr>
              <w:tblStyle w:val="22"/>
              <w:tblW w:w="4998" w:type="pct"/>
              <w:tblInd w:w="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
            <w:tblGrid>
              <w:gridCol w:w="683"/>
              <w:gridCol w:w="3960"/>
              <w:gridCol w:w="1876"/>
              <w:gridCol w:w="18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bidi w:val="0"/>
                    <w:rPr>
                      <w:color w:val="auto"/>
                      <w:highlight w:val="none"/>
                    </w:rPr>
                  </w:pPr>
                  <w:r>
                    <w:rPr>
                      <w:color w:val="auto"/>
                      <w:highlight w:val="none"/>
                    </w:rPr>
                    <w:t>序号</w:t>
                  </w:r>
                </w:p>
              </w:tc>
              <w:tc>
                <w:tcPr>
                  <w:tcW w:w="2354" w:type="pct"/>
                  <w:tcBorders>
                    <w:tl2br w:val="nil"/>
                    <w:tr2bl w:val="nil"/>
                  </w:tcBorders>
                  <w:noWrap w:val="0"/>
                  <w:vAlign w:val="center"/>
                </w:tcPr>
                <w:p>
                  <w:pPr>
                    <w:pStyle w:val="32"/>
                    <w:bidi w:val="0"/>
                    <w:rPr>
                      <w:color w:val="auto"/>
                      <w:highlight w:val="none"/>
                    </w:rPr>
                  </w:pPr>
                  <w:r>
                    <w:rPr>
                      <w:color w:val="auto"/>
                      <w:highlight w:val="none"/>
                    </w:rPr>
                    <w:t>机械名称</w:t>
                  </w:r>
                </w:p>
              </w:tc>
              <w:tc>
                <w:tcPr>
                  <w:tcW w:w="1115" w:type="pct"/>
                  <w:tcBorders>
                    <w:tl2br w:val="nil"/>
                    <w:tr2bl w:val="nil"/>
                  </w:tcBorders>
                  <w:noWrap w:val="0"/>
                  <w:vAlign w:val="center"/>
                </w:tcPr>
                <w:p>
                  <w:pPr>
                    <w:pStyle w:val="32"/>
                    <w:bidi w:val="0"/>
                    <w:rPr>
                      <w:color w:val="auto"/>
                      <w:highlight w:val="none"/>
                    </w:rPr>
                  </w:pPr>
                  <w:r>
                    <w:rPr>
                      <w:color w:val="auto"/>
                      <w:highlight w:val="none"/>
                    </w:rPr>
                    <w:t>设备数量（台/个）</w:t>
                  </w:r>
                </w:p>
              </w:tc>
              <w:tc>
                <w:tcPr>
                  <w:tcW w:w="112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履带式推土机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3</w:t>
                  </w:r>
                </w:p>
              </w:tc>
              <w:tc>
                <w:tcPr>
                  <w:tcW w:w="1123" w:type="pct"/>
                  <w:vMerge w:val="restart"/>
                  <w:tcBorders>
                    <w:tl2br w:val="nil"/>
                    <w:tr2bl w:val="nil"/>
                  </w:tcBorders>
                  <w:noWrap w:val="0"/>
                  <w:vAlign w:val="center"/>
                </w:tcPr>
                <w:p>
                  <w:pPr>
                    <w:pStyle w:val="32"/>
                    <w:bidi w:val="0"/>
                    <w:rPr>
                      <w:rFonts w:hint="eastAsia"/>
                      <w:color w:val="auto"/>
                      <w:highlight w:val="none"/>
                    </w:rPr>
                  </w:pPr>
                  <w:r>
                    <w:rPr>
                      <w:rFonts w:hint="eastAsia"/>
                      <w:color w:val="auto"/>
                      <w:highlight w:val="none"/>
                    </w:rPr>
                    <w:t>非道路移动机械均国三及以上排放标准机械且需进行环保登记备案管理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履带式单斗挖掘机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5</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轮胎式装载机</w:t>
                  </w:r>
                </w:p>
              </w:tc>
              <w:tc>
                <w:tcPr>
                  <w:tcW w:w="1115" w:type="pct"/>
                  <w:tcBorders>
                    <w:tl2br w:val="nil"/>
                    <w:tr2bl w:val="nil"/>
                  </w:tcBorders>
                  <w:noWrap w:val="0"/>
                  <w:vAlign w:val="center"/>
                </w:tcPr>
                <w:p>
                  <w:pPr>
                    <w:pStyle w:val="32"/>
                    <w:bidi w:val="0"/>
                    <w:rPr>
                      <w:color w:val="auto"/>
                      <w:highlight w:val="none"/>
                    </w:rPr>
                  </w:pPr>
                  <w:r>
                    <w:rPr>
                      <w:color w:val="auto"/>
                      <w:highlight w:val="none"/>
                    </w:rPr>
                    <w:t>8</w:t>
                  </w:r>
                </w:p>
              </w:tc>
              <w:tc>
                <w:tcPr>
                  <w:tcW w:w="1123" w:type="pct"/>
                  <w:vMerge w:val="continue"/>
                  <w:tcBorders>
                    <w:tl2br w:val="nil"/>
                    <w:tr2bl w:val="nil"/>
                  </w:tcBorders>
                  <w:noWrap w:val="0"/>
                  <w:vAlign w:val="center"/>
                </w:tcPr>
                <w:p>
                  <w:pPr>
                    <w:pStyle w:val="32"/>
                    <w:bidi w:val="0"/>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平地机</w:t>
                  </w:r>
                </w:p>
              </w:tc>
              <w:tc>
                <w:tcPr>
                  <w:tcW w:w="1115" w:type="pct"/>
                  <w:tcBorders>
                    <w:tl2br w:val="nil"/>
                    <w:tr2bl w:val="nil"/>
                  </w:tcBorders>
                  <w:noWrap w:val="0"/>
                  <w:vAlign w:val="center"/>
                </w:tcPr>
                <w:p>
                  <w:pPr>
                    <w:pStyle w:val="32"/>
                    <w:bidi w:val="0"/>
                    <w:rPr>
                      <w:color w:val="auto"/>
                      <w:highlight w:val="none"/>
                    </w:rPr>
                  </w:pPr>
                  <w:r>
                    <w:rPr>
                      <w:color w:val="auto"/>
                      <w:highlight w:val="none"/>
                    </w:rPr>
                    <w:t>7</w:t>
                  </w:r>
                </w:p>
              </w:tc>
              <w:tc>
                <w:tcPr>
                  <w:tcW w:w="1123" w:type="pct"/>
                  <w:vMerge w:val="continue"/>
                  <w:tcBorders>
                    <w:tl2br w:val="nil"/>
                    <w:tr2bl w:val="nil"/>
                  </w:tcBorders>
                  <w:noWrap w:val="0"/>
                  <w:vAlign w:val="center"/>
                </w:tcPr>
                <w:p>
                  <w:pPr>
                    <w:pStyle w:val="32"/>
                    <w:bidi w:val="0"/>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压路机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5</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蛙式夯土机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2</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color w:val="auto"/>
                      <w:highlight w:val="none"/>
                    </w:rPr>
                  </w:pPr>
                  <w:r>
                    <w:rPr>
                      <w:color w:val="auto"/>
                      <w:highlight w:val="none"/>
                    </w:rPr>
                    <w:t>稳定土摊铺机</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3</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color w:val="auto"/>
                      <w:highlight w:val="none"/>
                    </w:rPr>
                  </w:pPr>
                  <w:r>
                    <w:rPr>
                      <w:color w:val="auto"/>
                      <w:highlight w:val="none"/>
                    </w:rPr>
                    <w:t>沥青混合料摊铺机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2</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hint="eastAsia"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rFonts w:hint="eastAsia"/>
                      <w:color w:val="auto"/>
                      <w:highlight w:val="none"/>
                    </w:rPr>
                    <w:t>液压反铲挖掘机</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3</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吊车</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2</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稀浆封层机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热熔标线设备</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2</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凸起振动标线机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水泥混凝土摊铺机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5</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混凝土路缘石机动铺筑机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2</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路面铣刨机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3</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color w:val="auto"/>
                      <w:highlight w:val="none"/>
                    </w:rPr>
                    <w:t>机动破路机</w:t>
                  </w:r>
                </w:p>
              </w:tc>
              <w:tc>
                <w:tcPr>
                  <w:tcW w:w="1115" w:type="pct"/>
                  <w:tcBorders>
                    <w:tl2br w:val="nil"/>
                    <w:tr2bl w:val="nil"/>
                  </w:tcBorders>
                  <w:noWrap w:val="0"/>
                  <w:vAlign w:val="center"/>
                </w:tcPr>
                <w:p>
                  <w:pPr>
                    <w:pStyle w:val="32"/>
                    <w:bidi w:val="0"/>
                    <w:rPr>
                      <w:color w:val="auto"/>
                      <w:highlight w:val="none"/>
                    </w:rPr>
                  </w:pPr>
                  <w:r>
                    <w:rPr>
                      <w:rFonts w:hint="eastAsia"/>
                      <w:color w:val="auto"/>
                      <w:highlight w:val="none"/>
                    </w:rPr>
                    <w:t>2</w:t>
                  </w:r>
                </w:p>
              </w:tc>
              <w:tc>
                <w:tcPr>
                  <w:tcW w:w="1123" w:type="pct"/>
                  <w:vMerge w:val="continue"/>
                  <w:tcBorders>
                    <w:tl2br w:val="nil"/>
                    <w:tr2bl w:val="nil"/>
                  </w:tcBorders>
                  <w:noWrap w:val="0"/>
                  <w:vAlign w:val="center"/>
                </w:tcPr>
                <w:p>
                  <w:pPr>
                    <w:pStyle w:val="32"/>
                    <w:bidi w:val="0"/>
                    <w:rPr>
                      <w:rFonts w:hint="eastAsia"/>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运输车</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2</w:t>
                  </w:r>
                </w:p>
              </w:tc>
              <w:tc>
                <w:tcPr>
                  <w:tcW w:w="112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国五及以上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color w:val="auto"/>
                      <w:highlight w:val="none"/>
                    </w:rPr>
                  </w:pPr>
                  <w:r>
                    <w:rPr>
                      <w:rFonts w:hint="eastAsia"/>
                      <w:color w:val="auto"/>
                      <w:highlight w:val="none"/>
                    </w:rPr>
                    <w:t>移动雾炮</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4</w:t>
                  </w:r>
                </w:p>
              </w:tc>
              <w:tc>
                <w:tcPr>
                  <w:tcW w:w="1123" w:type="pct"/>
                  <w:tcBorders>
                    <w:tl2br w:val="nil"/>
                    <w:tr2bl w:val="nil"/>
                  </w:tcBorders>
                  <w:noWrap w:val="0"/>
                  <w:vAlign w:val="center"/>
                </w:tcPr>
                <w:p>
                  <w:pPr>
                    <w:pStyle w:val="32"/>
                    <w:bidi w:val="0"/>
                    <w:rPr>
                      <w:color w:val="auto"/>
                      <w:highlight w:val="none"/>
                    </w:rPr>
                  </w:pPr>
                  <w:r>
                    <w:rPr>
                      <w:rFonts w:hint="eastAsia"/>
                      <w:color w:val="auto"/>
                      <w:highlight w:val="none"/>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电焊机</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4</w:t>
                  </w:r>
                </w:p>
              </w:tc>
              <w:tc>
                <w:tcPr>
                  <w:tcW w:w="112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移动焊接烟尘净化器</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4</w:t>
                  </w:r>
                </w:p>
              </w:tc>
              <w:tc>
                <w:tcPr>
                  <w:tcW w:w="112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水泵</w:t>
                  </w:r>
                </w:p>
              </w:tc>
              <w:tc>
                <w:tcPr>
                  <w:tcW w:w="111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3</w:t>
                  </w:r>
                </w:p>
              </w:tc>
              <w:tc>
                <w:tcPr>
                  <w:tcW w:w="112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340" w:hRule="atLeast"/>
              </w:trPr>
              <w:tc>
                <w:tcPr>
                  <w:tcW w:w="406" w:type="pct"/>
                  <w:tcBorders>
                    <w:tl2br w:val="nil"/>
                    <w:tr2bl w:val="nil"/>
                  </w:tcBorders>
                  <w:noWrap w:val="0"/>
                  <w:vAlign w:val="center"/>
                </w:tcPr>
                <w:p>
                  <w:pPr>
                    <w:pStyle w:val="32"/>
                    <w:numPr>
                      <w:ilvl w:val="0"/>
                      <w:numId w:val="8"/>
                    </w:numPr>
                    <w:bidi w:val="0"/>
                    <w:ind w:left="425" w:leftChars="0" w:hanging="425" w:firstLineChars="0"/>
                    <w:rPr>
                      <w:rFonts w:ascii="Times New Roman" w:hAnsi="Times New Roman" w:eastAsia="宋体" w:cs="Times New Roman"/>
                      <w:color w:val="auto"/>
                      <w:highlight w:val="none"/>
                    </w:rPr>
                  </w:pPr>
                </w:p>
              </w:tc>
              <w:tc>
                <w:tcPr>
                  <w:tcW w:w="2354" w:type="pct"/>
                  <w:tcBorders>
                    <w:tl2br w:val="nil"/>
                    <w:tr2bl w:val="nil"/>
                  </w:tcBorders>
                  <w:noWrap w:val="0"/>
                  <w:vAlign w:val="center"/>
                </w:tcPr>
                <w:p>
                  <w:pPr>
                    <w:pStyle w:val="32"/>
                    <w:bidi w:val="0"/>
                    <w:rPr>
                      <w:rFonts w:hint="eastAsia" w:eastAsia="宋体"/>
                      <w:color w:val="FF0000"/>
                      <w:highlight w:val="none"/>
                      <w:lang w:eastAsia="zh-CN"/>
                    </w:rPr>
                  </w:pPr>
                  <w:r>
                    <w:rPr>
                      <w:rFonts w:hint="eastAsia"/>
                      <w:color w:val="FF0000"/>
                      <w:highlight w:val="none"/>
                      <w:lang w:eastAsia="zh-CN"/>
                    </w:rPr>
                    <w:t>洒水车</w:t>
                  </w:r>
                </w:p>
              </w:tc>
              <w:tc>
                <w:tcPr>
                  <w:tcW w:w="1115" w:type="pct"/>
                  <w:tcBorders>
                    <w:tl2br w:val="nil"/>
                    <w:tr2bl w:val="nil"/>
                  </w:tcBorders>
                  <w:noWrap w:val="0"/>
                  <w:vAlign w:val="center"/>
                </w:tcPr>
                <w:p>
                  <w:pPr>
                    <w:pStyle w:val="32"/>
                    <w:bidi w:val="0"/>
                    <w:rPr>
                      <w:rFonts w:hint="eastAsia" w:eastAsia="宋体"/>
                      <w:color w:val="FF0000"/>
                      <w:highlight w:val="none"/>
                      <w:lang w:val="en-US" w:eastAsia="zh-CN"/>
                    </w:rPr>
                  </w:pPr>
                  <w:r>
                    <w:rPr>
                      <w:rFonts w:hint="eastAsia"/>
                      <w:color w:val="FF0000"/>
                      <w:highlight w:val="none"/>
                      <w:lang w:val="en-US" w:eastAsia="zh-CN"/>
                    </w:rPr>
                    <w:t>1</w:t>
                  </w:r>
                </w:p>
              </w:tc>
              <w:tc>
                <w:tcPr>
                  <w:tcW w:w="1123" w:type="pct"/>
                  <w:tcBorders>
                    <w:tl2br w:val="nil"/>
                    <w:tr2bl w:val="nil"/>
                  </w:tcBorders>
                  <w:noWrap w:val="0"/>
                  <w:vAlign w:val="center"/>
                </w:tcPr>
                <w:p>
                  <w:pPr>
                    <w:pStyle w:val="32"/>
                    <w:bidi w:val="0"/>
                    <w:rPr>
                      <w:rFonts w:hint="eastAsia" w:eastAsia="宋体"/>
                      <w:color w:val="FF0000"/>
                      <w:highlight w:val="none"/>
                      <w:lang w:val="en-US" w:eastAsia="zh-CN"/>
                    </w:rPr>
                  </w:pPr>
                  <w:r>
                    <w:rPr>
                      <w:rFonts w:hint="eastAsia"/>
                      <w:color w:val="FF0000"/>
                      <w:highlight w:val="none"/>
                      <w:lang w:val="en-US" w:eastAsia="zh-CN"/>
                    </w:rPr>
                    <w:t>/</w:t>
                  </w:r>
                </w:p>
              </w:tc>
            </w:tr>
          </w:tbl>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交通预测量</w:t>
            </w:r>
          </w:p>
          <w:p>
            <w:pPr>
              <w:pStyle w:val="33"/>
              <w:bidi w:val="0"/>
              <w:rPr>
                <w:rFonts w:hint="eastAsia"/>
                <w:color w:val="auto"/>
                <w:highlight w:val="none"/>
              </w:rPr>
            </w:pPr>
            <w:r>
              <w:rPr>
                <w:rFonts w:hint="eastAsia"/>
                <w:color w:val="auto"/>
                <w:highlight w:val="none"/>
              </w:rPr>
              <w:t>本项目</w:t>
            </w:r>
            <w:r>
              <w:rPr>
                <w:rFonts w:hint="eastAsia"/>
                <w:color w:val="auto"/>
                <w:highlight w:val="none"/>
                <w:lang w:eastAsia="zh-CN"/>
              </w:rPr>
              <w:t>可行性研究报告及</w:t>
            </w:r>
            <w:r>
              <w:rPr>
                <w:rFonts w:hint="eastAsia"/>
                <w:color w:val="auto"/>
                <w:highlight w:val="none"/>
              </w:rPr>
              <w:t>工程初步设计说明书</w:t>
            </w:r>
            <w:r>
              <w:rPr>
                <w:rFonts w:hint="eastAsia"/>
                <w:color w:val="auto"/>
                <w:highlight w:val="none"/>
                <w:lang w:eastAsia="zh-CN"/>
              </w:rPr>
              <w:t>中</w:t>
            </w:r>
            <w:r>
              <w:rPr>
                <w:rFonts w:hint="eastAsia"/>
                <w:color w:val="auto"/>
                <w:highlight w:val="none"/>
              </w:rPr>
              <w:t>根据本项目交通量的构成，交通量采用“四阶段法”预测，采用随机用户平衡法分配交通量。交通分布预测时将考虑诱增因素的影响，由于本项目若干方案的小区节点相同，交通量路网分配时将不考虑不同路线方案对分配结果的影响。</w:t>
            </w:r>
          </w:p>
          <w:p>
            <w:pPr>
              <w:pStyle w:val="33"/>
              <w:bidi w:val="0"/>
              <w:rPr>
                <w:rFonts w:hint="eastAsia"/>
                <w:color w:val="auto"/>
                <w:highlight w:val="none"/>
                <w:lang w:val="en-US" w:eastAsia="zh-CN"/>
              </w:rPr>
            </w:pPr>
            <w:r>
              <w:rPr>
                <w:rFonts w:hint="eastAsia"/>
                <w:color w:val="auto"/>
                <w:highlight w:val="none"/>
                <w:lang w:val="en-US" w:eastAsia="zh-CN"/>
              </w:rPr>
              <w:t>通过对拟建项目所在路网的详细研究，根据交通量调查资料，经分析、整理，在此基础上根据确定的未来发展趋势，全段特征年交通量预测结果见下表。</w:t>
            </w:r>
          </w:p>
          <w:p>
            <w:pPr>
              <w:pStyle w:val="36"/>
              <w:numPr>
                <w:ilvl w:val="0"/>
                <w:numId w:val="2"/>
              </w:numPr>
              <w:tabs>
                <w:tab w:val="left" w:pos="0"/>
                <w:tab w:val="clear" w:pos="420"/>
              </w:tabs>
              <w:bidi w:val="0"/>
              <w:ind w:left="0" w:leftChars="0" w:firstLine="0" w:firstLineChars="0"/>
              <w:jc w:val="right"/>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特征年交通量预测结果             单位：pcu/d</w:t>
            </w:r>
          </w:p>
          <w:tbl>
            <w:tblPr>
              <w:tblStyle w:val="23"/>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1"/>
              <w:gridCol w:w="2804"/>
              <w:gridCol w:w="28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年份</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G509主线</w:t>
                  </w:r>
                </w:p>
              </w:tc>
              <w:tc>
                <w:tcPr>
                  <w:tcW w:w="1667"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辅道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2025</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13665</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2716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2030</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16781</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3140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2035</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20325</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3633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2040</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22775</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4201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2044</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24685</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4854</w:t>
                  </w:r>
                </w:p>
              </w:tc>
            </w:tr>
          </w:tbl>
          <w:p>
            <w:pPr>
              <w:pStyle w:val="36"/>
              <w:numPr>
                <w:ilvl w:val="0"/>
                <w:numId w:val="2"/>
              </w:numPr>
              <w:tabs>
                <w:tab w:val="left" w:pos="0"/>
                <w:tab w:val="clear" w:pos="420"/>
              </w:tabs>
              <w:bidi w:val="0"/>
              <w:ind w:left="0" w:leftChars="0" w:firstLine="0" w:firstLineChars="0"/>
              <w:jc w:val="center"/>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本项目车型比例预测结果表</w:t>
            </w:r>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347"/>
              <w:gridCol w:w="882"/>
              <w:gridCol w:w="882"/>
              <w:gridCol w:w="882"/>
              <w:gridCol w:w="882"/>
              <w:gridCol w:w="882"/>
              <w:gridCol w:w="882"/>
              <w:gridCol w:w="882"/>
              <w:gridCol w:w="8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347" w:type="dxa"/>
                  <w:noWrap w:val="0"/>
                  <w:vAlign w:val="center"/>
                </w:tcPr>
                <w:p>
                  <w:pPr>
                    <w:pStyle w:val="32"/>
                    <w:bidi w:val="0"/>
                    <w:jc w:val="center"/>
                    <w:rPr>
                      <w:rFonts w:hint="eastAsia" w:eastAsia="宋体"/>
                      <w:color w:val="auto"/>
                      <w:highlight w:val="none"/>
                      <w:lang w:eastAsia="zh-CN"/>
                    </w:rPr>
                  </w:pPr>
                  <w:r>
                    <w:rPr>
                      <w:rFonts w:hint="eastAsia" w:eastAsia="宋体"/>
                      <w:color w:val="auto"/>
                      <w:highlight w:val="none"/>
                      <w:lang w:eastAsia="zh-CN"/>
                    </w:rPr>
                    <w:t>车型种类</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小客</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大客</w:t>
                  </w:r>
                </w:p>
              </w:tc>
              <w:tc>
                <w:tcPr>
                  <w:tcW w:w="882" w:type="dxa"/>
                  <w:noWrap w:val="0"/>
                  <w:vAlign w:val="center"/>
                </w:tcPr>
                <w:p>
                  <w:pPr>
                    <w:pStyle w:val="32"/>
                    <w:bidi w:val="0"/>
                    <w:jc w:val="center"/>
                    <w:rPr>
                      <w:rFonts w:hint="eastAsia" w:eastAsia="宋体"/>
                      <w:color w:val="auto"/>
                      <w:highlight w:val="none"/>
                      <w:lang w:eastAsia="zh-CN"/>
                    </w:rPr>
                  </w:pPr>
                  <w:r>
                    <w:rPr>
                      <w:rFonts w:hint="eastAsia" w:eastAsia="宋体"/>
                      <w:color w:val="auto"/>
                      <w:highlight w:val="none"/>
                      <w:lang w:eastAsia="zh-CN"/>
                    </w:rPr>
                    <w:t>小货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中货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大货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特大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拖挂</w:t>
                  </w:r>
                </w:p>
              </w:tc>
              <w:tc>
                <w:tcPr>
                  <w:tcW w:w="885"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集装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347"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车型比例（%）</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13.4</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8.4</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7.7</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4.8</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14.6</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18.4</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29.1</w:t>
                  </w:r>
                </w:p>
              </w:tc>
              <w:tc>
                <w:tcPr>
                  <w:tcW w:w="885"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3.6</w:t>
                  </w:r>
                </w:p>
              </w:tc>
            </w:tr>
          </w:tbl>
          <w:p>
            <w:pPr>
              <w:pStyle w:val="33"/>
              <w:bidi w:val="0"/>
              <w:rPr>
                <w:rFonts w:hint="eastAsia"/>
                <w:color w:val="auto"/>
                <w:highlight w:val="none"/>
              </w:rPr>
            </w:pPr>
            <w:r>
              <w:rPr>
                <w:rFonts w:hint="eastAsia"/>
                <w:color w:val="auto"/>
                <w:highlight w:val="none"/>
                <w:lang w:eastAsia="zh-CN"/>
              </w:rPr>
              <w:t>根据《环境影响评价技术导则</w:t>
            </w:r>
            <w:r>
              <w:rPr>
                <w:rFonts w:hint="eastAsia"/>
                <w:color w:val="auto"/>
                <w:highlight w:val="none"/>
                <w:lang w:val="en-US" w:eastAsia="zh-CN"/>
              </w:rPr>
              <w:t xml:space="preserve"> 声环境</w:t>
            </w:r>
            <w:r>
              <w:rPr>
                <w:rFonts w:hint="eastAsia"/>
                <w:color w:val="auto"/>
                <w:highlight w:val="none"/>
                <w:lang w:eastAsia="zh-CN"/>
              </w:rPr>
              <w:t>》（</w:t>
            </w:r>
            <w:r>
              <w:rPr>
                <w:rFonts w:hint="eastAsia"/>
                <w:color w:val="auto"/>
                <w:highlight w:val="none"/>
                <w:lang w:val="en-US" w:eastAsia="zh-CN"/>
              </w:rPr>
              <w:t>HJ2.4-2021</w:t>
            </w:r>
            <w:r>
              <w:rPr>
                <w:rFonts w:hint="eastAsia"/>
                <w:color w:val="auto"/>
                <w:highlight w:val="none"/>
                <w:lang w:eastAsia="zh-CN"/>
              </w:rPr>
              <w:t>）附录</w:t>
            </w:r>
            <w:r>
              <w:rPr>
                <w:rFonts w:hint="eastAsia"/>
                <w:color w:val="auto"/>
                <w:highlight w:val="none"/>
                <w:lang w:val="en-US" w:eastAsia="zh-CN"/>
              </w:rPr>
              <w:t>B中表B.1车型分类表，</w:t>
            </w:r>
            <w:r>
              <w:rPr>
                <w:rFonts w:hint="eastAsia"/>
                <w:color w:val="auto"/>
                <w:highlight w:val="none"/>
              </w:rPr>
              <w:t>小型车：座位≤19座位的客车和载质量≤2t的货车；中型车：座位＞19座位的客车和2t＜载质量≤7t的货车，大型车：7t＜载质量≤20t的货车。</w:t>
            </w:r>
          </w:p>
          <w:p>
            <w:pPr>
              <w:pStyle w:val="33"/>
              <w:bidi w:val="0"/>
              <w:rPr>
                <w:rFonts w:hint="eastAsia"/>
                <w:color w:val="auto"/>
                <w:highlight w:val="none"/>
                <w:lang w:eastAsia="zh-CN"/>
              </w:rPr>
            </w:pPr>
            <w:r>
              <w:rPr>
                <w:rFonts w:hint="eastAsia"/>
                <w:color w:val="auto"/>
                <w:highlight w:val="none"/>
              </w:rPr>
              <w:t>本项目</w:t>
            </w:r>
            <w:r>
              <w:rPr>
                <w:rFonts w:hint="eastAsia"/>
                <w:color w:val="auto"/>
                <w:highlight w:val="none"/>
                <w:lang w:eastAsia="zh-CN"/>
              </w:rPr>
              <w:t>将小客、小货</w:t>
            </w:r>
            <w:r>
              <w:rPr>
                <w:rFonts w:hint="eastAsia"/>
                <w:color w:val="auto"/>
                <w:highlight w:val="none"/>
              </w:rPr>
              <w:t>按小型车计算，将</w:t>
            </w:r>
            <w:r>
              <w:rPr>
                <w:rFonts w:hint="eastAsia"/>
                <w:color w:val="auto"/>
                <w:highlight w:val="none"/>
                <w:lang w:eastAsia="zh-CN"/>
              </w:rPr>
              <w:t>大客、中货</w:t>
            </w:r>
            <w:r>
              <w:rPr>
                <w:rFonts w:hint="eastAsia"/>
                <w:color w:val="auto"/>
                <w:highlight w:val="none"/>
              </w:rPr>
              <w:t>按中型车计算，大货</w:t>
            </w:r>
            <w:r>
              <w:rPr>
                <w:rFonts w:hint="eastAsia"/>
                <w:color w:val="auto"/>
                <w:highlight w:val="none"/>
                <w:lang w:eastAsia="zh-CN"/>
              </w:rPr>
              <w:t>、</w:t>
            </w:r>
            <w:r>
              <w:rPr>
                <w:rFonts w:hint="eastAsia"/>
                <w:color w:val="auto"/>
                <w:highlight w:val="none"/>
              </w:rPr>
              <w:t>特大</w:t>
            </w:r>
            <w:r>
              <w:rPr>
                <w:rFonts w:hint="eastAsia"/>
                <w:color w:val="auto"/>
                <w:highlight w:val="none"/>
                <w:lang w:eastAsia="zh-CN"/>
              </w:rPr>
              <w:t>、</w:t>
            </w:r>
            <w:r>
              <w:rPr>
                <w:rFonts w:hint="eastAsia"/>
                <w:color w:val="auto"/>
                <w:highlight w:val="none"/>
              </w:rPr>
              <w:t>拖挂</w:t>
            </w:r>
            <w:r>
              <w:rPr>
                <w:rFonts w:hint="eastAsia"/>
                <w:color w:val="auto"/>
                <w:highlight w:val="none"/>
                <w:lang w:eastAsia="zh-CN"/>
              </w:rPr>
              <w:t>、</w:t>
            </w:r>
            <w:r>
              <w:rPr>
                <w:rFonts w:hint="eastAsia"/>
                <w:color w:val="auto"/>
                <w:highlight w:val="none"/>
              </w:rPr>
              <w:t>集装按大型车计算，昼间（早6:00~晚22:00）和夜间（晚22:00~次日6:00）比例分别按</w:t>
            </w:r>
            <w:r>
              <w:rPr>
                <w:rFonts w:hint="eastAsia"/>
                <w:color w:val="auto"/>
                <w:highlight w:val="none"/>
                <w:lang w:val="en-US" w:eastAsia="zh-CN"/>
              </w:rPr>
              <w:t>70</w:t>
            </w:r>
            <w:r>
              <w:rPr>
                <w:rFonts w:hint="eastAsia"/>
                <w:color w:val="auto"/>
                <w:highlight w:val="none"/>
              </w:rPr>
              <w:t>%、</w:t>
            </w:r>
            <w:r>
              <w:rPr>
                <w:rFonts w:hint="eastAsia"/>
                <w:color w:val="auto"/>
                <w:highlight w:val="none"/>
                <w:lang w:val="en-US" w:eastAsia="zh-CN"/>
              </w:rPr>
              <w:t>30</w:t>
            </w:r>
            <w:r>
              <w:rPr>
                <w:rFonts w:hint="eastAsia"/>
                <w:color w:val="auto"/>
                <w:highlight w:val="none"/>
              </w:rPr>
              <w:t>%计算，最终按车型分的车流量如下表</w:t>
            </w:r>
            <w:r>
              <w:rPr>
                <w:rFonts w:hint="eastAsia"/>
                <w:color w:val="auto"/>
                <w:highlight w:val="none"/>
                <w:lang w:eastAsia="zh-CN"/>
              </w:rPr>
              <w:t>。</w:t>
            </w:r>
          </w:p>
          <w:p>
            <w:pPr>
              <w:pStyle w:val="33"/>
              <w:bidi w:val="0"/>
              <w:rPr>
                <w:rFonts w:hint="eastAsia"/>
                <w:color w:val="auto"/>
                <w:highlight w:val="none"/>
                <w:lang w:eastAsia="zh-CN"/>
              </w:rPr>
            </w:pPr>
          </w:p>
          <w:p>
            <w:pPr>
              <w:pStyle w:val="33"/>
              <w:bidi w:val="0"/>
              <w:rPr>
                <w:rFonts w:hint="eastAsia"/>
                <w:color w:val="auto"/>
                <w:highlight w:val="none"/>
                <w:lang w:eastAsia="zh-CN"/>
              </w:rPr>
            </w:pPr>
          </w:p>
          <w:p>
            <w:pPr>
              <w:pStyle w:val="33"/>
              <w:bidi w:val="0"/>
              <w:rPr>
                <w:rFonts w:hint="eastAsia"/>
                <w:color w:val="auto"/>
                <w:highlight w:val="none"/>
                <w:lang w:eastAsia="zh-CN"/>
              </w:rPr>
            </w:pPr>
          </w:p>
          <w:p>
            <w:pPr>
              <w:pStyle w:val="33"/>
              <w:bidi w:val="0"/>
              <w:rPr>
                <w:rFonts w:hint="eastAsia"/>
                <w:color w:val="auto"/>
                <w:highlight w:val="none"/>
                <w:lang w:eastAsia="zh-CN"/>
              </w:rPr>
            </w:pPr>
          </w:p>
          <w:p>
            <w:pPr>
              <w:pStyle w:val="36"/>
              <w:numPr>
                <w:ilvl w:val="0"/>
                <w:numId w:val="2"/>
              </w:numPr>
              <w:tabs>
                <w:tab w:val="left" w:pos="0"/>
                <w:tab w:val="clear" w:pos="420"/>
              </w:tabs>
              <w:bidi w:val="0"/>
              <w:ind w:left="0" w:leftChars="0" w:firstLine="0" w:firstLineChars="0"/>
              <w:jc w:val="right"/>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环评预测特征年份昼、夜小时平均车流量      单位：辆/h</w:t>
            </w:r>
          </w:p>
          <w:tbl>
            <w:tblPr>
              <w:tblStyle w:val="22"/>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435"/>
              <w:gridCol w:w="1363"/>
              <w:gridCol w:w="1435"/>
              <w:gridCol w:w="1307"/>
              <w:gridCol w:w="1437"/>
              <w:gridCol w:w="144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jc w:val="center"/>
              </w:trPr>
              <w:tc>
                <w:tcPr>
                  <w:tcW w:w="85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年份</w:t>
                  </w:r>
                </w:p>
              </w:tc>
              <w:tc>
                <w:tcPr>
                  <w:tcW w:w="80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车型</w:t>
                  </w:r>
                </w:p>
              </w:tc>
              <w:tc>
                <w:tcPr>
                  <w:tcW w:w="162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color w:val="auto"/>
                      <w:highlight w:val="none"/>
                      <w:lang w:val="en-US" w:eastAsia="zh-CN"/>
                    </w:rPr>
                    <w:t>G509主线</w:t>
                  </w:r>
                </w:p>
              </w:tc>
              <w:tc>
                <w:tcPr>
                  <w:tcW w:w="170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辅道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p>
              </w:tc>
              <w:tc>
                <w:tcPr>
                  <w:tcW w:w="8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77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c>
                <w:tcPr>
                  <w:tcW w:w="853"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854"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lang w:val="en-US" w:eastAsia="zh-CN"/>
                    </w:rPr>
                  </w:pPr>
                  <w:r>
                    <w:rPr>
                      <w:rFonts w:hint="default"/>
                      <w:color w:val="auto"/>
                      <w:highlight w:val="none"/>
                      <w:lang w:val="en-US" w:eastAsia="zh-CN"/>
                    </w:rPr>
                    <w:t>2025</w:t>
                  </w:r>
                </w:p>
                <w:p>
                  <w:pPr>
                    <w:pStyle w:val="32"/>
                    <w:bidi w:val="0"/>
                    <w:rPr>
                      <w:rFonts w:hint="default"/>
                      <w:color w:val="auto"/>
                      <w:highlight w:val="none"/>
                    </w:rPr>
                  </w:pPr>
                  <w:r>
                    <w:rPr>
                      <w:color w:val="auto"/>
                      <w:highlight w:val="none"/>
                      <w:lang w:val="en-US" w:eastAsia="zh-CN"/>
                    </w:rPr>
                    <w:t>（近期）</w:t>
                  </w: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小</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84</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36</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16</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中</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35</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15</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6</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大</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104</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44</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20</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lang w:val="en-US" w:eastAsia="zh-CN"/>
                    </w:rPr>
                  </w:pPr>
                  <w:r>
                    <w:rPr>
                      <w:rFonts w:hint="default"/>
                      <w:color w:val="auto"/>
                      <w:highlight w:val="none"/>
                      <w:lang w:val="en-US" w:eastAsia="zh-CN"/>
                    </w:rPr>
                    <w:t>2035</w:t>
                  </w:r>
                </w:p>
                <w:p>
                  <w:pPr>
                    <w:pStyle w:val="32"/>
                    <w:bidi w:val="0"/>
                    <w:rPr>
                      <w:rFonts w:hint="default"/>
                      <w:color w:val="auto"/>
                      <w:highlight w:val="none"/>
                    </w:rPr>
                  </w:pPr>
                  <w:r>
                    <w:rPr>
                      <w:color w:val="auto"/>
                      <w:highlight w:val="none"/>
                      <w:lang w:val="en-US" w:eastAsia="zh-CN"/>
                    </w:rPr>
                    <w:t>（中期）</w:t>
                  </w: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小</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124</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53</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21</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中</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51</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22</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8</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大</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155</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66</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27</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lang w:val="en-US" w:eastAsia="zh-CN"/>
                    </w:rPr>
                  </w:pPr>
                  <w:r>
                    <w:rPr>
                      <w:rFonts w:hint="default"/>
                      <w:color w:val="auto"/>
                      <w:highlight w:val="none"/>
                      <w:lang w:val="en-US" w:eastAsia="zh-CN"/>
                    </w:rPr>
                    <w:t>2044</w:t>
                  </w:r>
                </w:p>
                <w:p>
                  <w:pPr>
                    <w:pStyle w:val="32"/>
                    <w:bidi w:val="0"/>
                    <w:rPr>
                      <w:rFonts w:hint="default"/>
                      <w:color w:val="auto"/>
                      <w:highlight w:val="none"/>
                    </w:rPr>
                  </w:pPr>
                  <w:r>
                    <w:rPr>
                      <w:color w:val="auto"/>
                      <w:highlight w:val="none"/>
                      <w:lang w:val="en-US" w:eastAsia="zh-CN"/>
                    </w:rPr>
                    <w:t>（远期）</w:t>
                  </w: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小</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151</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65</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29</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中</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63</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27</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12</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8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color w:val="auto"/>
                      <w:highlight w:val="none"/>
                      <w:lang w:val="en-US" w:eastAsia="zh-CN"/>
                    </w:rPr>
                    <w:t>大</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189</w:t>
                  </w:r>
                </w:p>
              </w:tc>
              <w:tc>
                <w:tcPr>
                  <w:tcW w:w="130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81</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36</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15</w:t>
                  </w:r>
                </w:p>
              </w:tc>
            </w:tr>
          </w:tbl>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土方石</w:t>
            </w:r>
          </w:p>
          <w:p>
            <w:pPr>
              <w:pStyle w:val="33"/>
              <w:bidi w:val="0"/>
              <w:rPr>
                <w:rFonts w:hint="eastAsia"/>
                <w:color w:val="FF0000"/>
                <w:highlight w:val="none"/>
                <w:lang w:eastAsia="zh-CN"/>
              </w:rPr>
            </w:pPr>
            <w:r>
              <w:rPr>
                <w:rFonts w:hint="eastAsia"/>
                <w:color w:val="FF0000"/>
                <w:highlight w:val="none"/>
                <w:lang w:eastAsia="zh-CN"/>
              </w:rPr>
              <w:t>本项目剥离表土量为</w:t>
            </w:r>
            <w:r>
              <w:rPr>
                <w:rFonts w:hint="eastAsia"/>
                <w:color w:val="FF0000"/>
                <w:highlight w:val="none"/>
                <w:lang w:val="en-US" w:eastAsia="zh-CN"/>
              </w:rPr>
              <w:t>1.148万m</w:t>
            </w:r>
            <w:r>
              <w:rPr>
                <w:rFonts w:hint="eastAsia"/>
                <w:color w:val="FF0000"/>
                <w:highlight w:val="none"/>
                <w:vertAlign w:val="superscript"/>
                <w:lang w:val="en-US" w:eastAsia="zh-CN"/>
              </w:rPr>
              <w:t>3</w:t>
            </w:r>
            <w:r>
              <w:rPr>
                <w:rFonts w:hint="eastAsia"/>
                <w:color w:val="FF0000"/>
                <w:highlight w:val="none"/>
                <w:lang w:val="en-US" w:eastAsia="zh-CN"/>
              </w:rPr>
              <w:t>，挖方量为12.553万m</w:t>
            </w:r>
            <w:r>
              <w:rPr>
                <w:rFonts w:hint="eastAsia"/>
                <w:color w:val="FF0000"/>
                <w:highlight w:val="none"/>
                <w:vertAlign w:val="superscript"/>
                <w:lang w:val="en-US" w:eastAsia="zh-CN"/>
              </w:rPr>
              <w:t>3</w:t>
            </w:r>
            <w:r>
              <w:rPr>
                <w:rFonts w:hint="eastAsia"/>
                <w:color w:val="FF0000"/>
                <w:highlight w:val="none"/>
                <w:lang w:val="en-US" w:eastAsia="zh-CN"/>
              </w:rPr>
              <w:t>，填方量为9.743万m</w:t>
            </w:r>
            <w:r>
              <w:rPr>
                <w:rFonts w:hint="eastAsia"/>
                <w:color w:val="FF0000"/>
                <w:highlight w:val="none"/>
                <w:vertAlign w:val="superscript"/>
                <w:lang w:val="en-US" w:eastAsia="zh-CN"/>
              </w:rPr>
              <w:t>3</w:t>
            </w:r>
            <w:r>
              <w:rPr>
                <w:rFonts w:hint="eastAsia"/>
                <w:color w:val="FF0000"/>
                <w:highlight w:val="none"/>
                <w:lang w:val="en-US" w:eastAsia="zh-CN"/>
              </w:rPr>
              <w:t>（其中借方量为4.342万m</w:t>
            </w:r>
            <w:r>
              <w:rPr>
                <w:rFonts w:hint="eastAsia"/>
                <w:color w:val="FF0000"/>
                <w:highlight w:val="none"/>
                <w:vertAlign w:val="superscript"/>
                <w:lang w:val="en-US" w:eastAsia="zh-CN"/>
              </w:rPr>
              <w:t>3</w:t>
            </w:r>
            <w:r>
              <w:rPr>
                <w:rFonts w:hint="eastAsia"/>
                <w:color w:val="FF0000"/>
                <w:highlight w:val="none"/>
                <w:lang w:val="en-US" w:eastAsia="zh-CN"/>
              </w:rPr>
              <w:t>），弃方量为1.94万m</w:t>
            </w:r>
            <w:r>
              <w:rPr>
                <w:rFonts w:hint="eastAsia"/>
                <w:color w:val="FF0000"/>
                <w:highlight w:val="none"/>
                <w:vertAlign w:val="superscript"/>
                <w:lang w:val="en-US" w:eastAsia="zh-CN"/>
              </w:rPr>
              <w:t>3</w:t>
            </w:r>
            <w:r>
              <w:rPr>
                <w:rFonts w:hint="eastAsia"/>
                <w:color w:val="FF0000"/>
                <w:highlight w:val="none"/>
                <w:lang w:val="en-US" w:eastAsia="zh-CN"/>
              </w:rPr>
              <w:t>，</w:t>
            </w:r>
            <w:r>
              <w:rPr>
                <w:rFonts w:hint="eastAsia"/>
                <w:color w:val="FF0000"/>
                <w:highlight w:val="none"/>
              </w:rPr>
              <w:t>项目</w:t>
            </w:r>
            <w:r>
              <w:rPr>
                <w:rFonts w:hint="eastAsia"/>
                <w:color w:val="FF0000"/>
                <w:highlight w:val="none"/>
                <w:lang w:eastAsia="zh-CN"/>
              </w:rPr>
              <w:t>表土用于本项目绿化种植土回覆，挖方</w:t>
            </w:r>
            <w:r>
              <w:rPr>
                <w:rFonts w:hint="eastAsia"/>
                <w:color w:val="FF0000"/>
                <w:highlight w:val="none"/>
              </w:rPr>
              <w:t>通过及时回填和土地整平解决，</w:t>
            </w:r>
            <w:r>
              <w:rPr>
                <w:rFonts w:hint="eastAsia"/>
                <w:color w:val="FF0000"/>
                <w:highlight w:val="none"/>
                <w:lang w:eastAsia="zh-CN"/>
              </w:rPr>
              <w:t>剩余弃方由唐山港兴实业集团有限公司接收运送综合利用用于场地平整和场坪提高</w:t>
            </w:r>
            <w:r>
              <w:rPr>
                <w:rFonts w:hint="eastAsia"/>
                <w:color w:val="FF0000"/>
                <w:highlight w:val="none"/>
              </w:rPr>
              <w:t>。</w:t>
            </w:r>
          </w:p>
          <w:p>
            <w:pPr>
              <w:pStyle w:val="36"/>
              <w:numPr>
                <w:ilvl w:val="0"/>
                <w:numId w:val="2"/>
              </w:numPr>
              <w:tabs>
                <w:tab w:val="left" w:pos="0"/>
                <w:tab w:val="clear" w:pos="420"/>
              </w:tabs>
              <w:bidi w:val="0"/>
              <w:ind w:left="0" w:leftChars="0" w:firstLine="0" w:firstLineChars="0"/>
              <w:jc w:val="right"/>
              <w:rPr>
                <w:rFonts w:hint="eastAsia" w:ascii="Times New Roman" w:hAnsi="Times New Roman" w:eastAsia="宋体" w:cs="Times New Roman"/>
                <w:color w:val="FF0000"/>
                <w:highlight w:val="none"/>
                <w:lang w:val="en-US" w:eastAsia="zh-CN"/>
              </w:rPr>
            </w:pPr>
            <w:r>
              <w:rPr>
                <w:rFonts w:hint="eastAsia" w:ascii="Times New Roman" w:hAnsi="Times New Roman" w:eastAsia="宋体" w:cs="Times New Roman"/>
                <w:color w:val="FF0000"/>
                <w:highlight w:val="none"/>
                <w:lang w:val="en-US" w:eastAsia="zh-CN"/>
              </w:rPr>
              <w:t>土石方平衡表</w:t>
            </w:r>
            <w:r>
              <w:rPr>
                <w:rFonts w:hint="eastAsia"/>
                <w:color w:val="FF0000"/>
                <w:highlight w:val="none"/>
                <w:lang w:val="en-US" w:eastAsia="zh-CN"/>
              </w:rPr>
              <w:t xml:space="preserve">                    </w:t>
            </w:r>
            <w:r>
              <w:rPr>
                <w:rFonts w:hint="eastAsia"/>
                <w:color w:val="FF0000"/>
                <w:highlight w:val="none"/>
                <w:lang w:eastAsia="zh-CN"/>
              </w:rPr>
              <w:t>单位：万</w:t>
            </w:r>
            <w:r>
              <w:rPr>
                <w:rFonts w:hint="eastAsia"/>
                <w:color w:val="FF0000"/>
                <w:highlight w:val="none"/>
                <w:lang w:val="en-US" w:eastAsia="zh-CN"/>
              </w:rPr>
              <w:t>m</w:t>
            </w:r>
            <w:r>
              <w:rPr>
                <w:rFonts w:hint="eastAsia"/>
                <w:color w:val="FF0000"/>
                <w:highlight w:val="none"/>
                <w:vertAlign w:val="superscript"/>
                <w:lang w:val="en-US" w:eastAsia="zh-CN"/>
              </w:rPr>
              <w:t>3</w:t>
            </w:r>
          </w:p>
          <w:tbl>
            <w:tblPr>
              <w:tblStyle w:val="2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136"/>
              <w:gridCol w:w="1015"/>
              <w:gridCol w:w="1015"/>
              <w:gridCol w:w="1015"/>
              <w:gridCol w:w="1018"/>
              <w:gridCol w:w="946"/>
              <w:gridCol w:w="2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12" w:hRule="atLeast"/>
              </w:trPr>
              <w:tc>
                <w:tcPr>
                  <w:tcW w:w="676" w:type="pct"/>
                  <w:vMerge w:val="restart"/>
                  <w:tcBorders>
                    <w:tl2br w:val="nil"/>
                    <w:tr2bl w:val="nil"/>
                  </w:tcBorders>
                  <w:noWrap w:val="0"/>
                  <w:vAlign w:val="center"/>
                </w:tcPr>
                <w:p>
                  <w:pPr>
                    <w:pStyle w:val="32"/>
                    <w:bidi w:val="0"/>
                    <w:rPr>
                      <w:color w:val="FF0000"/>
                      <w:highlight w:val="none"/>
                    </w:rPr>
                  </w:pPr>
                  <w:r>
                    <w:rPr>
                      <w:rFonts w:hint="eastAsia"/>
                      <w:color w:val="FF0000"/>
                      <w:highlight w:val="none"/>
                    </w:rPr>
                    <w:t>工程名称</w:t>
                  </w:r>
                </w:p>
              </w:tc>
              <w:tc>
                <w:tcPr>
                  <w:tcW w:w="603" w:type="pct"/>
                  <w:vMerge w:val="restart"/>
                  <w:tcBorders>
                    <w:tl2br w:val="nil"/>
                    <w:tr2bl w:val="nil"/>
                  </w:tcBorders>
                  <w:noWrap w:val="0"/>
                  <w:vAlign w:val="center"/>
                </w:tcPr>
                <w:p>
                  <w:pPr>
                    <w:pStyle w:val="32"/>
                    <w:bidi w:val="0"/>
                    <w:rPr>
                      <w:color w:val="FF0000"/>
                      <w:highlight w:val="none"/>
                    </w:rPr>
                  </w:pPr>
                  <w:r>
                    <w:rPr>
                      <w:rFonts w:hint="eastAsia"/>
                      <w:color w:val="FF0000"/>
                      <w:highlight w:val="none"/>
                    </w:rPr>
                    <w:t>挖方</w:t>
                  </w:r>
                </w:p>
              </w:tc>
              <w:tc>
                <w:tcPr>
                  <w:tcW w:w="603" w:type="pct"/>
                  <w:vMerge w:val="restart"/>
                  <w:tcBorders>
                    <w:tl2br w:val="nil"/>
                    <w:tr2bl w:val="nil"/>
                  </w:tcBorders>
                  <w:noWrap w:val="0"/>
                  <w:vAlign w:val="center"/>
                </w:tcPr>
                <w:p>
                  <w:pPr>
                    <w:pStyle w:val="32"/>
                    <w:bidi w:val="0"/>
                    <w:rPr>
                      <w:rFonts w:hint="eastAsia" w:eastAsia="宋体"/>
                      <w:color w:val="FF0000"/>
                      <w:highlight w:val="none"/>
                      <w:lang w:eastAsia="zh-CN"/>
                    </w:rPr>
                  </w:pPr>
                  <w:r>
                    <w:rPr>
                      <w:rFonts w:hint="eastAsia"/>
                      <w:color w:val="FF0000"/>
                      <w:highlight w:val="none"/>
                      <w:lang w:eastAsia="zh-CN"/>
                    </w:rPr>
                    <w:t>剥离表土</w:t>
                  </w:r>
                </w:p>
              </w:tc>
              <w:tc>
                <w:tcPr>
                  <w:tcW w:w="603" w:type="pct"/>
                  <w:vMerge w:val="restart"/>
                  <w:tcBorders>
                    <w:tl2br w:val="nil"/>
                    <w:tr2bl w:val="nil"/>
                  </w:tcBorders>
                  <w:noWrap w:val="0"/>
                  <w:vAlign w:val="center"/>
                </w:tcPr>
                <w:p>
                  <w:pPr>
                    <w:pStyle w:val="32"/>
                    <w:bidi w:val="0"/>
                    <w:rPr>
                      <w:rFonts w:hint="eastAsia"/>
                      <w:color w:val="FF0000"/>
                      <w:highlight w:val="none"/>
                    </w:rPr>
                  </w:pPr>
                  <w:r>
                    <w:rPr>
                      <w:rFonts w:hint="eastAsia"/>
                      <w:color w:val="FF0000"/>
                      <w:highlight w:val="none"/>
                    </w:rPr>
                    <w:t>填方</w:t>
                  </w:r>
                </w:p>
              </w:tc>
              <w:tc>
                <w:tcPr>
                  <w:tcW w:w="605" w:type="pct"/>
                  <w:vMerge w:val="restart"/>
                  <w:tcBorders>
                    <w:tl2br w:val="nil"/>
                    <w:tr2bl w:val="nil"/>
                  </w:tcBorders>
                  <w:noWrap w:val="0"/>
                  <w:vAlign w:val="center"/>
                </w:tcPr>
                <w:p>
                  <w:pPr>
                    <w:pStyle w:val="32"/>
                    <w:bidi w:val="0"/>
                    <w:rPr>
                      <w:color w:val="FF0000"/>
                      <w:highlight w:val="none"/>
                    </w:rPr>
                  </w:pPr>
                  <w:r>
                    <w:rPr>
                      <w:rFonts w:hint="eastAsia"/>
                      <w:color w:val="FF0000"/>
                      <w:highlight w:val="none"/>
                    </w:rPr>
                    <w:t>借方</w:t>
                  </w:r>
                </w:p>
              </w:tc>
              <w:tc>
                <w:tcPr>
                  <w:tcW w:w="1906" w:type="pct"/>
                  <w:gridSpan w:val="2"/>
                  <w:tcBorders>
                    <w:tl2br w:val="nil"/>
                    <w:tr2bl w:val="nil"/>
                  </w:tcBorders>
                  <w:noWrap w:val="0"/>
                  <w:vAlign w:val="center"/>
                </w:tcPr>
                <w:p>
                  <w:pPr>
                    <w:pStyle w:val="32"/>
                    <w:bidi w:val="0"/>
                    <w:rPr>
                      <w:color w:val="FF0000"/>
                      <w:highlight w:val="none"/>
                    </w:rPr>
                  </w:pPr>
                  <w:r>
                    <w:rPr>
                      <w:rFonts w:hint="eastAsia"/>
                      <w:color w:val="FF0000"/>
                      <w:highlight w:val="none"/>
                    </w:rPr>
                    <w:t>弃方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12" w:hRule="atLeast"/>
              </w:trPr>
              <w:tc>
                <w:tcPr>
                  <w:tcW w:w="676" w:type="pct"/>
                  <w:vMerge w:val="continue"/>
                  <w:tcBorders>
                    <w:tl2br w:val="nil"/>
                    <w:tr2bl w:val="nil"/>
                  </w:tcBorders>
                  <w:noWrap w:val="0"/>
                  <w:vAlign w:val="center"/>
                </w:tcPr>
                <w:p>
                  <w:pPr>
                    <w:pStyle w:val="32"/>
                    <w:bidi w:val="0"/>
                    <w:rPr>
                      <w:rFonts w:hint="eastAsia"/>
                      <w:color w:val="FF0000"/>
                      <w:highlight w:val="none"/>
                    </w:rPr>
                  </w:pPr>
                </w:p>
              </w:tc>
              <w:tc>
                <w:tcPr>
                  <w:tcW w:w="603" w:type="pct"/>
                  <w:vMerge w:val="continue"/>
                  <w:tcBorders>
                    <w:tl2br w:val="nil"/>
                    <w:tr2bl w:val="nil"/>
                  </w:tcBorders>
                  <w:noWrap w:val="0"/>
                  <w:vAlign w:val="center"/>
                </w:tcPr>
                <w:p>
                  <w:pPr>
                    <w:pStyle w:val="32"/>
                    <w:bidi w:val="0"/>
                    <w:rPr>
                      <w:rFonts w:hint="eastAsia"/>
                      <w:color w:val="FF0000"/>
                      <w:highlight w:val="none"/>
                    </w:rPr>
                  </w:pPr>
                </w:p>
              </w:tc>
              <w:tc>
                <w:tcPr>
                  <w:tcW w:w="603" w:type="pct"/>
                  <w:vMerge w:val="continue"/>
                  <w:tcBorders>
                    <w:tl2br w:val="nil"/>
                    <w:tr2bl w:val="nil"/>
                  </w:tcBorders>
                  <w:noWrap w:val="0"/>
                  <w:vAlign w:val="center"/>
                </w:tcPr>
                <w:p>
                  <w:pPr>
                    <w:pStyle w:val="32"/>
                    <w:bidi w:val="0"/>
                    <w:rPr>
                      <w:rFonts w:hint="eastAsia"/>
                      <w:color w:val="FF0000"/>
                      <w:highlight w:val="none"/>
                    </w:rPr>
                  </w:pPr>
                </w:p>
              </w:tc>
              <w:tc>
                <w:tcPr>
                  <w:tcW w:w="603" w:type="pct"/>
                  <w:vMerge w:val="continue"/>
                  <w:tcBorders>
                    <w:tl2br w:val="nil"/>
                    <w:tr2bl w:val="nil"/>
                  </w:tcBorders>
                  <w:noWrap w:val="0"/>
                  <w:vAlign w:val="center"/>
                </w:tcPr>
                <w:p>
                  <w:pPr>
                    <w:pStyle w:val="32"/>
                    <w:bidi w:val="0"/>
                    <w:rPr>
                      <w:rFonts w:hint="eastAsia"/>
                      <w:color w:val="FF0000"/>
                      <w:highlight w:val="none"/>
                    </w:rPr>
                  </w:pPr>
                </w:p>
              </w:tc>
              <w:tc>
                <w:tcPr>
                  <w:tcW w:w="605" w:type="pct"/>
                  <w:vMerge w:val="continue"/>
                  <w:tcBorders>
                    <w:tl2br w:val="nil"/>
                    <w:tr2bl w:val="nil"/>
                  </w:tcBorders>
                  <w:noWrap w:val="0"/>
                  <w:vAlign w:val="center"/>
                </w:tcPr>
                <w:p>
                  <w:pPr>
                    <w:pStyle w:val="32"/>
                    <w:bidi w:val="0"/>
                    <w:rPr>
                      <w:rFonts w:hint="eastAsia"/>
                      <w:color w:val="FF0000"/>
                      <w:highlight w:val="none"/>
                    </w:rPr>
                  </w:pPr>
                </w:p>
              </w:tc>
              <w:tc>
                <w:tcPr>
                  <w:tcW w:w="562" w:type="pct"/>
                  <w:tcBorders>
                    <w:tl2br w:val="nil"/>
                    <w:tr2bl w:val="nil"/>
                  </w:tcBorders>
                  <w:noWrap w:val="0"/>
                  <w:vAlign w:val="center"/>
                </w:tcPr>
                <w:p>
                  <w:pPr>
                    <w:pStyle w:val="32"/>
                    <w:bidi w:val="0"/>
                    <w:rPr>
                      <w:rFonts w:hint="eastAsia"/>
                      <w:color w:val="FF0000"/>
                      <w:highlight w:val="none"/>
                    </w:rPr>
                  </w:pPr>
                  <w:r>
                    <w:rPr>
                      <w:rFonts w:hint="eastAsia"/>
                      <w:color w:val="FF0000"/>
                      <w:highlight w:val="none"/>
                    </w:rPr>
                    <w:t>数量</w:t>
                  </w:r>
                </w:p>
              </w:tc>
              <w:tc>
                <w:tcPr>
                  <w:tcW w:w="1344" w:type="pct"/>
                  <w:tcBorders>
                    <w:tl2br w:val="nil"/>
                    <w:tr2bl w:val="nil"/>
                  </w:tcBorders>
                  <w:noWrap w:val="0"/>
                  <w:vAlign w:val="center"/>
                </w:tcPr>
                <w:p>
                  <w:pPr>
                    <w:pStyle w:val="32"/>
                    <w:bidi w:val="0"/>
                    <w:rPr>
                      <w:color w:val="FF0000"/>
                      <w:highlight w:val="none"/>
                    </w:rPr>
                  </w:pPr>
                  <w:r>
                    <w:rPr>
                      <w:rFonts w:hint="eastAsia"/>
                      <w:color w:val="FF0000"/>
                      <w:highlight w:val="none"/>
                    </w:rPr>
                    <w:t>处置去向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12" w:hRule="atLeast"/>
              </w:trPr>
              <w:tc>
                <w:tcPr>
                  <w:tcW w:w="676" w:type="pct"/>
                  <w:tcBorders>
                    <w:tl2br w:val="nil"/>
                    <w:tr2bl w:val="nil"/>
                  </w:tcBorders>
                  <w:noWrap w:val="0"/>
                  <w:vAlign w:val="center"/>
                </w:tcPr>
                <w:p>
                  <w:pPr>
                    <w:pStyle w:val="32"/>
                    <w:bidi w:val="0"/>
                    <w:rPr>
                      <w:color w:val="FF0000"/>
                      <w:highlight w:val="none"/>
                    </w:rPr>
                  </w:pPr>
                  <w:r>
                    <w:rPr>
                      <w:rFonts w:hint="eastAsia"/>
                      <w:color w:val="FF0000"/>
                      <w:highlight w:val="none"/>
                    </w:rPr>
                    <w:t>道路工程</w:t>
                  </w:r>
                </w:p>
              </w:tc>
              <w:tc>
                <w:tcPr>
                  <w:tcW w:w="603" w:type="pct"/>
                  <w:tcBorders>
                    <w:tl2br w:val="nil"/>
                    <w:tr2bl w:val="nil"/>
                  </w:tcBorders>
                  <w:noWrap w:val="0"/>
                  <w:vAlign w:val="center"/>
                </w:tcPr>
                <w:p>
                  <w:pPr>
                    <w:pStyle w:val="32"/>
                    <w:bidi w:val="0"/>
                    <w:rPr>
                      <w:rFonts w:hint="default" w:eastAsia="宋体"/>
                      <w:color w:val="FF0000"/>
                      <w:highlight w:val="none"/>
                      <w:lang w:val="en-US" w:eastAsia="zh-CN"/>
                    </w:rPr>
                  </w:pPr>
                  <w:r>
                    <w:rPr>
                      <w:rFonts w:hint="eastAsia"/>
                      <w:color w:val="FF0000"/>
                      <w:highlight w:val="none"/>
                      <w:lang w:val="en-US" w:eastAsia="zh-CN"/>
                    </w:rPr>
                    <w:t>12.553</w:t>
                  </w:r>
                </w:p>
              </w:tc>
              <w:tc>
                <w:tcPr>
                  <w:tcW w:w="603" w:type="pct"/>
                  <w:tcBorders>
                    <w:tl2br w:val="nil"/>
                    <w:tr2bl w:val="nil"/>
                  </w:tcBorders>
                  <w:noWrap w:val="0"/>
                  <w:vAlign w:val="center"/>
                </w:tcPr>
                <w:p>
                  <w:pPr>
                    <w:pStyle w:val="32"/>
                    <w:bidi w:val="0"/>
                    <w:rPr>
                      <w:rFonts w:hint="default" w:eastAsia="宋体"/>
                      <w:color w:val="FF0000"/>
                      <w:highlight w:val="none"/>
                      <w:lang w:val="en-US" w:eastAsia="zh-CN"/>
                    </w:rPr>
                  </w:pPr>
                  <w:r>
                    <w:rPr>
                      <w:rFonts w:hint="eastAsia"/>
                      <w:color w:val="FF0000"/>
                      <w:highlight w:val="none"/>
                      <w:lang w:val="en-US" w:eastAsia="zh-CN"/>
                    </w:rPr>
                    <w:t>1.148</w:t>
                  </w:r>
                </w:p>
              </w:tc>
              <w:tc>
                <w:tcPr>
                  <w:tcW w:w="603" w:type="pct"/>
                  <w:tcBorders>
                    <w:tl2br w:val="nil"/>
                    <w:tr2bl w:val="nil"/>
                  </w:tcBorders>
                  <w:noWrap w:val="0"/>
                  <w:vAlign w:val="center"/>
                </w:tcPr>
                <w:p>
                  <w:pPr>
                    <w:pStyle w:val="32"/>
                    <w:bidi w:val="0"/>
                    <w:rPr>
                      <w:rFonts w:hint="eastAsia"/>
                      <w:color w:val="FF0000"/>
                      <w:highlight w:val="none"/>
                      <w:lang w:val="en-US" w:eastAsia="zh-CN"/>
                    </w:rPr>
                  </w:pPr>
                  <w:r>
                    <w:rPr>
                      <w:rFonts w:hint="eastAsia"/>
                      <w:color w:val="FF0000"/>
                      <w:highlight w:val="none"/>
                      <w:lang w:val="en-US" w:eastAsia="zh-CN"/>
                    </w:rPr>
                    <w:t>9.743</w:t>
                  </w:r>
                </w:p>
              </w:tc>
              <w:tc>
                <w:tcPr>
                  <w:tcW w:w="605" w:type="pct"/>
                  <w:tcBorders>
                    <w:tl2br w:val="nil"/>
                    <w:tr2bl w:val="nil"/>
                  </w:tcBorders>
                  <w:noWrap w:val="0"/>
                  <w:vAlign w:val="center"/>
                </w:tcPr>
                <w:p>
                  <w:pPr>
                    <w:pStyle w:val="32"/>
                    <w:bidi w:val="0"/>
                    <w:rPr>
                      <w:rFonts w:hint="default" w:eastAsia="宋体"/>
                      <w:color w:val="FF0000"/>
                      <w:highlight w:val="none"/>
                      <w:lang w:val="en-US" w:eastAsia="zh-CN"/>
                    </w:rPr>
                  </w:pPr>
                  <w:r>
                    <w:rPr>
                      <w:rFonts w:hint="eastAsia"/>
                      <w:color w:val="FF0000"/>
                      <w:highlight w:val="none"/>
                      <w:lang w:val="en-US" w:eastAsia="zh-CN"/>
                    </w:rPr>
                    <w:t>4.342</w:t>
                  </w:r>
                </w:p>
              </w:tc>
              <w:tc>
                <w:tcPr>
                  <w:tcW w:w="562" w:type="pct"/>
                  <w:tcBorders>
                    <w:tl2br w:val="nil"/>
                    <w:tr2bl w:val="nil"/>
                  </w:tcBorders>
                  <w:noWrap w:val="0"/>
                  <w:vAlign w:val="center"/>
                </w:tcPr>
                <w:p>
                  <w:pPr>
                    <w:pStyle w:val="32"/>
                    <w:bidi w:val="0"/>
                    <w:rPr>
                      <w:rFonts w:hint="default" w:eastAsia="宋体"/>
                      <w:color w:val="FF0000"/>
                      <w:highlight w:val="none"/>
                      <w:lang w:val="en-US" w:eastAsia="zh-CN"/>
                    </w:rPr>
                  </w:pPr>
                  <w:r>
                    <w:rPr>
                      <w:rFonts w:hint="eastAsia"/>
                      <w:color w:val="FF0000"/>
                      <w:highlight w:val="none"/>
                      <w:lang w:val="en-US" w:eastAsia="zh-CN"/>
                    </w:rPr>
                    <w:t>8.3</w:t>
                  </w:r>
                </w:p>
              </w:tc>
              <w:tc>
                <w:tcPr>
                  <w:tcW w:w="1344" w:type="pct"/>
                  <w:tcBorders>
                    <w:tl2br w:val="nil"/>
                    <w:tr2bl w:val="nil"/>
                  </w:tcBorders>
                  <w:noWrap w:val="0"/>
                  <w:vAlign w:val="center"/>
                </w:tcPr>
                <w:p>
                  <w:pPr>
                    <w:pStyle w:val="32"/>
                    <w:bidi w:val="0"/>
                    <w:rPr>
                      <w:rFonts w:hint="eastAsia" w:eastAsia="宋体"/>
                      <w:color w:val="FF0000"/>
                      <w:highlight w:val="none"/>
                      <w:lang w:eastAsia="zh-CN"/>
                    </w:rPr>
                  </w:pPr>
                  <w:bookmarkStart w:id="7" w:name="OLE_LINK36"/>
                  <w:bookmarkStart w:id="8" w:name="OLE_LINK1"/>
                  <w:bookmarkStart w:id="9" w:name="OLE_LINK3"/>
                  <w:r>
                    <w:rPr>
                      <w:rFonts w:hint="eastAsia"/>
                      <w:color w:val="FF0000"/>
                      <w:highlight w:val="none"/>
                    </w:rPr>
                    <w:t>交由</w:t>
                  </w:r>
                  <w:bookmarkEnd w:id="7"/>
                  <w:bookmarkEnd w:id="8"/>
                  <w:bookmarkEnd w:id="9"/>
                  <w:r>
                    <w:rPr>
                      <w:rFonts w:hint="eastAsia"/>
                      <w:color w:val="FF0000"/>
                      <w:highlight w:val="none"/>
                      <w:lang w:eastAsia="zh-CN"/>
                    </w:rPr>
                    <w:t>施工单位综合利用</w:t>
                  </w:r>
                </w:p>
              </w:tc>
            </w:tr>
          </w:tbl>
          <w:p>
            <w:pPr>
              <w:pStyle w:val="32"/>
              <w:keepNext w:val="0"/>
              <w:keepLines w:val="0"/>
              <w:pageBreakBefore w:val="0"/>
              <w:widowControl w:val="0"/>
              <w:kinsoku/>
              <w:wordWrap/>
              <w:overflowPunct/>
              <w:topLinePunct w:val="0"/>
              <w:autoSpaceDE/>
              <w:autoSpaceDN/>
              <w:bidi w:val="0"/>
              <w:adjustRightInd/>
              <w:snapToGrid/>
              <w:spacing w:line="240" w:lineRule="auto"/>
              <w:textAlignment w:val="auto"/>
              <w:rPr>
                <w:color w:val="FF0000"/>
                <w:highlight w:val="none"/>
              </w:rPr>
            </w:pPr>
            <w:r>
              <w:rPr>
                <w:color w:val="FF0000"/>
                <w:highlight w:val="none"/>
              </w:rPr>
              <w:object>
                <v:shape id="_x0000_i1025" o:spt="75" type="#_x0000_t75" style="height:135.75pt;width:155.25pt;" o:ole="t" filled="f" o:preferrelative="t" stroked="f" coordsize="21600,21600">
                  <v:path/>
                  <v:fill on="f" focussize="0,0"/>
                  <v:stroke on="f"/>
                  <v:imagedata r:id="rId11" o:title=""/>
                  <o:lock v:ext="edit" aspectratio="f"/>
                  <w10:wrap type="none"/>
                  <w10:anchorlock/>
                </v:shape>
                <o:OLEObject Type="Embed" ProgID="Visio.Drawing.11" ShapeID="_x0000_i1025" DrawAspect="Content" ObjectID="_1468075725" r:id="rId10">
                  <o:LockedField>false</o:LockedField>
                </o:OLEObject>
              </w:object>
            </w:r>
          </w:p>
          <w:p>
            <w:pPr>
              <w:pStyle w:val="41"/>
              <w:numPr>
                <w:ilvl w:val="0"/>
                <w:numId w:val="9"/>
              </w:numPr>
              <w:tabs>
                <w:tab w:val="left" w:pos="0"/>
                <w:tab w:val="clear" w:pos="420"/>
              </w:tabs>
              <w:bidi w:val="0"/>
              <w:ind w:left="425" w:leftChars="0" w:hanging="425" w:firstLineChars="0"/>
              <w:rPr>
                <w:rFonts w:hint="default" w:ascii="Times New Roman" w:hAnsi="Times New Roman" w:eastAsia="宋体" w:cs="Times New Roman"/>
                <w:color w:val="FF0000"/>
                <w:highlight w:val="none"/>
                <w:lang w:val="en-US" w:eastAsia="zh-CN"/>
              </w:rPr>
            </w:pPr>
            <w:r>
              <w:rPr>
                <w:rFonts w:hint="eastAsia" w:ascii="Times New Roman" w:hAnsi="Times New Roman" w:eastAsia="宋体" w:cs="Times New Roman"/>
                <w:color w:val="FF0000"/>
                <w:highlight w:val="none"/>
                <w:lang w:val="en-US" w:eastAsia="zh-CN"/>
              </w:rPr>
              <w:t>土石方平衡图   单位：万m</w:t>
            </w:r>
            <w:r>
              <w:rPr>
                <w:rFonts w:hint="eastAsia" w:ascii="Times New Roman" w:hAnsi="Times New Roman" w:eastAsia="宋体" w:cs="Times New Roman"/>
                <w:color w:val="FF0000"/>
                <w:highlight w:val="none"/>
                <w:vertAlign w:val="superscript"/>
                <w:lang w:val="en-US" w:eastAsia="zh-CN"/>
              </w:rPr>
              <w:t>3</w:t>
            </w:r>
          </w:p>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ascii="Times New Roman" w:hAnsi="Times New Roman" w:eastAsia="宋体" w:cs="Times New Roman"/>
                <w:b/>
                <w:bCs/>
                <w:color w:val="auto"/>
                <w:highlight w:val="none"/>
              </w:rPr>
            </w:pPr>
            <w:r>
              <w:rPr>
                <w:rFonts w:ascii="Times New Roman" w:hAnsi="Times New Roman" w:eastAsia="宋体" w:cs="Times New Roman"/>
                <w:b/>
                <w:bCs/>
                <w:color w:val="auto"/>
                <w:highlight w:val="none"/>
              </w:rPr>
              <w:t>工程建设内容</w:t>
            </w:r>
          </w:p>
          <w:p>
            <w:pPr>
              <w:pStyle w:val="33"/>
              <w:bidi w:val="0"/>
              <w:rPr>
                <w:b/>
                <w:bCs/>
                <w:color w:val="auto"/>
                <w:highlight w:val="none"/>
              </w:rPr>
            </w:pPr>
            <w:r>
              <w:rPr>
                <w:rFonts w:hint="eastAsia"/>
                <w:b/>
                <w:bCs/>
                <w:color w:val="auto"/>
                <w:highlight w:val="none"/>
              </w:rPr>
              <w:t>（</w:t>
            </w:r>
            <w:r>
              <w:rPr>
                <w:rFonts w:hint="eastAsia"/>
                <w:b/>
                <w:bCs/>
                <w:color w:val="auto"/>
                <w:highlight w:val="none"/>
                <w:lang w:val="en-US" w:eastAsia="zh-CN"/>
              </w:rPr>
              <w:t>1</w:t>
            </w:r>
            <w:r>
              <w:rPr>
                <w:rFonts w:hint="eastAsia"/>
                <w:b/>
                <w:bCs/>
                <w:color w:val="auto"/>
                <w:highlight w:val="none"/>
              </w:rPr>
              <w:t>）路线</w:t>
            </w:r>
          </w:p>
          <w:p>
            <w:pPr>
              <w:pStyle w:val="33"/>
              <w:bidi w:val="0"/>
              <w:rPr>
                <w:color w:val="auto"/>
                <w:highlight w:val="none"/>
              </w:rPr>
            </w:pPr>
            <w:r>
              <w:rPr>
                <w:rFonts w:hint="eastAsia"/>
                <w:color w:val="auto"/>
                <w:highlight w:val="none"/>
                <w:lang w:val="en-US" w:eastAsia="zh-CN"/>
              </w:rPr>
              <w:t>1）</w:t>
            </w:r>
            <w:r>
              <w:rPr>
                <w:rFonts w:hint="eastAsia"/>
                <w:color w:val="auto"/>
                <w:highlight w:val="none"/>
              </w:rPr>
              <w:t>道路平面设计</w:t>
            </w:r>
          </w:p>
          <w:p>
            <w:pPr>
              <w:pStyle w:val="33"/>
              <w:bidi w:val="0"/>
              <w:rPr>
                <w:color w:val="auto"/>
                <w:highlight w:val="none"/>
              </w:rPr>
            </w:pPr>
            <w:bookmarkStart w:id="10" w:name="_Hlk148194575"/>
            <w:r>
              <w:rPr>
                <w:rFonts w:hint="eastAsia"/>
                <w:color w:val="auto"/>
                <w:highlight w:val="none"/>
              </w:rPr>
              <w:t>平面线形根据国道G509（乐港路）原道路平面根据现场实测资料拟合确定，并根据新测量的数字化地形图予以优化。主线新建段道路走向为南北向，起点桩号K0+770，终点桩号为K2+490，道路全长1.72km。设计速度6</w:t>
            </w:r>
            <w:r>
              <w:rPr>
                <w:color w:val="auto"/>
                <w:highlight w:val="none"/>
              </w:rPr>
              <w:t>0</w:t>
            </w:r>
            <w:r>
              <w:rPr>
                <w:rFonts w:hint="eastAsia"/>
                <w:color w:val="auto"/>
                <w:highlight w:val="none"/>
              </w:rPr>
              <w:t>km</w:t>
            </w:r>
            <w:r>
              <w:rPr>
                <w:color w:val="auto"/>
                <w:highlight w:val="none"/>
              </w:rPr>
              <w:t>/</w:t>
            </w:r>
            <w:r>
              <w:rPr>
                <w:rFonts w:hint="eastAsia"/>
                <w:color w:val="auto"/>
                <w:highlight w:val="none"/>
              </w:rPr>
              <w:t>h。</w:t>
            </w:r>
          </w:p>
          <w:p>
            <w:pPr>
              <w:pStyle w:val="33"/>
              <w:bidi w:val="0"/>
              <w:rPr>
                <w:color w:val="auto"/>
                <w:highlight w:val="none"/>
              </w:rPr>
            </w:pPr>
            <w:r>
              <w:rPr>
                <w:rFonts w:hint="eastAsia"/>
                <w:color w:val="auto"/>
                <w:highlight w:val="none"/>
              </w:rPr>
              <w:t>两侧辅路设计速度为40km/h，圆曲线最小半径为520m/1处。</w:t>
            </w:r>
          </w:p>
          <w:bookmarkEnd w:id="10"/>
          <w:p>
            <w:pPr>
              <w:pStyle w:val="33"/>
              <w:bidi w:val="0"/>
              <w:rPr>
                <w:color w:val="auto"/>
                <w:highlight w:val="none"/>
              </w:rPr>
            </w:pPr>
            <w:r>
              <w:rPr>
                <w:rFonts w:hint="eastAsia"/>
                <w:color w:val="auto"/>
                <w:highlight w:val="none"/>
                <w:lang w:val="en-US" w:eastAsia="zh-CN"/>
              </w:rPr>
              <w:t>2）</w:t>
            </w:r>
            <w:r>
              <w:rPr>
                <w:rFonts w:hint="eastAsia"/>
                <w:color w:val="auto"/>
                <w:highlight w:val="none"/>
              </w:rPr>
              <w:t>道路纵断面设计</w:t>
            </w:r>
          </w:p>
          <w:p>
            <w:pPr>
              <w:pStyle w:val="33"/>
              <w:bidi w:val="0"/>
              <w:rPr>
                <w:color w:val="auto"/>
                <w:highlight w:val="none"/>
              </w:rPr>
            </w:pPr>
            <w:bookmarkStart w:id="11" w:name="_Hlk148194601"/>
            <w:r>
              <w:rPr>
                <w:rFonts w:hint="eastAsia"/>
                <w:color w:val="auto"/>
                <w:highlight w:val="none"/>
              </w:rPr>
              <w:t>影响纵断面设计的控制因素主要有现状沿海公路（G228）、道路沿线两侧地块高程、填挖量等。</w:t>
            </w:r>
          </w:p>
          <w:p>
            <w:pPr>
              <w:pStyle w:val="33"/>
              <w:bidi w:val="0"/>
              <w:rPr>
                <w:color w:val="auto"/>
                <w:highlight w:val="none"/>
              </w:rPr>
            </w:pPr>
            <w:r>
              <w:rPr>
                <w:rFonts w:hint="eastAsia"/>
                <w:color w:val="auto"/>
                <w:highlight w:val="none"/>
              </w:rPr>
              <w:t>道路净空要求如下：</w:t>
            </w:r>
          </w:p>
          <w:p>
            <w:pPr>
              <w:pStyle w:val="33"/>
              <w:bidi w:val="0"/>
              <w:rPr>
                <w:color w:val="auto"/>
                <w:highlight w:val="none"/>
              </w:rPr>
            </w:pPr>
            <w:r>
              <w:rPr>
                <w:rFonts w:hint="eastAsia"/>
                <w:color w:val="auto"/>
                <w:highlight w:val="none"/>
              </w:rPr>
              <w:t>机动车道净空≥5.5m。</w:t>
            </w:r>
          </w:p>
          <w:p>
            <w:pPr>
              <w:pStyle w:val="33"/>
              <w:bidi w:val="0"/>
              <w:rPr>
                <w:color w:val="auto"/>
                <w:highlight w:val="none"/>
              </w:rPr>
            </w:pPr>
            <w:r>
              <w:rPr>
                <w:rFonts w:hint="eastAsia"/>
                <w:color w:val="auto"/>
                <w:highlight w:val="none"/>
              </w:rPr>
              <w:t>主线纵断面设计技术指标：</w:t>
            </w:r>
          </w:p>
          <w:p>
            <w:pPr>
              <w:pStyle w:val="33"/>
              <w:bidi w:val="0"/>
              <w:rPr>
                <w:color w:val="auto"/>
                <w:highlight w:val="none"/>
              </w:rPr>
            </w:pPr>
            <w:r>
              <w:rPr>
                <w:rFonts w:hint="eastAsia"/>
                <w:color w:val="auto"/>
                <w:highlight w:val="none"/>
              </w:rPr>
              <w:t>纵断面设计技术指标：主线共设置5处变坡点，最大纵坡为2.984%，最小纵坡为0.045%，最小凸型竖曲线半径R=5000m，最小凹形竖曲线半径R=4100m。</w:t>
            </w:r>
          </w:p>
          <w:p>
            <w:pPr>
              <w:pStyle w:val="33"/>
              <w:bidi w:val="0"/>
              <w:rPr>
                <w:color w:val="auto"/>
                <w:highlight w:val="none"/>
              </w:rPr>
            </w:pPr>
            <w:r>
              <w:rPr>
                <w:rFonts w:hint="eastAsia"/>
                <w:color w:val="auto"/>
                <w:highlight w:val="none"/>
              </w:rPr>
              <w:t>两侧辅道最大纵坡为0.213%，最小纵坡为0.12%，最小凸型竖曲线半径R=35000m，最小凹形竖曲线半径R=59500m。</w:t>
            </w:r>
          </w:p>
          <w:bookmarkEnd w:id="11"/>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w:t>
            </w:r>
            <w:r>
              <w:rPr>
                <w:rFonts w:hint="eastAsia" w:ascii="Times New Roman" w:hAnsi="Times New Roman" w:eastAsia="宋体" w:cs="Times New Roman"/>
                <w:b/>
                <w:bCs/>
                <w:color w:val="auto"/>
                <w:highlight w:val="none"/>
                <w:lang w:val="en-US" w:eastAsia="zh-CN"/>
              </w:rPr>
              <w:t>2</w:t>
            </w:r>
            <w:r>
              <w:rPr>
                <w:rFonts w:hint="eastAsia" w:ascii="Times New Roman" w:hAnsi="Times New Roman" w:eastAsia="宋体" w:cs="Times New Roman"/>
                <w:b/>
                <w:bCs/>
                <w:color w:val="auto"/>
                <w:highlight w:val="none"/>
              </w:rPr>
              <w:t>）路基、路面</w:t>
            </w:r>
          </w:p>
          <w:p>
            <w:pPr>
              <w:pStyle w:val="33"/>
              <w:bidi w:val="0"/>
              <w:rPr>
                <w:color w:val="auto"/>
                <w:highlight w:val="none"/>
              </w:rPr>
            </w:pPr>
            <w:r>
              <w:rPr>
                <w:rFonts w:hint="eastAsia"/>
                <w:color w:val="auto"/>
                <w:highlight w:val="none"/>
                <w:lang w:val="en-US" w:eastAsia="zh-CN"/>
              </w:rPr>
              <w:t>1）</w:t>
            </w:r>
            <w:r>
              <w:rPr>
                <w:rFonts w:hint="eastAsia"/>
                <w:color w:val="auto"/>
                <w:highlight w:val="none"/>
              </w:rPr>
              <w:t>路基标准横断面</w:t>
            </w:r>
          </w:p>
          <w:p>
            <w:pPr>
              <w:pStyle w:val="33"/>
              <w:bidi w:val="0"/>
              <w:rPr>
                <w:color w:val="auto"/>
                <w:highlight w:val="none"/>
              </w:rPr>
            </w:pPr>
            <w:r>
              <w:rPr>
                <w:rFonts w:hint="eastAsia"/>
                <w:color w:val="auto"/>
                <w:highlight w:val="none"/>
                <w:lang w:eastAsia="zh-CN"/>
              </w:rPr>
              <w:t>①</w:t>
            </w:r>
            <w:r>
              <w:rPr>
                <w:rFonts w:hint="eastAsia"/>
                <w:color w:val="auto"/>
                <w:highlight w:val="none"/>
              </w:rPr>
              <w:t>新旧路基衔接处路基标准横断面</w:t>
            </w:r>
          </w:p>
          <w:p>
            <w:pPr>
              <w:pStyle w:val="33"/>
              <w:bidi w:val="0"/>
              <w:rPr>
                <w:rFonts w:hint="eastAsia"/>
                <w:color w:val="auto"/>
                <w:highlight w:val="none"/>
              </w:rPr>
            </w:pPr>
            <w:r>
              <w:rPr>
                <w:rFonts w:hint="eastAsia"/>
                <w:color w:val="auto"/>
                <w:highlight w:val="none"/>
              </w:rPr>
              <w:t>路基宽3</w:t>
            </w:r>
            <w:r>
              <w:rPr>
                <w:color w:val="auto"/>
                <w:highlight w:val="none"/>
              </w:rPr>
              <w:t>4.0</w:t>
            </w:r>
            <w:r>
              <w:rPr>
                <w:rFonts w:hint="eastAsia"/>
                <w:color w:val="auto"/>
                <w:highlight w:val="none"/>
              </w:rPr>
              <w:t>m，路面宽2</w:t>
            </w:r>
            <w:r>
              <w:rPr>
                <w:color w:val="auto"/>
                <w:highlight w:val="none"/>
              </w:rPr>
              <w:t>4</w:t>
            </w:r>
            <w:r>
              <w:rPr>
                <w:rFonts w:hint="eastAsia"/>
                <w:color w:val="auto"/>
                <w:highlight w:val="none"/>
              </w:rPr>
              <w:t>m，具体为：</w:t>
            </w:r>
            <w:r>
              <w:rPr>
                <w:color w:val="auto"/>
                <w:highlight w:val="none"/>
              </w:rPr>
              <w:t>1.5</w:t>
            </w:r>
            <w:r>
              <w:rPr>
                <w:rFonts w:hint="eastAsia"/>
                <w:color w:val="auto"/>
                <w:highlight w:val="none"/>
              </w:rPr>
              <w:t>m土路肩+</w:t>
            </w:r>
            <w:r>
              <w:rPr>
                <w:color w:val="auto"/>
                <w:highlight w:val="none"/>
              </w:rPr>
              <w:t>4.0</w:t>
            </w:r>
            <w:r>
              <w:rPr>
                <w:rFonts w:hint="eastAsia"/>
                <w:color w:val="auto"/>
                <w:highlight w:val="none"/>
              </w:rPr>
              <w:t>m硬路肩+</w:t>
            </w:r>
            <w:r>
              <w:rPr>
                <w:color w:val="auto"/>
                <w:highlight w:val="none"/>
              </w:rPr>
              <w:t>2</w:t>
            </w:r>
            <w:r>
              <w:rPr>
                <w:rFonts w:hint="eastAsia"/>
                <w:color w:val="auto"/>
                <w:highlight w:val="none"/>
              </w:rPr>
              <w:t>×</w:t>
            </w:r>
            <w:r>
              <w:rPr>
                <w:color w:val="auto"/>
                <w:highlight w:val="none"/>
              </w:rPr>
              <w:t>3.75</w:t>
            </w:r>
            <w:r>
              <w:rPr>
                <w:rFonts w:hint="eastAsia"/>
                <w:color w:val="auto"/>
                <w:highlight w:val="none"/>
              </w:rPr>
              <w:t>m行车道+</w:t>
            </w:r>
            <w:r>
              <w:rPr>
                <w:color w:val="auto"/>
                <w:highlight w:val="none"/>
              </w:rPr>
              <w:t>0.5</w:t>
            </w:r>
            <w:r>
              <w:rPr>
                <w:rFonts w:hint="eastAsia"/>
                <w:color w:val="auto"/>
                <w:highlight w:val="none"/>
              </w:rPr>
              <w:t>m路缘带+</w:t>
            </w:r>
            <w:r>
              <w:rPr>
                <w:color w:val="auto"/>
                <w:highlight w:val="none"/>
              </w:rPr>
              <w:t>7.0</w:t>
            </w:r>
            <w:r>
              <w:rPr>
                <w:rFonts w:hint="eastAsia"/>
                <w:color w:val="auto"/>
                <w:highlight w:val="none"/>
              </w:rPr>
              <w:t>m中央分隔带+</w:t>
            </w:r>
            <w:r>
              <w:rPr>
                <w:color w:val="auto"/>
                <w:highlight w:val="none"/>
              </w:rPr>
              <w:t>0.5</w:t>
            </w:r>
            <w:r>
              <w:rPr>
                <w:rFonts w:hint="eastAsia"/>
                <w:color w:val="auto"/>
                <w:highlight w:val="none"/>
              </w:rPr>
              <w:t>m路缘带+</w:t>
            </w:r>
            <w:r>
              <w:rPr>
                <w:color w:val="auto"/>
                <w:highlight w:val="none"/>
              </w:rPr>
              <w:t>2</w:t>
            </w:r>
            <w:r>
              <w:rPr>
                <w:rFonts w:hint="eastAsia"/>
                <w:color w:val="auto"/>
                <w:highlight w:val="none"/>
              </w:rPr>
              <w:t>×</w:t>
            </w:r>
            <w:r>
              <w:rPr>
                <w:color w:val="auto"/>
                <w:highlight w:val="none"/>
              </w:rPr>
              <w:t>3.75</w:t>
            </w:r>
            <w:r>
              <w:rPr>
                <w:rFonts w:hint="eastAsia"/>
                <w:color w:val="auto"/>
                <w:highlight w:val="none"/>
              </w:rPr>
              <w:t>m行车道+</w:t>
            </w:r>
            <w:r>
              <w:rPr>
                <w:color w:val="auto"/>
                <w:highlight w:val="none"/>
              </w:rPr>
              <w:t>4.0</w:t>
            </w:r>
            <w:r>
              <w:rPr>
                <w:rFonts w:hint="eastAsia"/>
                <w:color w:val="auto"/>
                <w:highlight w:val="none"/>
              </w:rPr>
              <w:t>m硬路肩+</w:t>
            </w:r>
            <w:r>
              <w:rPr>
                <w:color w:val="auto"/>
                <w:highlight w:val="none"/>
              </w:rPr>
              <w:t>1.5</w:t>
            </w:r>
            <w:r>
              <w:rPr>
                <w:rFonts w:hint="eastAsia"/>
                <w:color w:val="auto"/>
                <w:highlight w:val="none"/>
              </w:rPr>
              <w:t>m土路肩。</w:t>
            </w:r>
          </w:p>
          <w:p>
            <w:pPr>
              <w:pStyle w:val="41"/>
              <w:bidi w:val="0"/>
              <w:rPr>
                <w:rFonts w:hint="eastAsia"/>
                <w:color w:val="auto"/>
                <w:highlight w:val="none"/>
              </w:rPr>
            </w:pPr>
            <w:r>
              <w:rPr>
                <w:color w:val="auto"/>
                <w:highlight w:val="none"/>
              </w:rPr>
              <w:drawing>
                <wp:inline distT="0" distB="0" distL="114300" distR="114300">
                  <wp:extent cx="5406390" cy="2021205"/>
                  <wp:effectExtent l="0" t="0" r="3810" b="17145"/>
                  <wp:docPr id="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pic:cNvPicPr>
                            <a:picLocks noChangeAspect="1"/>
                          </pic:cNvPicPr>
                        </pic:nvPicPr>
                        <pic:blipFill>
                          <a:blip r:embed="rId12"/>
                          <a:stretch>
                            <a:fillRect/>
                          </a:stretch>
                        </pic:blipFill>
                        <pic:spPr>
                          <a:xfrm>
                            <a:off x="0" y="0"/>
                            <a:ext cx="5406390" cy="2021205"/>
                          </a:xfrm>
                          <a:prstGeom prst="rect">
                            <a:avLst/>
                          </a:prstGeom>
                          <a:noFill/>
                          <a:ln>
                            <a:noFill/>
                          </a:ln>
                        </pic:spPr>
                      </pic:pic>
                    </a:graphicData>
                  </a:graphic>
                </wp:inline>
              </w:drawing>
            </w:r>
          </w:p>
          <w:p>
            <w:pPr>
              <w:pStyle w:val="41"/>
              <w:numPr>
                <w:ilvl w:val="0"/>
                <w:numId w:val="9"/>
              </w:numPr>
              <w:tabs>
                <w:tab w:val="left" w:pos="0"/>
                <w:tab w:val="clear" w:pos="420"/>
              </w:tabs>
              <w:bidi w:val="0"/>
              <w:ind w:left="425" w:leftChars="0" w:hanging="425"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新旧路基衔接处路基标准横断面（cm）</w:t>
            </w:r>
          </w:p>
          <w:p>
            <w:pPr>
              <w:pStyle w:val="33"/>
              <w:bidi w:val="0"/>
              <w:rPr>
                <w:color w:val="auto"/>
                <w:highlight w:val="none"/>
              </w:rPr>
            </w:pPr>
            <w:r>
              <w:rPr>
                <w:rFonts w:hint="eastAsia"/>
                <w:color w:val="auto"/>
                <w:highlight w:val="none"/>
                <w:lang w:eastAsia="zh-CN"/>
              </w:rPr>
              <w:t>②</w:t>
            </w:r>
            <w:r>
              <w:rPr>
                <w:rFonts w:hint="eastAsia"/>
                <w:color w:val="auto"/>
                <w:highlight w:val="none"/>
              </w:rPr>
              <w:t>跨线桥路段路基标准横断面</w:t>
            </w:r>
          </w:p>
          <w:p>
            <w:pPr>
              <w:pStyle w:val="33"/>
              <w:bidi w:val="0"/>
              <w:rPr>
                <w:rFonts w:hint="eastAsia"/>
                <w:color w:val="auto"/>
                <w:highlight w:val="none"/>
              </w:rPr>
            </w:pPr>
            <w:r>
              <w:rPr>
                <w:rFonts w:hint="eastAsia"/>
                <w:color w:val="auto"/>
                <w:highlight w:val="none"/>
              </w:rPr>
              <w:t>路基总宽5</w:t>
            </w:r>
            <w:r>
              <w:rPr>
                <w:color w:val="auto"/>
                <w:highlight w:val="none"/>
              </w:rPr>
              <w:t>2.0</w:t>
            </w:r>
            <w:r>
              <w:rPr>
                <w:rFonts w:hint="eastAsia"/>
                <w:color w:val="auto"/>
                <w:highlight w:val="none"/>
              </w:rPr>
              <w:t>m，具体为：</w:t>
            </w:r>
            <w:r>
              <w:rPr>
                <w:color w:val="auto"/>
                <w:highlight w:val="none"/>
              </w:rPr>
              <w:t>1.5</w:t>
            </w:r>
            <w:r>
              <w:rPr>
                <w:rFonts w:hint="eastAsia"/>
                <w:color w:val="auto"/>
                <w:highlight w:val="none"/>
              </w:rPr>
              <w:t>m土路肩+</w:t>
            </w:r>
            <w:r>
              <w:rPr>
                <w:color w:val="auto"/>
                <w:highlight w:val="none"/>
              </w:rPr>
              <w:t>3.0</w:t>
            </w:r>
            <w:r>
              <w:rPr>
                <w:rFonts w:hint="eastAsia"/>
                <w:color w:val="auto"/>
                <w:highlight w:val="none"/>
              </w:rPr>
              <w:t>m硬路肩+</w:t>
            </w:r>
            <w:r>
              <w:rPr>
                <w:color w:val="auto"/>
                <w:highlight w:val="none"/>
              </w:rPr>
              <w:t>2</w:t>
            </w:r>
            <w:r>
              <w:rPr>
                <w:rFonts w:hint="eastAsia"/>
                <w:color w:val="auto"/>
                <w:highlight w:val="none"/>
              </w:rPr>
              <w:t>×</w:t>
            </w:r>
            <w:r>
              <w:rPr>
                <w:color w:val="auto"/>
                <w:highlight w:val="none"/>
              </w:rPr>
              <w:t>3.5</w:t>
            </w:r>
            <w:r>
              <w:rPr>
                <w:rFonts w:hint="eastAsia"/>
                <w:color w:val="auto"/>
                <w:highlight w:val="none"/>
              </w:rPr>
              <w:t>m行车道+</w:t>
            </w:r>
            <w:r>
              <w:rPr>
                <w:color w:val="auto"/>
                <w:highlight w:val="none"/>
              </w:rPr>
              <w:t>1.0</w:t>
            </w:r>
            <w:r>
              <w:rPr>
                <w:rFonts w:hint="eastAsia"/>
                <w:color w:val="auto"/>
                <w:highlight w:val="none"/>
              </w:rPr>
              <w:t>m左侧硬路肩+</w:t>
            </w:r>
            <w:r>
              <w:rPr>
                <w:color w:val="auto"/>
                <w:highlight w:val="none"/>
              </w:rPr>
              <w:t>1.5</w:t>
            </w:r>
            <w:r>
              <w:rPr>
                <w:rFonts w:hint="eastAsia"/>
                <w:color w:val="auto"/>
                <w:highlight w:val="none"/>
              </w:rPr>
              <w:t>m设施带+</w:t>
            </w:r>
            <w:r>
              <w:rPr>
                <w:color w:val="auto"/>
                <w:highlight w:val="none"/>
              </w:rPr>
              <w:t>0.5</w:t>
            </w:r>
            <w:r>
              <w:rPr>
                <w:rFonts w:hint="eastAsia"/>
                <w:color w:val="auto"/>
                <w:highlight w:val="none"/>
              </w:rPr>
              <w:t>m土路肩+</w:t>
            </w:r>
            <w:r>
              <w:rPr>
                <w:color w:val="auto"/>
                <w:highlight w:val="none"/>
              </w:rPr>
              <w:t>2.5</w:t>
            </w:r>
            <w:r>
              <w:rPr>
                <w:rFonts w:hint="eastAsia"/>
                <w:color w:val="auto"/>
                <w:highlight w:val="none"/>
              </w:rPr>
              <w:t>m硬路肩+</w:t>
            </w:r>
            <w:r>
              <w:rPr>
                <w:color w:val="auto"/>
                <w:highlight w:val="none"/>
              </w:rPr>
              <w:t>2</w:t>
            </w:r>
            <w:r>
              <w:rPr>
                <w:rFonts w:hint="eastAsia"/>
                <w:color w:val="auto"/>
                <w:highlight w:val="none"/>
              </w:rPr>
              <w:t>×</w:t>
            </w:r>
            <w:r>
              <w:rPr>
                <w:color w:val="auto"/>
                <w:highlight w:val="none"/>
              </w:rPr>
              <w:t>3.75</w:t>
            </w:r>
            <w:r>
              <w:rPr>
                <w:rFonts w:hint="eastAsia"/>
                <w:color w:val="auto"/>
                <w:highlight w:val="none"/>
              </w:rPr>
              <w:t>m行车道+</w:t>
            </w:r>
            <w:r>
              <w:rPr>
                <w:color w:val="auto"/>
                <w:highlight w:val="none"/>
              </w:rPr>
              <w:t>0.5</w:t>
            </w:r>
            <w:r>
              <w:rPr>
                <w:rFonts w:hint="eastAsia"/>
                <w:color w:val="auto"/>
                <w:highlight w:val="none"/>
              </w:rPr>
              <w:t>m路缘带+</w:t>
            </w:r>
            <w:r>
              <w:rPr>
                <w:color w:val="auto"/>
                <w:highlight w:val="none"/>
              </w:rPr>
              <w:t>2.0</w:t>
            </w:r>
            <w:r>
              <w:rPr>
                <w:rFonts w:hint="eastAsia"/>
                <w:color w:val="auto"/>
                <w:highlight w:val="none"/>
              </w:rPr>
              <w:t>m中央分隔带+</w:t>
            </w:r>
            <w:r>
              <w:rPr>
                <w:color w:val="auto"/>
                <w:highlight w:val="none"/>
              </w:rPr>
              <w:t>0.5</w:t>
            </w:r>
            <w:r>
              <w:rPr>
                <w:rFonts w:hint="eastAsia"/>
                <w:color w:val="auto"/>
                <w:highlight w:val="none"/>
              </w:rPr>
              <w:t>m路缘带+</w:t>
            </w:r>
            <w:r>
              <w:rPr>
                <w:color w:val="auto"/>
                <w:highlight w:val="none"/>
              </w:rPr>
              <w:t>2</w:t>
            </w:r>
            <w:r>
              <w:rPr>
                <w:rFonts w:hint="eastAsia"/>
                <w:color w:val="auto"/>
                <w:highlight w:val="none"/>
              </w:rPr>
              <w:t>×</w:t>
            </w:r>
            <w:r>
              <w:rPr>
                <w:color w:val="auto"/>
                <w:highlight w:val="none"/>
              </w:rPr>
              <w:t>3.75</w:t>
            </w:r>
            <w:r>
              <w:rPr>
                <w:rFonts w:hint="eastAsia"/>
                <w:color w:val="auto"/>
                <w:highlight w:val="none"/>
              </w:rPr>
              <w:t>m行车道+</w:t>
            </w:r>
            <w:r>
              <w:rPr>
                <w:color w:val="auto"/>
                <w:highlight w:val="none"/>
              </w:rPr>
              <w:t>2.5</w:t>
            </w:r>
            <w:r>
              <w:rPr>
                <w:rFonts w:hint="eastAsia"/>
                <w:color w:val="auto"/>
                <w:highlight w:val="none"/>
              </w:rPr>
              <w:t>m硬路肩+</w:t>
            </w:r>
            <w:r>
              <w:rPr>
                <w:color w:val="auto"/>
                <w:highlight w:val="none"/>
              </w:rPr>
              <w:t>0.5</w:t>
            </w:r>
            <w:r>
              <w:rPr>
                <w:rFonts w:hint="eastAsia"/>
                <w:color w:val="auto"/>
                <w:highlight w:val="none"/>
              </w:rPr>
              <w:t>m土路肩+</w:t>
            </w:r>
            <w:r>
              <w:rPr>
                <w:color w:val="auto"/>
                <w:highlight w:val="none"/>
              </w:rPr>
              <w:t>1.5</w:t>
            </w:r>
            <w:r>
              <w:rPr>
                <w:rFonts w:hint="eastAsia"/>
                <w:color w:val="auto"/>
                <w:highlight w:val="none"/>
              </w:rPr>
              <w:t>m设施带+</w:t>
            </w:r>
            <w:r>
              <w:rPr>
                <w:color w:val="auto"/>
                <w:highlight w:val="none"/>
              </w:rPr>
              <w:t>1.0</w:t>
            </w:r>
            <w:r>
              <w:rPr>
                <w:rFonts w:hint="eastAsia"/>
                <w:color w:val="auto"/>
                <w:highlight w:val="none"/>
              </w:rPr>
              <w:t>m左侧硬路肩+</w:t>
            </w:r>
            <w:r>
              <w:rPr>
                <w:color w:val="auto"/>
                <w:highlight w:val="none"/>
              </w:rPr>
              <w:t>2</w:t>
            </w:r>
            <w:r>
              <w:rPr>
                <w:rFonts w:hint="eastAsia"/>
                <w:color w:val="auto"/>
                <w:highlight w:val="none"/>
              </w:rPr>
              <w:t>×</w:t>
            </w:r>
            <w:r>
              <w:rPr>
                <w:color w:val="auto"/>
                <w:highlight w:val="none"/>
              </w:rPr>
              <w:t>3.5</w:t>
            </w:r>
            <w:r>
              <w:rPr>
                <w:rFonts w:hint="eastAsia"/>
                <w:color w:val="auto"/>
                <w:highlight w:val="none"/>
              </w:rPr>
              <w:t>m行车道+</w:t>
            </w:r>
            <w:r>
              <w:rPr>
                <w:color w:val="auto"/>
                <w:highlight w:val="none"/>
              </w:rPr>
              <w:t>3.0</w:t>
            </w:r>
            <w:r>
              <w:rPr>
                <w:rFonts w:hint="eastAsia"/>
                <w:color w:val="auto"/>
                <w:highlight w:val="none"/>
              </w:rPr>
              <w:t>m硬路肩+</w:t>
            </w:r>
            <w:r>
              <w:rPr>
                <w:color w:val="auto"/>
                <w:highlight w:val="none"/>
              </w:rPr>
              <w:t>1.5</w:t>
            </w:r>
            <w:r>
              <w:rPr>
                <w:rFonts w:hint="eastAsia"/>
                <w:color w:val="auto"/>
                <w:highlight w:val="none"/>
              </w:rPr>
              <w:t>m土路肩。</w:t>
            </w:r>
          </w:p>
          <w:p>
            <w:pPr>
              <w:pStyle w:val="3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color w:val="auto"/>
                <w:highlight w:val="none"/>
              </w:rPr>
            </w:pPr>
            <w:r>
              <w:rPr>
                <w:color w:val="auto"/>
                <w:highlight w:val="none"/>
              </w:rPr>
              <w:drawing>
                <wp:inline distT="0" distB="0" distL="114300" distR="114300">
                  <wp:extent cx="5420995" cy="2514600"/>
                  <wp:effectExtent l="0" t="0" r="8255" b="0"/>
                  <wp:docPr id="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pic:cNvPicPr>
                            <a:picLocks noChangeAspect="1"/>
                          </pic:cNvPicPr>
                        </pic:nvPicPr>
                        <pic:blipFill>
                          <a:blip r:embed="rId13"/>
                          <a:stretch>
                            <a:fillRect/>
                          </a:stretch>
                        </pic:blipFill>
                        <pic:spPr>
                          <a:xfrm>
                            <a:off x="0" y="0"/>
                            <a:ext cx="5420995" cy="2514600"/>
                          </a:xfrm>
                          <a:prstGeom prst="rect">
                            <a:avLst/>
                          </a:prstGeom>
                          <a:noFill/>
                          <a:ln>
                            <a:noFill/>
                          </a:ln>
                        </pic:spPr>
                      </pic:pic>
                    </a:graphicData>
                  </a:graphic>
                </wp:inline>
              </w:drawing>
            </w:r>
          </w:p>
          <w:p>
            <w:pPr>
              <w:pStyle w:val="41"/>
              <w:numPr>
                <w:ilvl w:val="0"/>
                <w:numId w:val="9"/>
              </w:numPr>
              <w:tabs>
                <w:tab w:val="left" w:pos="0"/>
                <w:tab w:val="clear" w:pos="420"/>
              </w:tabs>
              <w:bidi w:val="0"/>
              <w:ind w:left="425" w:leftChars="0" w:hanging="425"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跨线桥路段路基标准横断面（cm）</w:t>
            </w:r>
          </w:p>
          <w:p>
            <w:pPr>
              <w:pStyle w:val="33"/>
              <w:bidi w:val="0"/>
              <w:rPr>
                <w:color w:val="auto"/>
                <w:highlight w:val="none"/>
              </w:rPr>
            </w:pPr>
            <w:r>
              <w:rPr>
                <w:rFonts w:hint="eastAsia"/>
                <w:color w:val="auto"/>
                <w:highlight w:val="none"/>
                <w:lang w:val="en-US" w:eastAsia="zh-CN"/>
              </w:rPr>
              <w:t>2）</w:t>
            </w:r>
            <w:r>
              <w:rPr>
                <w:rFonts w:hint="eastAsia"/>
                <w:color w:val="auto"/>
                <w:highlight w:val="none"/>
              </w:rPr>
              <w:t>路拱横坡</w:t>
            </w:r>
          </w:p>
          <w:p>
            <w:pPr>
              <w:pStyle w:val="33"/>
              <w:bidi w:val="0"/>
              <w:rPr>
                <w:color w:val="auto"/>
                <w:highlight w:val="none"/>
              </w:rPr>
            </w:pPr>
            <w:r>
              <w:rPr>
                <w:rFonts w:hint="eastAsia"/>
                <w:color w:val="auto"/>
                <w:highlight w:val="none"/>
              </w:rPr>
              <w:t>一般路段的行车道和硬路肩采用2％的路拱横坡，土路肩横坡为3％。</w:t>
            </w:r>
          </w:p>
          <w:p>
            <w:pPr>
              <w:pStyle w:val="33"/>
              <w:bidi w:val="0"/>
              <w:rPr>
                <w:color w:val="auto"/>
                <w:highlight w:val="none"/>
              </w:rPr>
            </w:pPr>
            <w:r>
              <w:rPr>
                <w:rFonts w:hint="eastAsia"/>
                <w:color w:val="auto"/>
                <w:highlight w:val="none"/>
                <w:lang w:val="en-US" w:eastAsia="zh-CN"/>
              </w:rPr>
              <w:t>3）</w:t>
            </w:r>
            <w:r>
              <w:rPr>
                <w:rFonts w:hint="eastAsia"/>
                <w:color w:val="auto"/>
                <w:highlight w:val="none"/>
              </w:rPr>
              <w:t>超高、加宽</w:t>
            </w:r>
          </w:p>
          <w:p>
            <w:pPr>
              <w:pStyle w:val="33"/>
              <w:bidi w:val="0"/>
              <w:rPr>
                <w:color w:val="auto"/>
                <w:highlight w:val="none"/>
              </w:rPr>
            </w:pPr>
            <w:r>
              <w:rPr>
                <w:rFonts w:hint="eastAsia"/>
                <w:color w:val="auto"/>
                <w:highlight w:val="none"/>
                <w:lang w:eastAsia="zh-CN"/>
              </w:rPr>
              <w:t>①</w:t>
            </w:r>
            <w:r>
              <w:rPr>
                <w:rFonts w:hint="eastAsia"/>
                <w:color w:val="auto"/>
                <w:highlight w:val="none"/>
              </w:rPr>
              <w:t>超高方式</w:t>
            </w:r>
          </w:p>
          <w:p>
            <w:pPr>
              <w:pStyle w:val="33"/>
              <w:bidi w:val="0"/>
              <w:rPr>
                <w:color w:val="auto"/>
                <w:highlight w:val="none"/>
              </w:rPr>
            </w:pPr>
            <w:r>
              <w:rPr>
                <w:rFonts w:hint="eastAsia"/>
                <w:color w:val="auto"/>
                <w:highlight w:val="none"/>
              </w:rPr>
              <w:t>本次道路设计范围最小半径6</w:t>
            </w:r>
            <w:r>
              <w:rPr>
                <w:color w:val="auto"/>
                <w:highlight w:val="none"/>
              </w:rPr>
              <w:t>50</w:t>
            </w:r>
            <w:r>
              <w:rPr>
                <w:rFonts w:hint="eastAsia"/>
                <w:color w:val="auto"/>
                <w:highlight w:val="none"/>
              </w:rPr>
              <w:t>m，本次路线设计范围不存在超高，超高设计与现状一致。</w:t>
            </w:r>
          </w:p>
          <w:p>
            <w:pPr>
              <w:pStyle w:val="33"/>
              <w:bidi w:val="0"/>
              <w:rPr>
                <w:color w:val="auto"/>
                <w:highlight w:val="none"/>
              </w:rPr>
            </w:pPr>
            <w:r>
              <w:rPr>
                <w:rFonts w:hint="eastAsia"/>
                <w:color w:val="auto"/>
                <w:highlight w:val="none"/>
                <w:lang w:eastAsia="zh-CN"/>
              </w:rPr>
              <w:t>②</w:t>
            </w:r>
            <w:r>
              <w:rPr>
                <w:rFonts w:hint="eastAsia"/>
                <w:color w:val="auto"/>
                <w:highlight w:val="none"/>
              </w:rPr>
              <w:t>路基加宽</w:t>
            </w:r>
          </w:p>
          <w:p>
            <w:pPr>
              <w:pStyle w:val="33"/>
              <w:bidi w:val="0"/>
              <w:rPr>
                <w:color w:val="auto"/>
                <w:highlight w:val="none"/>
              </w:rPr>
            </w:pPr>
            <w:r>
              <w:rPr>
                <w:color w:val="auto"/>
                <w:highlight w:val="none"/>
              </w:rPr>
              <w:t>全线平曲线半径均大于规范要求设置加宽的曲线半径，故全线不设加宽。</w:t>
            </w:r>
          </w:p>
          <w:p>
            <w:pPr>
              <w:pStyle w:val="33"/>
              <w:bidi w:val="0"/>
              <w:rPr>
                <w:color w:val="auto"/>
                <w:highlight w:val="none"/>
              </w:rPr>
            </w:pPr>
            <w:r>
              <w:rPr>
                <w:rFonts w:hint="eastAsia"/>
                <w:color w:val="auto"/>
                <w:highlight w:val="none"/>
                <w:lang w:val="en-US" w:eastAsia="zh-CN"/>
              </w:rPr>
              <w:t>4）</w:t>
            </w:r>
            <w:r>
              <w:rPr>
                <w:rFonts w:hint="eastAsia"/>
                <w:color w:val="auto"/>
                <w:highlight w:val="none"/>
              </w:rPr>
              <w:t>中央分隔带及中央分隔带开口</w:t>
            </w:r>
          </w:p>
          <w:p>
            <w:pPr>
              <w:pStyle w:val="33"/>
              <w:bidi w:val="0"/>
              <w:rPr>
                <w:color w:val="auto"/>
                <w:highlight w:val="none"/>
              </w:rPr>
            </w:pPr>
            <w:r>
              <w:rPr>
                <w:rFonts w:hint="eastAsia"/>
                <w:color w:val="auto"/>
                <w:highlight w:val="none"/>
                <w:lang w:eastAsia="zh-CN"/>
              </w:rPr>
              <w:t>①</w:t>
            </w:r>
            <w:r>
              <w:rPr>
                <w:rFonts w:hint="eastAsia"/>
                <w:color w:val="auto"/>
                <w:highlight w:val="none"/>
              </w:rPr>
              <w:t>中央分隔带一般段宽度为2m，内部种植绿化</w:t>
            </w:r>
            <w:r>
              <w:rPr>
                <w:color w:val="auto"/>
                <w:highlight w:val="none"/>
              </w:rPr>
              <w:t>。</w:t>
            </w:r>
          </w:p>
          <w:p>
            <w:pPr>
              <w:pStyle w:val="33"/>
              <w:bidi w:val="0"/>
              <w:rPr>
                <w:color w:val="auto"/>
                <w:highlight w:val="none"/>
              </w:rPr>
            </w:pPr>
            <w:r>
              <w:rPr>
                <w:rFonts w:hint="eastAsia"/>
                <w:color w:val="auto"/>
                <w:highlight w:val="none"/>
                <w:lang w:eastAsia="zh-CN"/>
              </w:rPr>
              <w:t>②</w:t>
            </w:r>
            <w:r>
              <w:rPr>
                <w:rFonts w:hint="eastAsia"/>
                <w:color w:val="auto"/>
                <w:highlight w:val="none"/>
              </w:rPr>
              <w:t>本路段未设置</w:t>
            </w:r>
            <w:r>
              <w:rPr>
                <w:color w:val="auto"/>
                <w:highlight w:val="none"/>
              </w:rPr>
              <w:t>中央分隔带开口。</w:t>
            </w:r>
          </w:p>
          <w:p>
            <w:pPr>
              <w:pStyle w:val="33"/>
              <w:bidi w:val="0"/>
              <w:rPr>
                <w:color w:val="auto"/>
                <w:highlight w:val="none"/>
              </w:rPr>
            </w:pPr>
            <w:r>
              <w:rPr>
                <w:rFonts w:hint="eastAsia"/>
                <w:color w:val="auto"/>
                <w:highlight w:val="none"/>
                <w:lang w:val="en-US" w:eastAsia="zh-CN"/>
              </w:rPr>
              <w:t>5）</w:t>
            </w:r>
            <w:r>
              <w:rPr>
                <w:rFonts w:hint="eastAsia"/>
                <w:color w:val="auto"/>
                <w:highlight w:val="none"/>
              </w:rPr>
              <w:t>防护、排水设计</w:t>
            </w:r>
          </w:p>
          <w:p>
            <w:pPr>
              <w:pStyle w:val="33"/>
              <w:bidi w:val="0"/>
              <w:rPr>
                <w:color w:val="auto"/>
                <w:highlight w:val="none"/>
              </w:rPr>
            </w:pPr>
            <w:r>
              <w:rPr>
                <w:rFonts w:hint="eastAsia"/>
                <w:color w:val="auto"/>
                <w:highlight w:val="none"/>
              </w:rPr>
              <w:t>从高架桥落地段起至高架桥引道终点，在高架桥引道与辅道的高差</w:t>
            </w:r>
            <w:r>
              <w:rPr>
                <w:color w:val="auto"/>
                <w:highlight w:val="none"/>
              </w:rPr>
              <w:t>过渡段</w:t>
            </w:r>
            <w:r>
              <w:rPr>
                <w:rFonts w:hint="eastAsia"/>
                <w:color w:val="auto"/>
                <w:highlight w:val="none"/>
              </w:rPr>
              <w:t>，为了最大限度减少影响，根据实际情况</w:t>
            </w:r>
            <w:r>
              <w:rPr>
                <w:color w:val="auto"/>
                <w:highlight w:val="none"/>
              </w:rPr>
              <w:t>采用</w:t>
            </w:r>
            <w:r>
              <w:rPr>
                <w:rFonts w:hint="eastAsia"/>
                <w:color w:val="auto"/>
                <w:highlight w:val="none"/>
              </w:rPr>
              <w:t>扶壁式挡墙和悬臂式挡墙进行收坡。</w:t>
            </w:r>
          </w:p>
          <w:p>
            <w:pPr>
              <w:pStyle w:val="33"/>
              <w:bidi w:val="0"/>
              <w:rPr>
                <w:color w:val="auto"/>
                <w:highlight w:val="none"/>
              </w:rPr>
            </w:pPr>
            <w:r>
              <w:rPr>
                <w:rFonts w:hint="eastAsia"/>
                <w:color w:val="auto"/>
                <w:highlight w:val="none"/>
              </w:rPr>
              <w:t>当机动车道</w:t>
            </w:r>
            <w:r>
              <w:rPr>
                <w:color w:val="auto"/>
                <w:highlight w:val="none"/>
              </w:rPr>
              <w:t>与辅道、</w:t>
            </w:r>
            <w:r>
              <w:rPr>
                <w:rFonts w:hint="eastAsia"/>
                <w:color w:val="auto"/>
                <w:highlight w:val="none"/>
              </w:rPr>
              <w:t>机动车道</w:t>
            </w:r>
            <w:r>
              <w:rPr>
                <w:color w:val="auto"/>
                <w:highlight w:val="none"/>
              </w:rPr>
              <w:t>与匝道</w:t>
            </w:r>
            <w:r>
              <w:rPr>
                <w:rFonts w:hint="eastAsia"/>
                <w:color w:val="auto"/>
                <w:highlight w:val="none"/>
              </w:rPr>
              <w:t>及</w:t>
            </w:r>
            <w:r>
              <w:rPr>
                <w:color w:val="auto"/>
                <w:highlight w:val="none"/>
              </w:rPr>
              <w:t>匝道与辅道</w:t>
            </w:r>
            <w:r>
              <w:rPr>
                <w:rFonts w:hint="eastAsia"/>
                <w:color w:val="auto"/>
                <w:highlight w:val="none"/>
              </w:rPr>
              <w:t>之间</w:t>
            </w:r>
            <w:r>
              <w:rPr>
                <w:color w:val="auto"/>
                <w:highlight w:val="none"/>
              </w:rPr>
              <w:t>的高差小于4.0</w:t>
            </w:r>
            <w:r>
              <w:rPr>
                <w:rFonts w:hint="eastAsia"/>
                <w:color w:val="auto"/>
                <w:highlight w:val="none"/>
              </w:rPr>
              <w:t>m的</w:t>
            </w:r>
            <w:r>
              <w:rPr>
                <w:color w:val="auto"/>
                <w:highlight w:val="none"/>
              </w:rPr>
              <w:t>路段设置</w:t>
            </w:r>
            <w:r>
              <w:rPr>
                <w:rFonts w:hint="eastAsia"/>
                <w:color w:val="auto"/>
                <w:highlight w:val="none"/>
              </w:rPr>
              <w:t>悬臂式挡墙收坡</w:t>
            </w:r>
            <w:r>
              <w:rPr>
                <w:color w:val="auto"/>
                <w:highlight w:val="none"/>
              </w:rPr>
              <w:t>；当高差大于4m的路段</w:t>
            </w:r>
            <w:r>
              <w:rPr>
                <w:rFonts w:hint="eastAsia"/>
                <w:color w:val="auto"/>
                <w:highlight w:val="none"/>
              </w:rPr>
              <w:t>设置</w:t>
            </w:r>
            <w:r>
              <w:rPr>
                <w:color w:val="auto"/>
                <w:highlight w:val="none"/>
              </w:rPr>
              <w:t>扶壁式挡墙</w:t>
            </w:r>
            <w:r>
              <w:rPr>
                <w:rFonts w:hint="eastAsia"/>
                <w:color w:val="auto"/>
                <w:highlight w:val="none"/>
              </w:rPr>
              <w:t>收坡</w:t>
            </w:r>
            <w:r>
              <w:rPr>
                <w:color w:val="auto"/>
                <w:highlight w:val="none"/>
              </w:rPr>
              <w:t>。</w:t>
            </w:r>
          </w:p>
          <w:p>
            <w:pPr>
              <w:pStyle w:val="33"/>
              <w:bidi w:val="0"/>
              <w:rPr>
                <w:color w:val="auto"/>
                <w:highlight w:val="none"/>
              </w:rPr>
            </w:pPr>
            <w:r>
              <w:rPr>
                <w:rFonts w:hint="eastAsia"/>
                <w:color w:val="auto"/>
                <w:highlight w:val="none"/>
                <w:lang w:val="en-US" w:eastAsia="zh-CN"/>
              </w:rPr>
              <w:t>6）</w:t>
            </w:r>
            <w:r>
              <w:rPr>
                <w:rFonts w:hint="eastAsia"/>
                <w:color w:val="auto"/>
                <w:highlight w:val="none"/>
              </w:rPr>
              <w:t>路基处理</w:t>
            </w:r>
          </w:p>
          <w:p>
            <w:pPr>
              <w:pStyle w:val="33"/>
              <w:bidi w:val="0"/>
              <w:rPr>
                <w:color w:val="auto"/>
                <w:highlight w:val="none"/>
              </w:rPr>
            </w:pPr>
            <w:r>
              <w:rPr>
                <w:rFonts w:hint="eastAsia"/>
                <w:color w:val="auto"/>
                <w:highlight w:val="none"/>
                <w:lang w:eastAsia="zh-CN"/>
              </w:rPr>
              <w:t>①</w:t>
            </w:r>
            <w:r>
              <w:rPr>
                <w:rFonts w:hint="eastAsia"/>
                <w:color w:val="auto"/>
                <w:highlight w:val="none"/>
              </w:rPr>
              <w:t>旧路绿化带</w:t>
            </w:r>
          </w:p>
          <w:p>
            <w:pPr>
              <w:pStyle w:val="33"/>
              <w:bidi w:val="0"/>
              <w:rPr>
                <w:color w:val="auto"/>
                <w:highlight w:val="none"/>
              </w:rPr>
            </w:pPr>
            <w:r>
              <w:rPr>
                <w:rFonts w:hint="eastAsia"/>
                <w:color w:val="auto"/>
                <w:highlight w:val="none"/>
              </w:rPr>
              <w:t>对旧路绿化带路槽底进行超挖，保证路床</w:t>
            </w:r>
            <w:r>
              <w:rPr>
                <w:color w:val="auto"/>
                <w:highlight w:val="none"/>
              </w:rPr>
              <w:t>1.5m</w:t>
            </w:r>
            <w:r>
              <w:rPr>
                <w:rFonts w:hint="eastAsia"/>
                <w:color w:val="auto"/>
                <w:highlight w:val="none"/>
              </w:rPr>
              <w:t>范围内换填山皮石。</w:t>
            </w:r>
          </w:p>
          <w:p>
            <w:pPr>
              <w:pStyle w:val="33"/>
              <w:bidi w:val="0"/>
              <w:rPr>
                <w:color w:val="auto"/>
                <w:highlight w:val="none"/>
              </w:rPr>
            </w:pPr>
            <w:r>
              <w:rPr>
                <w:rFonts w:hint="eastAsia"/>
                <w:color w:val="auto"/>
                <w:highlight w:val="none"/>
                <w:lang w:eastAsia="zh-CN"/>
              </w:rPr>
              <w:t>②</w:t>
            </w:r>
            <w:r>
              <w:rPr>
                <w:rFonts w:hint="eastAsia"/>
                <w:color w:val="auto"/>
                <w:highlight w:val="none"/>
              </w:rPr>
              <w:t>旧路边坡</w:t>
            </w:r>
          </w:p>
          <w:p>
            <w:pPr>
              <w:pStyle w:val="33"/>
              <w:bidi w:val="0"/>
              <w:rPr>
                <w:color w:val="auto"/>
                <w:highlight w:val="none"/>
              </w:rPr>
            </w:pPr>
            <w:r>
              <w:rPr>
                <w:rFonts w:hint="eastAsia"/>
                <w:color w:val="auto"/>
                <w:highlight w:val="none"/>
              </w:rPr>
              <w:t>对路床下高于1m的旧路边坡进行开台阶处理。</w:t>
            </w:r>
          </w:p>
          <w:p>
            <w:pPr>
              <w:pStyle w:val="33"/>
              <w:bidi w:val="0"/>
              <w:rPr>
                <w:color w:val="auto"/>
                <w:highlight w:val="none"/>
              </w:rPr>
            </w:pPr>
            <w:r>
              <w:rPr>
                <w:rFonts w:hint="eastAsia"/>
                <w:color w:val="auto"/>
                <w:highlight w:val="none"/>
                <w:lang w:eastAsia="zh-CN"/>
              </w:rPr>
              <w:t>③</w:t>
            </w:r>
            <w:r>
              <w:rPr>
                <w:rFonts w:hint="eastAsia"/>
                <w:color w:val="auto"/>
                <w:highlight w:val="none"/>
              </w:rPr>
              <w:t>加宽部分</w:t>
            </w:r>
          </w:p>
          <w:p>
            <w:pPr>
              <w:pStyle w:val="33"/>
              <w:bidi w:val="0"/>
              <w:rPr>
                <w:color w:val="auto"/>
                <w:highlight w:val="none"/>
              </w:rPr>
            </w:pPr>
            <w:r>
              <w:rPr>
                <w:rFonts w:hint="eastAsia"/>
                <w:color w:val="auto"/>
                <w:highlight w:val="none"/>
              </w:rPr>
              <w:t>地区地下水水位较高，为保证路基拓宽部分路基整体强度；对路基进行超挖至路床底1.</w:t>
            </w:r>
            <w:r>
              <w:rPr>
                <w:color w:val="auto"/>
                <w:highlight w:val="none"/>
              </w:rPr>
              <w:t>5</w:t>
            </w:r>
            <w:r>
              <w:rPr>
                <w:rFonts w:hint="eastAsia"/>
                <w:color w:val="auto"/>
                <w:highlight w:val="none"/>
              </w:rPr>
              <w:t>m范围内并进行填前压实后填筑山皮石，边部采用</w:t>
            </w:r>
            <w:r>
              <w:rPr>
                <w:color w:val="auto"/>
                <w:highlight w:val="none"/>
              </w:rPr>
              <w:t>1.5</w:t>
            </w:r>
            <w:r>
              <w:rPr>
                <w:rFonts w:hint="eastAsia"/>
                <w:color w:val="auto"/>
                <w:highlight w:val="none"/>
              </w:rPr>
              <w:t>m厚土填筑。</w:t>
            </w:r>
          </w:p>
          <w:p>
            <w:pPr>
              <w:pStyle w:val="33"/>
              <w:bidi w:val="0"/>
              <w:rPr>
                <w:color w:val="auto"/>
                <w:highlight w:val="none"/>
              </w:rPr>
            </w:pPr>
            <w:r>
              <w:rPr>
                <w:rFonts w:hint="eastAsia"/>
                <w:color w:val="auto"/>
                <w:highlight w:val="none"/>
                <w:lang w:eastAsia="zh-CN"/>
              </w:rPr>
              <w:t>④</w:t>
            </w:r>
            <w:r>
              <w:rPr>
                <w:rFonts w:hint="eastAsia"/>
                <w:color w:val="auto"/>
                <w:highlight w:val="none"/>
              </w:rPr>
              <w:t>旧路边沟处理</w:t>
            </w:r>
          </w:p>
          <w:p>
            <w:pPr>
              <w:pStyle w:val="33"/>
              <w:bidi w:val="0"/>
              <w:rPr>
                <w:color w:val="auto"/>
                <w:highlight w:val="none"/>
              </w:rPr>
            </w:pPr>
            <w:r>
              <w:rPr>
                <w:rFonts w:hint="eastAsia"/>
                <w:color w:val="auto"/>
                <w:highlight w:val="none"/>
              </w:rPr>
              <w:t>对旧路无水边沟清理沟底0.3m、有水边沟根据淤泥厚度清淤至原状土，拓宽段路基范围对旧路边沟进行超挖至路床底1.5m范围内并进行填前压实后填筑山皮石，边部采用1.5m厚土填筑。</w:t>
            </w:r>
          </w:p>
          <w:p>
            <w:pPr>
              <w:pStyle w:val="33"/>
              <w:bidi w:val="0"/>
              <w:rPr>
                <w:color w:val="auto"/>
                <w:highlight w:val="none"/>
              </w:rPr>
            </w:pPr>
            <w:r>
              <w:rPr>
                <w:rFonts w:hint="eastAsia"/>
                <w:color w:val="auto"/>
                <w:highlight w:val="none"/>
                <w:lang w:eastAsia="zh-CN"/>
              </w:rPr>
              <w:t>⑤</w:t>
            </w:r>
            <w:r>
              <w:rPr>
                <w:rFonts w:hint="eastAsia"/>
                <w:color w:val="auto"/>
                <w:highlight w:val="none"/>
              </w:rPr>
              <w:t>桥头路基处理</w:t>
            </w:r>
          </w:p>
          <w:p>
            <w:pPr>
              <w:pStyle w:val="33"/>
              <w:bidi w:val="0"/>
              <w:rPr>
                <w:color w:val="auto"/>
                <w:highlight w:val="none"/>
              </w:rPr>
            </w:pPr>
            <w:r>
              <w:rPr>
                <w:rFonts w:hint="eastAsia"/>
                <w:color w:val="auto"/>
                <w:highlight w:val="none"/>
              </w:rPr>
              <w:t>桥头路段</w:t>
            </w:r>
            <w:r>
              <w:rPr>
                <w:color w:val="auto"/>
                <w:highlight w:val="none"/>
              </w:rPr>
              <w:t>采用</w:t>
            </w:r>
            <w:r>
              <w:rPr>
                <w:rFonts w:hint="eastAsia"/>
                <w:color w:val="auto"/>
                <w:highlight w:val="none"/>
              </w:rPr>
              <w:t>CFG桩处理地基，路基填筑砂砾，</w:t>
            </w:r>
            <w:r>
              <w:rPr>
                <w:color w:val="auto"/>
                <w:highlight w:val="none"/>
              </w:rPr>
              <w:t>减少桥台与路堤衔接处的工后沉降差异，防治桥头跳车。</w:t>
            </w:r>
          </w:p>
          <w:p>
            <w:pPr>
              <w:pStyle w:val="33"/>
              <w:bidi w:val="0"/>
              <w:rPr>
                <w:color w:val="auto"/>
                <w:highlight w:val="none"/>
              </w:rPr>
            </w:pPr>
            <w:r>
              <w:rPr>
                <w:rFonts w:hint="eastAsia"/>
                <w:color w:val="auto"/>
                <w:highlight w:val="none"/>
                <w:lang w:val="en-US" w:eastAsia="zh-CN"/>
              </w:rPr>
              <w:t>7）</w:t>
            </w:r>
            <w:r>
              <w:rPr>
                <w:rFonts w:hint="eastAsia"/>
                <w:color w:val="auto"/>
                <w:highlight w:val="none"/>
              </w:rPr>
              <w:t>路面设计</w:t>
            </w:r>
          </w:p>
          <w:p>
            <w:pPr>
              <w:pStyle w:val="33"/>
              <w:bidi w:val="0"/>
              <w:rPr>
                <w:color w:val="auto"/>
                <w:highlight w:val="none"/>
              </w:rPr>
            </w:pPr>
            <w:r>
              <w:rPr>
                <w:rFonts w:hint="eastAsia"/>
                <w:color w:val="auto"/>
                <w:highlight w:val="none"/>
                <w:lang w:eastAsia="zh-CN"/>
              </w:rPr>
              <w:t>①</w:t>
            </w:r>
            <w:r>
              <w:rPr>
                <w:rFonts w:hint="eastAsia"/>
                <w:color w:val="auto"/>
                <w:highlight w:val="none"/>
              </w:rPr>
              <w:t>新建路面结构</w:t>
            </w:r>
          </w:p>
          <w:p>
            <w:pPr>
              <w:pStyle w:val="33"/>
              <w:bidi w:val="0"/>
              <w:rPr>
                <w:color w:val="auto"/>
                <w:highlight w:val="none"/>
              </w:rPr>
            </w:pPr>
            <w:r>
              <w:rPr>
                <w:color w:val="auto"/>
                <w:highlight w:val="none"/>
              </w:rPr>
              <w:t>5cm</w:t>
            </w:r>
            <w:r>
              <w:rPr>
                <w:rFonts w:hint="eastAsia"/>
                <w:color w:val="auto"/>
                <w:highlight w:val="none"/>
              </w:rPr>
              <w:t>AC</w:t>
            </w:r>
            <w:r>
              <w:rPr>
                <w:color w:val="auto"/>
                <w:highlight w:val="none"/>
              </w:rPr>
              <w:t>-13</w:t>
            </w:r>
            <w:r>
              <w:rPr>
                <w:rFonts w:hint="eastAsia"/>
                <w:color w:val="auto"/>
                <w:highlight w:val="none"/>
              </w:rPr>
              <w:t>C细粒式SBS改性沥青混凝土+8</w:t>
            </w:r>
            <w:r>
              <w:rPr>
                <w:color w:val="auto"/>
                <w:highlight w:val="none"/>
              </w:rPr>
              <w:t>cmAC-</w:t>
            </w:r>
            <w:r>
              <w:rPr>
                <w:rFonts w:hint="eastAsia"/>
                <w:color w:val="auto"/>
                <w:highlight w:val="none"/>
              </w:rPr>
              <w:t>25</w:t>
            </w:r>
            <w:r>
              <w:rPr>
                <w:color w:val="auto"/>
                <w:highlight w:val="none"/>
              </w:rPr>
              <w:t>C</w:t>
            </w:r>
            <w:r>
              <w:rPr>
                <w:rFonts w:hint="eastAsia"/>
                <w:color w:val="auto"/>
                <w:highlight w:val="none"/>
              </w:rPr>
              <w:t>粗粒式沥青混凝土+SBS改性沥青同步碎石封层+</w:t>
            </w:r>
            <w:r>
              <w:rPr>
                <w:color w:val="auto"/>
                <w:highlight w:val="none"/>
              </w:rPr>
              <w:t>3</w:t>
            </w:r>
            <w:r>
              <w:rPr>
                <w:rFonts w:hint="eastAsia"/>
                <w:color w:val="auto"/>
                <w:highlight w:val="none"/>
              </w:rPr>
              <w:t>×</w:t>
            </w:r>
            <w:r>
              <w:rPr>
                <w:color w:val="auto"/>
                <w:highlight w:val="none"/>
              </w:rPr>
              <w:t>18cm</w:t>
            </w:r>
            <w:r>
              <w:rPr>
                <w:rFonts w:hint="eastAsia"/>
                <w:color w:val="auto"/>
                <w:highlight w:val="none"/>
              </w:rPr>
              <w:t>水泥稳定碎石。</w:t>
            </w:r>
          </w:p>
          <w:p>
            <w:pPr>
              <w:pStyle w:val="33"/>
              <w:bidi w:val="0"/>
              <w:rPr>
                <w:color w:val="auto"/>
                <w:highlight w:val="none"/>
              </w:rPr>
            </w:pPr>
            <w:r>
              <w:rPr>
                <w:rFonts w:hint="eastAsia"/>
                <w:color w:val="auto"/>
                <w:highlight w:val="none"/>
                <w:lang w:eastAsia="zh-CN"/>
              </w:rPr>
              <w:t>②</w:t>
            </w:r>
            <w:r>
              <w:rPr>
                <w:rFonts w:hint="eastAsia"/>
                <w:color w:val="auto"/>
                <w:highlight w:val="none"/>
              </w:rPr>
              <w:t>利用旧路路面结构：</w:t>
            </w:r>
          </w:p>
          <w:p>
            <w:pPr>
              <w:pStyle w:val="33"/>
              <w:bidi w:val="0"/>
              <w:rPr>
                <w:color w:val="auto"/>
                <w:highlight w:val="none"/>
              </w:rPr>
            </w:pPr>
            <w:r>
              <w:rPr>
                <w:color w:val="auto"/>
                <w:highlight w:val="none"/>
              </w:rPr>
              <w:t>5cm</w:t>
            </w:r>
            <w:r>
              <w:rPr>
                <w:rFonts w:hint="eastAsia"/>
                <w:color w:val="auto"/>
                <w:highlight w:val="none"/>
              </w:rPr>
              <w:t>AC</w:t>
            </w:r>
            <w:r>
              <w:rPr>
                <w:color w:val="auto"/>
                <w:highlight w:val="none"/>
              </w:rPr>
              <w:t>-13</w:t>
            </w:r>
            <w:r>
              <w:rPr>
                <w:rFonts w:hint="eastAsia"/>
                <w:color w:val="auto"/>
                <w:highlight w:val="none"/>
              </w:rPr>
              <w:t>C细粒式SBS改性沥青混凝土+8</w:t>
            </w:r>
            <w:r>
              <w:rPr>
                <w:color w:val="auto"/>
                <w:highlight w:val="none"/>
              </w:rPr>
              <w:t>cmAC-</w:t>
            </w:r>
            <w:r>
              <w:rPr>
                <w:rFonts w:hint="eastAsia"/>
                <w:color w:val="auto"/>
                <w:highlight w:val="none"/>
              </w:rPr>
              <w:t>25</w:t>
            </w:r>
            <w:r>
              <w:rPr>
                <w:color w:val="auto"/>
                <w:highlight w:val="none"/>
              </w:rPr>
              <w:t>C</w:t>
            </w:r>
            <w:r>
              <w:rPr>
                <w:rFonts w:hint="eastAsia"/>
                <w:color w:val="auto"/>
                <w:highlight w:val="none"/>
              </w:rPr>
              <w:t>粗粒式沥青混凝土（旧路）+SBS改性沥青同步碎石封层+</w:t>
            </w:r>
            <w:r>
              <w:rPr>
                <w:color w:val="auto"/>
                <w:highlight w:val="none"/>
              </w:rPr>
              <w:t>3</w:t>
            </w:r>
            <w:r>
              <w:rPr>
                <w:rFonts w:hint="eastAsia"/>
                <w:color w:val="auto"/>
                <w:highlight w:val="none"/>
              </w:rPr>
              <w:t>×</w:t>
            </w:r>
            <w:r>
              <w:rPr>
                <w:color w:val="auto"/>
                <w:highlight w:val="none"/>
              </w:rPr>
              <w:t>18cm</w:t>
            </w:r>
            <w:r>
              <w:rPr>
                <w:rFonts w:hint="eastAsia"/>
                <w:color w:val="auto"/>
                <w:highlight w:val="none"/>
              </w:rPr>
              <w:t>水泥稳定碎石（旧路）。</w:t>
            </w:r>
          </w:p>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w:t>
            </w:r>
            <w:r>
              <w:rPr>
                <w:rFonts w:hint="eastAsia" w:ascii="Times New Roman" w:hAnsi="Times New Roman" w:eastAsia="宋体" w:cs="Times New Roman"/>
                <w:b/>
                <w:bCs/>
                <w:color w:val="auto"/>
                <w:highlight w:val="none"/>
                <w:lang w:val="en-US" w:eastAsia="zh-CN"/>
              </w:rPr>
              <w:t>3</w:t>
            </w:r>
            <w:r>
              <w:rPr>
                <w:rFonts w:hint="eastAsia" w:ascii="Times New Roman" w:hAnsi="Times New Roman" w:eastAsia="宋体" w:cs="Times New Roman"/>
                <w:b/>
                <w:bCs/>
                <w:color w:val="auto"/>
                <w:highlight w:val="none"/>
              </w:rPr>
              <w:t>）桥梁、涵洞</w:t>
            </w:r>
          </w:p>
          <w:p>
            <w:pPr>
              <w:pStyle w:val="33"/>
              <w:bidi w:val="0"/>
              <w:rPr>
                <w:rFonts w:hint="eastAsia"/>
                <w:color w:val="auto"/>
                <w:highlight w:val="none"/>
              </w:rPr>
            </w:pPr>
            <w:r>
              <w:rPr>
                <w:rFonts w:hint="eastAsia"/>
                <w:color w:val="auto"/>
                <w:highlight w:val="none"/>
                <w:lang w:val="en-US" w:eastAsia="zh-CN"/>
              </w:rPr>
              <w:t>1）</w:t>
            </w:r>
            <w:r>
              <w:rPr>
                <w:rFonts w:hint="eastAsia"/>
                <w:color w:val="auto"/>
                <w:highlight w:val="none"/>
              </w:rPr>
              <w:t>桥梁位置、范围和规模</w:t>
            </w:r>
          </w:p>
          <w:p>
            <w:pPr>
              <w:pStyle w:val="33"/>
              <w:bidi w:val="0"/>
              <w:rPr>
                <w:rFonts w:hint="eastAsia"/>
                <w:color w:val="auto"/>
                <w:highlight w:val="none"/>
              </w:rPr>
            </w:pPr>
            <w:r>
              <w:rPr>
                <w:rFonts w:hint="eastAsia"/>
                <w:color w:val="auto"/>
                <w:highlight w:val="none"/>
              </w:rPr>
              <w:t>本项目设置桥梁一座，跨越国道G228（沿海公路）立交桥，左幅中心桩号：K1+619.176，右幅中心桩号为K1+606.775。</w:t>
            </w:r>
          </w:p>
          <w:p>
            <w:pPr>
              <w:pStyle w:val="33"/>
              <w:bidi w:val="0"/>
              <w:rPr>
                <w:rFonts w:hint="eastAsia"/>
                <w:color w:val="auto"/>
                <w:highlight w:val="none"/>
              </w:rPr>
            </w:pPr>
            <w:r>
              <w:rPr>
                <w:rFonts w:hint="eastAsia"/>
                <w:color w:val="auto"/>
                <w:highlight w:val="none"/>
              </w:rPr>
              <w:t>桥梁跨径布置为：2×(3×30) +(45+70+45)m+2× (3×30) m，桥长全长526m。桥梁上部结构：跨越国道G228（沿海公路）交叉口主桥采用（45+70+45)m变截面连续箱梁，引桥采用装配式预应力混凝土箱梁。桥梁下部结构：主桥桥墩采用实体墩，承台接桩基础，过渡墩采用柱式墩，钻孔灌注桩基础；引桥桥墩均采用柱式墩，钻孔灌注桩基础，桥台才用薄壁桥台，承台接桩基础，台后顺接挡墙。</w:t>
            </w:r>
          </w:p>
          <w:p>
            <w:pPr>
              <w:pStyle w:val="33"/>
              <w:bidi w:val="0"/>
              <w:rPr>
                <w:rFonts w:hint="eastAsia"/>
                <w:color w:val="auto"/>
                <w:highlight w:val="none"/>
              </w:rPr>
            </w:pPr>
            <w:r>
              <w:rPr>
                <w:rFonts w:hint="eastAsia"/>
                <w:color w:val="auto"/>
                <w:highlight w:val="none"/>
                <w:lang w:val="en-US" w:eastAsia="zh-CN"/>
              </w:rPr>
              <w:t>2）</w:t>
            </w:r>
            <w:r>
              <w:rPr>
                <w:rFonts w:hint="eastAsia"/>
                <w:color w:val="auto"/>
                <w:highlight w:val="none"/>
              </w:rPr>
              <w:t>桥梁结构设计</w:t>
            </w:r>
          </w:p>
          <w:p>
            <w:pPr>
              <w:pStyle w:val="33"/>
              <w:bidi w:val="0"/>
              <w:rPr>
                <w:rFonts w:hint="eastAsia"/>
                <w:color w:val="auto"/>
                <w:highlight w:val="none"/>
              </w:rPr>
            </w:pPr>
            <w:r>
              <w:rPr>
                <w:rFonts w:hint="eastAsia"/>
                <w:color w:val="auto"/>
                <w:highlight w:val="none"/>
                <w:lang w:eastAsia="zh-CN"/>
              </w:rPr>
              <w:t>①</w:t>
            </w:r>
            <w:r>
              <w:rPr>
                <w:rFonts w:hint="eastAsia"/>
                <w:color w:val="auto"/>
                <w:highlight w:val="none"/>
              </w:rPr>
              <w:t>主桥上部结构：</w:t>
            </w:r>
          </w:p>
          <w:p>
            <w:pPr>
              <w:pStyle w:val="33"/>
              <w:bidi w:val="0"/>
              <w:rPr>
                <w:rFonts w:hint="eastAsia"/>
                <w:color w:val="auto"/>
                <w:highlight w:val="none"/>
              </w:rPr>
            </w:pPr>
            <w:r>
              <w:rPr>
                <w:rFonts w:hint="eastAsia"/>
                <w:color w:val="auto"/>
                <w:highlight w:val="none"/>
                <w:lang w:val="en-US" w:eastAsia="zh-CN"/>
              </w:rPr>
              <w:t>a</w:t>
            </w:r>
            <w:r>
              <w:rPr>
                <w:rFonts w:hint="eastAsia"/>
                <w:color w:val="auto"/>
                <w:highlight w:val="none"/>
              </w:rPr>
              <w:t>构造尺寸：</w:t>
            </w:r>
          </w:p>
          <w:p>
            <w:pPr>
              <w:pStyle w:val="33"/>
              <w:bidi w:val="0"/>
              <w:rPr>
                <w:rFonts w:hint="eastAsia"/>
                <w:color w:val="auto"/>
                <w:highlight w:val="none"/>
              </w:rPr>
            </w:pPr>
            <w:r>
              <w:rPr>
                <w:rFonts w:hint="eastAsia"/>
                <w:color w:val="auto"/>
                <w:highlight w:val="none"/>
              </w:rPr>
              <w:t>箱梁采用单箱单室直腹板断面，箱底横向水平。单幅箱梁顶宽11.75m，底宽6.5m，顶板悬臂长度2.625m，悬臂板端部厚20cm，根部厚70cm。</w:t>
            </w:r>
          </w:p>
          <w:p>
            <w:pPr>
              <w:pStyle w:val="33"/>
              <w:bidi w:val="0"/>
              <w:rPr>
                <w:rFonts w:hint="eastAsia"/>
                <w:color w:val="auto"/>
                <w:highlight w:val="none"/>
              </w:rPr>
            </w:pPr>
            <w:r>
              <w:rPr>
                <w:rFonts w:hint="eastAsia"/>
                <w:color w:val="auto"/>
                <w:highlight w:val="none"/>
              </w:rPr>
              <w:t>箱梁高：箱梁根部高度4.25m，高跨比为1/16.5，跨中高度2.2m高跨比为1/32。</w:t>
            </w:r>
          </w:p>
          <w:p>
            <w:pPr>
              <w:pStyle w:val="33"/>
              <w:bidi w:val="0"/>
              <w:rPr>
                <w:rFonts w:hint="eastAsia"/>
                <w:color w:val="auto"/>
                <w:highlight w:val="none"/>
              </w:rPr>
            </w:pPr>
            <w:r>
              <w:rPr>
                <w:rFonts w:hint="eastAsia"/>
                <w:color w:val="auto"/>
                <w:highlight w:val="none"/>
              </w:rPr>
              <w:t>梁底曲线变化：箱梁高度以及箱梁底板厚度按1.8次抛物线变化。箱梁根部底板厚60cm，跨中底板厚30cm。</w:t>
            </w:r>
          </w:p>
          <w:p>
            <w:pPr>
              <w:pStyle w:val="33"/>
              <w:bidi w:val="0"/>
              <w:rPr>
                <w:rFonts w:hint="eastAsia"/>
                <w:color w:val="auto"/>
                <w:highlight w:val="none"/>
              </w:rPr>
            </w:pPr>
            <w:r>
              <w:rPr>
                <w:rFonts w:hint="eastAsia"/>
                <w:color w:val="auto"/>
                <w:highlight w:val="none"/>
              </w:rPr>
              <w:t>构造尺寸：箱梁顶板厚度30cm。箱梁腹板根部厚80cm，跨中厚60cm，分一个4m节段直线变化。箱梁顶设有2%的横坡。</w:t>
            </w:r>
          </w:p>
          <w:p>
            <w:pPr>
              <w:pStyle w:val="33"/>
              <w:bidi w:val="0"/>
              <w:rPr>
                <w:rFonts w:hint="eastAsia"/>
                <w:color w:val="auto"/>
                <w:highlight w:val="none"/>
              </w:rPr>
            </w:pPr>
            <w:r>
              <w:rPr>
                <w:rFonts w:hint="eastAsia"/>
                <w:color w:val="auto"/>
                <w:highlight w:val="none"/>
                <w:lang w:val="en-US" w:eastAsia="zh-CN"/>
              </w:rPr>
              <w:t>b</w:t>
            </w:r>
            <w:r>
              <w:rPr>
                <w:rFonts w:hint="eastAsia"/>
                <w:color w:val="auto"/>
                <w:highlight w:val="none"/>
              </w:rPr>
              <w:t>防撞护栏</w:t>
            </w:r>
          </w:p>
          <w:p>
            <w:pPr>
              <w:pStyle w:val="33"/>
              <w:bidi w:val="0"/>
              <w:rPr>
                <w:rFonts w:hint="eastAsia"/>
                <w:color w:val="auto"/>
                <w:highlight w:val="none"/>
              </w:rPr>
            </w:pPr>
            <w:r>
              <w:rPr>
                <w:rFonts w:hint="eastAsia"/>
                <w:color w:val="auto"/>
                <w:highlight w:val="none"/>
              </w:rPr>
              <w:t>立交桥梁防撞护栏采用SA级。</w:t>
            </w:r>
          </w:p>
          <w:p>
            <w:pPr>
              <w:pStyle w:val="33"/>
              <w:bidi w:val="0"/>
              <w:rPr>
                <w:rFonts w:hint="eastAsia"/>
                <w:color w:val="auto"/>
                <w:highlight w:val="none"/>
              </w:rPr>
            </w:pPr>
            <w:r>
              <w:rPr>
                <w:rFonts w:hint="eastAsia"/>
                <w:color w:val="auto"/>
                <w:highlight w:val="none"/>
                <w:lang w:eastAsia="zh-CN"/>
              </w:rPr>
              <w:t>②</w:t>
            </w:r>
            <w:r>
              <w:rPr>
                <w:rFonts w:hint="eastAsia"/>
                <w:color w:val="auto"/>
                <w:highlight w:val="none"/>
              </w:rPr>
              <w:t>主桥下部结构：</w:t>
            </w:r>
          </w:p>
          <w:p>
            <w:pPr>
              <w:pStyle w:val="33"/>
              <w:bidi w:val="0"/>
              <w:rPr>
                <w:rFonts w:hint="eastAsia"/>
                <w:color w:val="auto"/>
                <w:highlight w:val="none"/>
              </w:rPr>
            </w:pPr>
            <w:r>
              <w:rPr>
                <w:rFonts w:hint="eastAsia"/>
                <w:color w:val="auto"/>
                <w:highlight w:val="none"/>
              </w:rPr>
              <w:t>主墩采用实心墩型式，顺桥向尺寸2.5m，横桥向尺寸6.5m；过渡墩采用盖梁柱式墩，盖梁顺桥向尺寸为2.4m，现浇箱梁侧高度1.6m，小箱梁侧高度2.384m，设置顺桥向偏心0.26m。</w:t>
            </w:r>
          </w:p>
          <w:p>
            <w:pPr>
              <w:pStyle w:val="33"/>
              <w:bidi w:val="0"/>
              <w:rPr>
                <w:rFonts w:hint="eastAsia"/>
                <w:color w:val="auto"/>
                <w:highlight w:val="none"/>
              </w:rPr>
            </w:pPr>
            <w:r>
              <w:rPr>
                <w:rFonts w:hint="eastAsia"/>
                <w:color w:val="auto"/>
                <w:highlight w:val="none"/>
              </w:rPr>
              <w:t>主墩承台尺寸为8×8×3m，基础采用4根直径1.8m钻孔灌注桩，纵桥与横桥向均按双排布置，过渡墩采用直径1.8m钻孔灌注桩。</w:t>
            </w:r>
          </w:p>
          <w:p>
            <w:pPr>
              <w:pStyle w:val="33"/>
              <w:bidi w:val="0"/>
              <w:rPr>
                <w:rFonts w:hint="eastAsia"/>
                <w:color w:val="auto"/>
                <w:highlight w:val="none"/>
              </w:rPr>
            </w:pPr>
            <w:r>
              <w:rPr>
                <w:rFonts w:hint="eastAsia"/>
                <w:color w:val="auto"/>
                <w:highlight w:val="none"/>
                <w:lang w:eastAsia="zh-CN"/>
              </w:rPr>
              <w:t>③</w:t>
            </w:r>
            <w:r>
              <w:rPr>
                <w:rFonts w:hint="eastAsia"/>
                <w:color w:val="auto"/>
                <w:highlight w:val="none"/>
              </w:rPr>
              <w:t>引桥上部结构</w:t>
            </w:r>
          </w:p>
          <w:p>
            <w:pPr>
              <w:pStyle w:val="33"/>
              <w:bidi w:val="0"/>
              <w:rPr>
                <w:rFonts w:hint="eastAsia"/>
                <w:color w:val="auto"/>
                <w:highlight w:val="none"/>
              </w:rPr>
            </w:pPr>
            <w:r>
              <w:rPr>
                <w:rFonts w:hint="eastAsia"/>
                <w:color w:val="auto"/>
                <w:highlight w:val="none"/>
              </w:rPr>
              <w:t>桥梁结合相关规划要求及桥梁自身特点，两侧引桥桥跨布置均为：2×(3×30) m=180m。</w:t>
            </w:r>
          </w:p>
          <w:p>
            <w:pPr>
              <w:pStyle w:val="33"/>
              <w:bidi w:val="0"/>
              <w:rPr>
                <w:rFonts w:hint="eastAsia"/>
                <w:color w:val="auto"/>
                <w:highlight w:val="none"/>
              </w:rPr>
            </w:pPr>
            <w:r>
              <w:rPr>
                <w:rFonts w:hint="eastAsia"/>
                <w:color w:val="auto"/>
                <w:highlight w:val="none"/>
              </w:rPr>
              <w:t>引桥上部采用装配式预应力混凝土连续箱梁。</w:t>
            </w:r>
          </w:p>
          <w:p>
            <w:pPr>
              <w:pStyle w:val="33"/>
              <w:bidi w:val="0"/>
              <w:rPr>
                <w:rFonts w:hint="eastAsia"/>
                <w:color w:val="auto"/>
                <w:highlight w:val="none"/>
              </w:rPr>
            </w:pPr>
            <w:r>
              <w:rPr>
                <w:rFonts w:hint="eastAsia"/>
                <w:color w:val="auto"/>
                <w:highlight w:val="none"/>
                <w:lang w:eastAsia="zh-CN"/>
              </w:rPr>
              <w:t>④</w:t>
            </w:r>
            <w:r>
              <w:rPr>
                <w:rFonts w:hint="eastAsia"/>
                <w:color w:val="auto"/>
                <w:highlight w:val="none"/>
              </w:rPr>
              <w:t>引桥下部结构</w:t>
            </w:r>
          </w:p>
          <w:p>
            <w:pPr>
              <w:pStyle w:val="33"/>
              <w:bidi w:val="0"/>
              <w:rPr>
                <w:rFonts w:hint="eastAsia"/>
                <w:color w:val="auto"/>
                <w:highlight w:val="none"/>
              </w:rPr>
            </w:pPr>
            <w:r>
              <w:rPr>
                <w:rFonts w:hint="eastAsia"/>
                <w:color w:val="auto"/>
                <w:highlight w:val="none"/>
              </w:rPr>
              <w:t>引桥桥墩均采用柱式墩，上接盖梁，连续墩盖梁宽度1.6m，中心高度1.6m，端部高度0.8m非连续墩盖梁宽度1.8m，中心高度1.6m，端部高度0.8m；墩柱直径均为1.4m，间距6.4m；钻孔灌注桩基础，直径1.5m。桥墩采用C40混凝土，桩基采用C35混凝土。</w:t>
            </w:r>
          </w:p>
          <w:p>
            <w:pPr>
              <w:pStyle w:val="33"/>
              <w:bidi w:val="0"/>
              <w:rPr>
                <w:rFonts w:hint="eastAsia"/>
                <w:color w:val="auto"/>
                <w:highlight w:val="none"/>
              </w:rPr>
            </w:pPr>
            <w:r>
              <w:rPr>
                <w:rFonts w:hint="eastAsia"/>
                <w:color w:val="auto"/>
                <w:highlight w:val="none"/>
              </w:rPr>
              <w:t>桥台采用轻型桥台，两侧侧墙长度均为3m，承台桩基础。其中右幅0#台、左幅15号台做异形挡墙。台身采用C40混凝土，承台、桩基采用C35混凝土。</w:t>
            </w:r>
          </w:p>
          <w:p>
            <w:pPr>
              <w:pStyle w:val="33"/>
              <w:bidi w:val="0"/>
              <w:rPr>
                <w:rFonts w:hint="eastAsia"/>
                <w:color w:val="auto"/>
                <w:highlight w:val="none"/>
              </w:rPr>
            </w:pPr>
            <w:r>
              <w:rPr>
                <w:rFonts w:hint="eastAsia"/>
                <w:color w:val="auto"/>
                <w:highlight w:val="none"/>
                <w:lang w:eastAsia="zh-CN"/>
              </w:rPr>
              <w:t>⑤</w:t>
            </w:r>
            <w:r>
              <w:rPr>
                <w:rFonts w:hint="eastAsia"/>
                <w:color w:val="auto"/>
                <w:highlight w:val="none"/>
              </w:rPr>
              <w:t>附属工程</w:t>
            </w:r>
          </w:p>
          <w:p>
            <w:pPr>
              <w:pStyle w:val="33"/>
              <w:bidi w:val="0"/>
              <w:rPr>
                <w:rFonts w:hint="eastAsia"/>
                <w:color w:val="auto"/>
                <w:highlight w:val="none"/>
              </w:rPr>
            </w:pPr>
            <w:r>
              <w:rPr>
                <w:rFonts w:hint="eastAsia"/>
                <w:color w:val="auto"/>
                <w:highlight w:val="none"/>
              </w:rPr>
              <w:t>桥面铺装</w:t>
            </w:r>
            <w:r>
              <w:rPr>
                <w:rFonts w:hint="eastAsia"/>
                <w:color w:val="auto"/>
                <w:highlight w:val="none"/>
                <w:lang w:eastAsia="zh-CN"/>
              </w:rPr>
              <w:t>：</w:t>
            </w:r>
            <w:r>
              <w:rPr>
                <w:rFonts w:hint="eastAsia"/>
                <w:color w:val="auto"/>
                <w:highlight w:val="none"/>
              </w:rPr>
              <w:t>桥面沥青铺装桥上面层采用4cm（AC-13）细粒式沥青混凝土，下面层6cm(AC-16)中粒式沥青混凝土。</w:t>
            </w:r>
          </w:p>
          <w:p>
            <w:pPr>
              <w:pStyle w:val="33"/>
              <w:bidi w:val="0"/>
              <w:rPr>
                <w:rFonts w:hint="eastAsia"/>
                <w:color w:val="auto"/>
                <w:highlight w:val="none"/>
              </w:rPr>
            </w:pPr>
            <w:r>
              <w:rPr>
                <w:rFonts w:hint="eastAsia"/>
                <w:color w:val="auto"/>
                <w:highlight w:val="none"/>
              </w:rPr>
              <w:t>防撞护栏</w:t>
            </w:r>
            <w:r>
              <w:rPr>
                <w:rFonts w:hint="eastAsia"/>
                <w:color w:val="auto"/>
                <w:highlight w:val="none"/>
                <w:lang w:eastAsia="zh-CN"/>
              </w:rPr>
              <w:t>：</w:t>
            </w:r>
            <w:r>
              <w:rPr>
                <w:rFonts w:hint="eastAsia"/>
                <w:color w:val="auto"/>
                <w:highlight w:val="none"/>
              </w:rPr>
              <w:t>路侧及中央分隔带均采用混凝土防撞护栏，防撞等级为SA级。</w:t>
            </w:r>
          </w:p>
          <w:p>
            <w:pPr>
              <w:pStyle w:val="33"/>
              <w:bidi w:val="0"/>
              <w:rPr>
                <w:rFonts w:hint="eastAsia"/>
                <w:color w:val="FF0000"/>
                <w:highlight w:val="none"/>
                <w:lang w:val="en-US" w:eastAsia="zh-CN"/>
              </w:rPr>
            </w:pPr>
            <w:r>
              <w:rPr>
                <w:rFonts w:hint="eastAsia"/>
                <w:color w:val="FF0000"/>
                <w:highlight w:val="none"/>
                <w:lang w:val="en-US" w:eastAsia="zh-CN"/>
              </w:rPr>
              <w:t>3）涵洞</w:t>
            </w:r>
          </w:p>
          <w:p>
            <w:pPr>
              <w:pStyle w:val="33"/>
              <w:bidi w:val="0"/>
              <w:rPr>
                <w:rFonts w:hint="eastAsia"/>
                <w:color w:val="FF0000"/>
                <w:highlight w:val="none"/>
              </w:rPr>
            </w:pPr>
            <w:r>
              <w:rPr>
                <w:rFonts w:hint="eastAsia"/>
                <w:color w:val="FF0000"/>
                <w:highlight w:val="none"/>
                <w:lang w:eastAsia="zh-CN"/>
              </w:rPr>
              <w:t>本项目</w:t>
            </w:r>
            <w:r>
              <w:rPr>
                <w:rFonts w:hint="eastAsia"/>
                <w:color w:val="FF0000"/>
                <w:highlight w:val="none"/>
              </w:rPr>
              <w:t>全线设计涵洞</w:t>
            </w:r>
            <w:r>
              <w:rPr>
                <w:color w:val="FF0000"/>
                <w:highlight w:val="none"/>
              </w:rPr>
              <w:t>1</w:t>
            </w:r>
            <w:r>
              <w:rPr>
                <w:rFonts w:hint="eastAsia"/>
                <w:color w:val="FF0000"/>
                <w:highlight w:val="none"/>
              </w:rPr>
              <w:t>道，</w:t>
            </w:r>
            <w:r>
              <w:rPr>
                <w:rFonts w:hint="eastAsia"/>
                <w:color w:val="FF0000"/>
                <w:highlight w:val="none"/>
                <w:lang w:eastAsia="zh-CN"/>
              </w:rPr>
              <w:t>属于雨水排水涵洞，本项目新建涵洞为现有涵洞</w:t>
            </w:r>
            <w:r>
              <w:rPr>
                <w:rFonts w:hint="eastAsia"/>
                <w:color w:val="FF0000"/>
                <w:highlight w:val="none"/>
              </w:rPr>
              <w:t>接长</w:t>
            </w:r>
            <w:r>
              <w:rPr>
                <w:rFonts w:hint="eastAsia"/>
                <w:color w:val="FF0000"/>
                <w:highlight w:val="none"/>
                <w:lang w:eastAsia="zh-CN"/>
              </w:rPr>
              <w:t>，与两侧排水边沟连通</w:t>
            </w:r>
            <w:r>
              <w:rPr>
                <w:rFonts w:hint="eastAsia"/>
                <w:color w:val="FF0000"/>
                <w:highlight w:val="none"/>
              </w:rPr>
              <w:t>。</w:t>
            </w:r>
          </w:p>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w:t>
            </w:r>
            <w:r>
              <w:rPr>
                <w:rFonts w:hint="eastAsia" w:ascii="Times New Roman" w:hAnsi="Times New Roman" w:eastAsia="宋体" w:cs="Times New Roman"/>
                <w:b/>
                <w:bCs/>
                <w:color w:val="auto"/>
                <w:highlight w:val="none"/>
                <w:lang w:val="en-US" w:eastAsia="zh-CN"/>
              </w:rPr>
              <w:t>4</w:t>
            </w:r>
            <w:r>
              <w:rPr>
                <w:rFonts w:hint="eastAsia" w:ascii="Times New Roman" w:hAnsi="Times New Roman" w:eastAsia="宋体" w:cs="Times New Roman"/>
                <w:b/>
                <w:bCs/>
                <w:color w:val="auto"/>
                <w:highlight w:val="none"/>
              </w:rPr>
              <w:t>）路线交叉</w:t>
            </w:r>
          </w:p>
          <w:p>
            <w:pPr>
              <w:pStyle w:val="33"/>
              <w:bidi w:val="0"/>
              <w:rPr>
                <w:rFonts w:hint="eastAsia"/>
                <w:color w:val="auto"/>
                <w:highlight w:val="none"/>
              </w:rPr>
            </w:pPr>
            <w:r>
              <w:rPr>
                <w:rFonts w:hint="eastAsia"/>
                <w:color w:val="auto"/>
                <w:highlight w:val="none"/>
                <w:lang w:val="en-US" w:eastAsia="zh-CN"/>
              </w:rPr>
              <w:t>1</w:t>
            </w:r>
            <w:r>
              <w:rPr>
                <w:rFonts w:hint="eastAsia"/>
                <w:color w:val="auto"/>
                <w:highlight w:val="none"/>
              </w:rPr>
              <w:t>）分离式立体交叉</w:t>
            </w:r>
          </w:p>
          <w:p>
            <w:pPr>
              <w:pStyle w:val="33"/>
              <w:bidi w:val="0"/>
              <w:rPr>
                <w:rFonts w:hint="eastAsia"/>
                <w:color w:val="auto"/>
                <w:highlight w:val="none"/>
                <w:lang w:val="en-US" w:eastAsia="zh-CN"/>
              </w:rPr>
            </w:pPr>
            <w:r>
              <w:rPr>
                <w:rFonts w:hint="eastAsia"/>
                <w:color w:val="auto"/>
                <w:highlight w:val="none"/>
                <w:lang w:val="en-US" w:eastAsia="zh-CN"/>
              </w:rPr>
              <w:t>①分离式立体交叉设置概况</w:t>
            </w:r>
          </w:p>
          <w:p>
            <w:pPr>
              <w:pStyle w:val="33"/>
              <w:bidi w:val="0"/>
              <w:rPr>
                <w:rFonts w:hint="eastAsia"/>
                <w:color w:val="auto"/>
                <w:highlight w:val="none"/>
              </w:rPr>
            </w:pPr>
            <w:r>
              <w:rPr>
                <w:rFonts w:hint="eastAsia"/>
                <w:color w:val="auto"/>
                <w:highlight w:val="none"/>
              </w:rPr>
              <w:t>全线共设立体交叉1处，位于海港开发区国道G509（乐港路）与国道G228（沿海公路）交叉处。本项目主线上跨被交路，即国道G509（乐港路）上跨国道G228（沿海公路），主要解决两条道路的交通流转换。交叉处中心桩号为K1+612.975，设置A、B辅道与国道G228（沿海公路）相交，交叉处采用信号灯控制，信号联动以减少交织段等待车辆。</w:t>
            </w:r>
          </w:p>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立体交叉设置一览表</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491"/>
              <w:gridCol w:w="1807"/>
              <w:gridCol w:w="1110"/>
              <w:gridCol w:w="1065"/>
              <w:gridCol w:w="39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92" w:type="pct"/>
                  <w:tcBorders>
                    <w:tl2br w:val="nil"/>
                    <w:tr2bl w:val="nil"/>
                  </w:tcBorders>
                  <w:noWrap w:val="0"/>
                  <w:vAlign w:val="center"/>
                </w:tcPr>
                <w:p>
                  <w:pPr>
                    <w:pStyle w:val="32"/>
                    <w:bidi w:val="0"/>
                    <w:rPr>
                      <w:color w:val="auto"/>
                      <w:highlight w:val="none"/>
                    </w:rPr>
                  </w:pPr>
                  <w:r>
                    <w:rPr>
                      <w:color w:val="auto"/>
                      <w:highlight w:val="none"/>
                    </w:rPr>
                    <w:t>序号</w:t>
                  </w:r>
                </w:p>
              </w:tc>
              <w:tc>
                <w:tcPr>
                  <w:tcW w:w="1074" w:type="pct"/>
                  <w:tcBorders>
                    <w:tl2br w:val="nil"/>
                    <w:tr2bl w:val="nil"/>
                  </w:tcBorders>
                  <w:noWrap w:val="0"/>
                  <w:vAlign w:val="center"/>
                </w:tcPr>
                <w:p>
                  <w:pPr>
                    <w:pStyle w:val="32"/>
                    <w:bidi w:val="0"/>
                    <w:rPr>
                      <w:color w:val="auto"/>
                      <w:highlight w:val="none"/>
                    </w:rPr>
                  </w:pPr>
                  <w:r>
                    <w:rPr>
                      <w:color w:val="auto"/>
                      <w:highlight w:val="none"/>
                    </w:rPr>
                    <w:t>名称</w:t>
                  </w:r>
                </w:p>
              </w:tc>
              <w:tc>
                <w:tcPr>
                  <w:tcW w:w="660" w:type="pct"/>
                  <w:tcBorders>
                    <w:tl2br w:val="nil"/>
                    <w:tr2bl w:val="nil"/>
                  </w:tcBorders>
                  <w:noWrap w:val="0"/>
                  <w:vAlign w:val="center"/>
                </w:tcPr>
                <w:p>
                  <w:pPr>
                    <w:pStyle w:val="32"/>
                    <w:bidi w:val="0"/>
                    <w:rPr>
                      <w:color w:val="auto"/>
                      <w:highlight w:val="none"/>
                    </w:rPr>
                  </w:pPr>
                  <w:r>
                    <w:rPr>
                      <w:color w:val="auto"/>
                      <w:highlight w:val="none"/>
                    </w:rPr>
                    <w:t>中心桩号</w:t>
                  </w:r>
                </w:p>
              </w:tc>
              <w:tc>
                <w:tcPr>
                  <w:tcW w:w="633" w:type="pct"/>
                  <w:tcBorders>
                    <w:tl2br w:val="nil"/>
                    <w:tr2bl w:val="nil"/>
                  </w:tcBorders>
                  <w:noWrap w:val="0"/>
                  <w:vAlign w:val="center"/>
                </w:tcPr>
                <w:p>
                  <w:pPr>
                    <w:pStyle w:val="32"/>
                    <w:bidi w:val="0"/>
                    <w:rPr>
                      <w:color w:val="auto"/>
                      <w:highlight w:val="none"/>
                    </w:rPr>
                  </w:pPr>
                  <w:r>
                    <w:rPr>
                      <w:color w:val="auto"/>
                      <w:highlight w:val="none"/>
                    </w:rPr>
                    <w:t>交叉方式</w:t>
                  </w:r>
                </w:p>
              </w:tc>
              <w:tc>
                <w:tcPr>
                  <w:tcW w:w="2339" w:type="pct"/>
                  <w:tcBorders>
                    <w:tl2br w:val="nil"/>
                    <w:tr2bl w:val="nil"/>
                  </w:tcBorders>
                  <w:noWrap w:val="0"/>
                  <w:vAlign w:val="center"/>
                </w:tcPr>
                <w:p>
                  <w:pPr>
                    <w:pStyle w:val="32"/>
                    <w:bidi w:val="0"/>
                    <w:rPr>
                      <w:color w:val="auto"/>
                      <w:highlight w:val="none"/>
                    </w:rPr>
                  </w:pPr>
                  <w:r>
                    <w:rPr>
                      <w:color w:val="auto"/>
                      <w:highlight w:val="none"/>
                    </w:rPr>
                    <w:t>被交路名称及等级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92" w:type="pct"/>
                  <w:tcBorders>
                    <w:tl2br w:val="nil"/>
                    <w:tr2bl w:val="nil"/>
                  </w:tcBorders>
                  <w:noWrap w:val="0"/>
                  <w:vAlign w:val="center"/>
                </w:tcPr>
                <w:p>
                  <w:pPr>
                    <w:pStyle w:val="32"/>
                    <w:bidi w:val="0"/>
                    <w:rPr>
                      <w:color w:val="auto"/>
                      <w:highlight w:val="none"/>
                    </w:rPr>
                  </w:pPr>
                  <w:r>
                    <w:rPr>
                      <w:color w:val="auto"/>
                      <w:highlight w:val="none"/>
                    </w:rPr>
                    <w:t>1</w:t>
                  </w:r>
                </w:p>
              </w:tc>
              <w:tc>
                <w:tcPr>
                  <w:tcW w:w="1074" w:type="pct"/>
                  <w:tcBorders>
                    <w:tl2br w:val="nil"/>
                    <w:tr2bl w:val="nil"/>
                  </w:tcBorders>
                  <w:noWrap w:val="0"/>
                  <w:vAlign w:val="center"/>
                </w:tcPr>
                <w:p>
                  <w:pPr>
                    <w:pStyle w:val="32"/>
                    <w:bidi w:val="0"/>
                    <w:rPr>
                      <w:color w:val="auto"/>
                      <w:highlight w:val="none"/>
                    </w:rPr>
                  </w:pPr>
                  <w:r>
                    <w:rPr>
                      <w:rFonts w:hint="eastAsia"/>
                      <w:color w:val="auto"/>
                      <w:highlight w:val="none"/>
                    </w:rPr>
                    <w:t>国道G509（乐港路）立交</w:t>
                  </w:r>
                </w:p>
              </w:tc>
              <w:tc>
                <w:tcPr>
                  <w:tcW w:w="660" w:type="pct"/>
                  <w:tcBorders>
                    <w:tl2br w:val="nil"/>
                    <w:tr2bl w:val="nil"/>
                  </w:tcBorders>
                  <w:noWrap w:val="0"/>
                  <w:vAlign w:val="center"/>
                </w:tcPr>
                <w:p>
                  <w:pPr>
                    <w:pStyle w:val="32"/>
                    <w:bidi w:val="0"/>
                    <w:rPr>
                      <w:color w:val="auto"/>
                      <w:highlight w:val="none"/>
                    </w:rPr>
                  </w:pPr>
                  <w:r>
                    <w:rPr>
                      <w:color w:val="auto"/>
                      <w:highlight w:val="none"/>
                    </w:rPr>
                    <w:t>K1</w:t>
                  </w:r>
                  <w:r>
                    <w:rPr>
                      <w:rFonts w:hint="eastAsia"/>
                      <w:color w:val="auto"/>
                      <w:highlight w:val="none"/>
                    </w:rPr>
                    <w:t>+</w:t>
                  </w:r>
                  <w:r>
                    <w:rPr>
                      <w:color w:val="auto"/>
                      <w:highlight w:val="none"/>
                    </w:rPr>
                    <w:t>612.975</w:t>
                  </w:r>
                </w:p>
              </w:tc>
              <w:tc>
                <w:tcPr>
                  <w:tcW w:w="633" w:type="pct"/>
                  <w:tcBorders>
                    <w:tl2br w:val="nil"/>
                    <w:tr2bl w:val="nil"/>
                  </w:tcBorders>
                  <w:noWrap w:val="0"/>
                  <w:vAlign w:val="center"/>
                </w:tcPr>
                <w:p>
                  <w:pPr>
                    <w:pStyle w:val="32"/>
                    <w:bidi w:val="0"/>
                    <w:rPr>
                      <w:color w:val="auto"/>
                      <w:highlight w:val="none"/>
                    </w:rPr>
                  </w:pPr>
                  <w:r>
                    <w:rPr>
                      <w:rFonts w:hint="eastAsia"/>
                      <w:color w:val="auto"/>
                      <w:highlight w:val="none"/>
                    </w:rPr>
                    <w:t>主线</w:t>
                  </w:r>
                  <w:r>
                    <w:rPr>
                      <w:color w:val="auto"/>
                      <w:highlight w:val="none"/>
                    </w:rPr>
                    <w:t>上跨</w:t>
                  </w:r>
                </w:p>
              </w:tc>
              <w:tc>
                <w:tcPr>
                  <w:tcW w:w="2339" w:type="pct"/>
                  <w:tcBorders>
                    <w:tl2br w:val="nil"/>
                    <w:tr2bl w:val="nil"/>
                  </w:tcBorders>
                  <w:noWrap w:val="0"/>
                  <w:vAlign w:val="center"/>
                </w:tcPr>
                <w:p>
                  <w:pPr>
                    <w:pStyle w:val="32"/>
                    <w:bidi w:val="0"/>
                    <w:rPr>
                      <w:color w:val="auto"/>
                      <w:highlight w:val="none"/>
                    </w:rPr>
                  </w:pPr>
                  <w:r>
                    <w:rPr>
                      <w:rFonts w:hint="eastAsia"/>
                      <w:color w:val="auto"/>
                      <w:highlight w:val="none"/>
                    </w:rPr>
                    <w:t>国道G509（乐港路）/国道G228（沿海公路），一级公路</w:t>
                  </w:r>
                </w:p>
              </w:tc>
            </w:tr>
          </w:tbl>
          <w:p>
            <w:pPr>
              <w:pStyle w:val="33"/>
              <w:bidi w:val="0"/>
              <w:rPr>
                <w:rFonts w:hint="eastAsia"/>
                <w:color w:val="auto"/>
                <w:highlight w:val="none"/>
              </w:rPr>
            </w:pPr>
            <w:r>
              <w:rPr>
                <w:rFonts w:hint="eastAsia"/>
                <w:color w:val="auto"/>
                <w:highlight w:val="none"/>
                <w:lang w:eastAsia="zh-CN"/>
              </w:rPr>
              <w:t>②</w:t>
            </w:r>
            <w:r>
              <w:rPr>
                <w:rFonts w:hint="eastAsia"/>
                <w:color w:val="auto"/>
                <w:highlight w:val="none"/>
              </w:rPr>
              <w:t>横断面设计</w:t>
            </w:r>
          </w:p>
          <w:p>
            <w:pPr>
              <w:pStyle w:val="33"/>
              <w:bidi w:val="0"/>
              <w:rPr>
                <w:rFonts w:hint="eastAsia"/>
                <w:color w:val="auto"/>
                <w:highlight w:val="none"/>
              </w:rPr>
            </w:pPr>
            <w:r>
              <w:rPr>
                <w:rFonts w:hint="eastAsia"/>
                <w:color w:val="auto"/>
                <w:highlight w:val="none"/>
              </w:rPr>
              <w:t>立交区主线采用高架桥，桥梁总宽24.0米，双向四车道。桥梁标准横断面：0.5m防撞护栏+净10.75m+0.5m防撞护栏+0.5m中空带+0.5m防撞护栏+净10.75m+0.5m防撞护栏。</w:t>
            </w:r>
          </w:p>
          <w:p>
            <w:pPr>
              <w:pStyle w:val="33"/>
              <w:bidi w:val="0"/>
              <w:rPr>
                <w:rFonts w:hint="eastAsia"/>
                <w:color w:val="auto"/>
                <w:highlight w:val="none"/>
              </w:rPr>
            </w:pPr>
            <w:r>
              <w:rPr>
                <w:rFonts w:hint="eastAsia"/>
                <w:color w:val="auto"/>
                <w:highlight w:val="none"/>
              </w:rPr>
              <w:t>辅道采用双车道断面形式，路基宽13.25米，路面宽11m，具体断面布置为：0.75m设施带+1.0m硬路肩+2×3.5m行车道+3.0m硬路肩+1.5m绿化带。</w:t>
            </w:r>
          </w:p>
          <w:p>
            <w:pPr>
              <w:pStyle w:val="33"/>
              <w:bidi w:val="0"/>
              <w:rPr>
                <w:rFonts w:hint="eastAsia"/>
                <w:color w:val="auto"/>
                <w:highlight w:val="none"/>
                <w:lang w:eastAsia="zh-CN"/>
              </w:rPr>
            </w:pPr>
            <w:r>
              <w:rPr>
                <w:rFonts w:hint="eastAsia"/>
                <w:color w:val="auto"/>
                <w:highlight w:val="none"/>
                <w:lang w:eastAsia="zh-CN"/>
              </w:rPr>
              <w:t>③变速车道</w:t>
            </w:r>
          </w:p>
          <w:p>
            <w:pPr>
              <w:pStyle w:val="33"/>
              <w:bidi w:val="0"/>
              <w:rPr>
                <w:rFonts w:hint="eastAsia" w:eastAsia="宋体"/>
                <w:color w:val="auto"/>
                <w:highlight w:val="none"/>
                <w:lang w:eastAsia="zh-CN"/>
              </w:rPr>
            </w:pPr>
            <w:r>
              <w:rPr>
                <w:rFonts w:hint="eastAsia"/>
                <w:color w:val="auto"/>
                <w:highlight w:val="none"/>
                <w:lang w:eastAsia="zh-CN"/>
              </w:rPr>
              <w:t>单车道减速车道采用直接式、单车道加速车道采用平行式。变速车道宽度采用3.5米，变速车道外侧硬路肩宽度同主线一致，硬路肩宽度渐变在辅道上采用线性渐变的方式完成。</w:t>
            </w:r>
          </w:p>
          <w:p>
            <w:pPr>
              <w:pStyle w:val="33"/>
              <w:bidi w:val="0"/>
              <w:rPr>
                <w:rFonts w:hint="eastAsia"/>
                <w:color w:val="auto"/>
                <w:highlight w:val="none"/>
              </w:rPr>
            </w:pPr>
            <w:r>
              <w:rPr>
                <w:rFonts w:hint="eastAsia"/>
                <w:color w:val="auto"/>
                <w:highlight w:val="none"/>
                <w:lang w:val="en-US" w:eastAsia="zh-CN"/>
              </w:rPr>
              <w:t>2</w:t>
            </w:r>
            <w:r>
              <w:rPr>
                <w:rFonts w:hint="eastAsia"/>
                <w:color w:val="auto"/>
                <w:highlight w:val="none"/>
              </w:rPr>
              <w:t>）平面交叉</w:t>
            </w:r>
          </w:p>
          <w:p>
            <w:pPr>
              <w:pStyle w:val="33"/>
              <w:bidi w:val="0"/>
              <w:rPr>
                <w:rFonts w:hint="eastAsia"/>
                <w:color w:val="auto"/>
                <w:highlight w:val="none"/>
              </w:rPr>
            </w:pPr>
            <w:r>
              <w:rPr>
                <w:rFonts w:hint="eastAsia"/>
                <w:color w:val="auto"/>
                <w:highlight w:val="none"/>
                <w:lang w:eastAsia="zh-CN"/>
              </w:rPr>
              <w:t>①</w:t>
            </w:r>
            <w:r>
              <w:rPr>
                <w:rFonts w:hint="eastAsia"/>
                <w:color w:val="auto"/>
                <w:highlight w:val="none"/>
              </w:rPr>
              <w:t>平面交叉设置概况</w:t>
            </w:r>
          </w:p>
          <w:p>
            <w:pPr>
              <w:pStyle w:val="33"/>
              <w:bidi w:val="0"/>
              <w:rPr>
                <w:rFonts w:hint="eastAsia"/>
                <w:color w:val="auto"/>
                <w:highlight w:val="none"/>
              </w:rPr>
            </w:pPr>
            <w:r>
              <w:rPr>
                <w:rFonts w:hint="eastAsia"/>
                <w:color w:val="auto"/>
                <w:highlight w:val="none"/>
              </w:rPr>
              <w:t>本项目设置平面交叉6处，其中等级公路1处，为国道G228（沿海公路）；其余5处均为机耕道路或厂区门口。</w:t>
            </w:r>
          </w:p>
          <w:p>
            <w:pPr>
              <w:pStyle w:val="33"/>
              <w:bidi w:val="0"/>
              <w:rPr>
                <w:rFonts w:hint="eastAsia"/>
                <w:color w:val="auto"/>
                <w:highlight w:val="none"/>
              </w:rPr>
            </w:pPr>
            <w:r>
              <w:rPr>
                <w:rFonts w:hint="eastAsia"/>
                <w:color w:val="auto"/>
                <w:highlight w:val="none"/>
                <w:lang w:eastAsia="zh-CN"/>
              </w:rPr>
              <w:t>②</w:t>
            </w:r>
            <w:r>
              <w:rPr>
                <w:rFonts w:hint="eastAsia"/>
                <w:color w:val="auto"/>
                <w:highlight w:val="none"/>
              </w:rPr>
              <w:t>平面交叉设计方案</w:t>
            </w:r>
          </w:p>
          <w:p>
            <w:pPr>
              <w:pStyle w:val="33"/>
              <w:bidi w:val="0"/>
              <w:rPr>
                <w:rFonts w:hint="eastAsia"/>
                <w:color w:val="auto"/>
                <w:highlight w:val="none"/>
              </w:rPr>
            </w:pPr>
            <w:r>
              <w:rPr>
                <w:rFonts w:hint="eastAsia"/>
                <w:color w:val="auto"/>
                <w:highlight w:val="none"/>
                <w:lang w:val="en-US" w:eastAsia="zh-CN"/>
              </w:rPr>
              <w:t>a</w:t>
            </w:r>
            <w:r>
              <w:rPr>
                <w:rFonts w:hint="eastAsia"/>
                <w:color w:val="auto"/>
                <w:highlight w:val="none"/>
              </w:rPr>
              <w:t>等级公路交叉</w:t>
            </w:r>
          </w:p>
          <w:p>
            <w:pPr>
              <w:pStyle w:val="33"/>
              <w:bidi w:val="0"/>
              <w:rPr>
                <w:rFonts w:hint="eastAsia"/>
                <w:color w:val="auto"/>
                <w:highlight w:val="none"/>
              </w:rPr>
            </w:pPr>
            <w:r>
              <w:rPr>
                <w:rFonts w:hint="eastAsia"/>
                <w:color w:val="auto"/>
                <w:highlight w:val="none"/>
              </w:rPr>
              <w:t>本项目等级公路交叉为国道G228（沿海公路），由于道路加宽，进入交叉口位置加速车道长度不满足现行路线规范要求，本次设计主路部分不予处理，仅对加速车道及渐变段进行改造。</w:t>
            </w:r>
          </w:p>
          <w:p>
            <w:pPr>
              <w:pStyle w:val="33"/>
              <w:bidi w:val="0"/>
              <w:rPr>
                <w:rFonts w:hint="eastAsia"/>
                <w:color w:val="auto"/>
                <w:highlight w:val="none"/>
              </w:rPr>
            </w:pPr>
            <w:r>
              <w:rPr>
                <w:rFonts w:hint="eastAsia"/>
                <w:color w:val="auto"/>
                <w:highlight w:val="none"/>
              </w:rPr>
              <w:t>为减少占地，国道G228加宽部分设置护肩墙收缩坡脚，不增加占地。</w:t>
            </w:r>
          </w:p>
          <w:p>
            <w:pPr>
              <w:pStyle w:val="33"/>
              <w:bidi w:val="0"/>
              <w:rPr>
                <w:rFonts w:hint="eastAsia"/>
                <w:color w:val="auto"/>
                <w:highlight w:val="none"/>
              </w:rPr>
            </w:pPr>
            <w:r>
              <w:rPr>
                <w:rFonts w:hint="eastAsia"/>
                <w:color w:val="auto"/>
                <w:highlight w:val="none"/>
              </w:rPr>
              <w:t>加宽部分路面结构与现状道路路面结构一致，路面结构为：4cmAC-13C细粒式SBS改性沥青混凝土+5cmAC-16C中粒式SBS改性沥青混凝土+7cmAC-25C粗粒式沥青混凝土+3×18cm水泥稳定碎石+20cm级配碎石。</w:t>
            </w:r>
          </w:p>
          <w:p>
            <w:pPr>
              <w:pStyle w:val="33"/>
              <w:bidi w:val="0"/>
              <w:rPr>
                <w:rFonts w:hint="eastAsia"/>
                <w:color w:val="auto"/>
                <w:highlight w:val="none"/>
              </w:rPr>
            </w:pPr>
            <w:r>
              <w:rPr>
                <w:rFonts w:hint="eastAsia"/>
                <w:color w:val="auto"/>
                <w:highlight w:val="none"/>
                <w:lang w:val="en-US" w:eastAsia="zh-CN"/>
              </w:rPr>
              <w:t>b</w:t>
            </w:r>
            <w:r>
              <w:rPr>
                <w:rFonts w:hint="eastAsia"/>
                <w:color w:val="auto"/>
                <w:highlight w:val="none"/>
              </w:rPr>
              <w:t>机耕道路</w:t>
            </w:r>
          </w:p>
          <w:p>
            <w:pPr>
              <w:pStyle w:val="33"/>
              <w:bidi w:val="0"/>
              <w:rPr>
                <w:rFonts w:hint="eastAsia"/>
                <w:color w:val="auto"/>
                <w:highlight w:val="none"/>
              </w:rPr>
            </w:pPr>
            <w:r>
              <w:rPr>
                <w:rFonts w:hint="eastAsia"/>
                <w:color w:val="auto"/>
                <w:highlight w:val="none"/>
              </w:rPr>
              <w:t>被交路采用顺坡处理，顺坡坡度为不大于5%。</w:t>
            </w:r>
          </w:p>
          <w:p>
            <w:pPr>
              <w:pStyle w:val="33"/>
              <w:bidi w:val="0"/>
              <w:rPr>
                <w:rFonts w:hint="eastAsia"/>
                <w:color w:val="auto"/>
                <w:highlight w:val="none"/>
              </w:rPr>
            </w:pPr>
            <w:r>
              <w:rPr>
                <w:rFonts w:hint="eastAsia"/>
                <w:color w:val="auto"/>
                <w:highlight w:val="none"/>
              </w:rPr>
              <w:t>现状水泥路面：挖除现状水泥混凝土路面，铺筑18cm水泥稳定碎石+20cm水泥混凝土路面。</w:t>
            </w:r>
          </w:p>
          <w:p>
            <w:pPr>
              <w:pStyle w:val="33"/>
              <w:bidi w:val="0"/>
              <w:rPr>
                <w:rFonts w:hint="eastAsia" w:ascii="Times New Roman" w:hAnsi="Times New Roman" w:eastAsia="宋体" w:cs="Times New Roman"/>
                <w:b/>
                <w:bCs/>
                <w:color w:val="auto"/>
                <w:highlight w:val="none"/>
              </w:rPr>
            </w:pPr>
            <w:r>
              <w:rPr>
                <w:rFonts w:hint="eastAsia"/>
                <w:color w:val="auto"/>
                <w:highlight w:val="none"/>
              </w:rPr>
              <w:t>机耕路（土路）：挖除38cm表土后，铺筑18cm水泥稳定碎石+20cm水泥混凝土路面。</w:t>
            </w:r>
          </w:p>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lang w:eastAsia="zh-CN"/>
              </w:rPr>
              <w:t>（</w:t>
            </w:r>
            <w:r>
              <w:rPr>
                <w:rFonts w:hint="eastAsia" w:ascii="Times New Roman" w:hAnsi="Times New Roman" w:eastAsia="宋体" w:cs="Times New Roman"/>
                <w:b/>
                <w:bCs/>
                <w:color w:val="auto"/>
                <w:highlight w:val="none"/>
                <w:lang w:val="en-US" w:eastAsia="zh-CN"/>
              </w:rPr>
              <w:t>5</w:t>
            </w:r>
            <w:r>
              <w:rPr>
                <w:rFonts w:hint="eastAsia" w:ascii="Times New Roman" w:hAnsi="Times New Roman" w:eastAsia="宋体" w:cs="Times New Roman"/>
                <w:b/>
                <w:bCs/>
                <w:color w:val="auto"/>
                <w:highlight w:val="none"/>
              </w:rPr>
              <w:t>）管线交叉</w:t>
            </w:r>
          </w:p>
          <w:p>
            <w:pPr>
              <w:pStyle w:val="33"/>
              <w:bidi w:val="0"/>
              <w:rPr>
                <w:color w:val="auto"/>
                <w:highlight w:val="none"/>
              </w:rPr>
            </w:pPr>
            <w:r>
              <w:rPr>
                <w:rFonts w:hint="eastAsia"/>
                <w:color w:val="auto"/>
                <w:highlight w:val="none"/>
              </w:rPr>
              <w:t>本项目在K</w:t>
            </w:r>
            <w:r>
              <w:rPr>
                <w:color w:val="auto"/>
                <w:highlight w:val="none"/>
              </w:rPr>
              <w:t>1+132</w:t>
            </w:r>
            <w:r>
              <w:rPr>
                <w:rFonts w:hint="eastAsia"/>
                <w:color w:val="auto"/>
                <w:highlight w:val="none"/>
              </w:rPr>
              <w:t>及K</w:t>
            </w:r>
            <w:r>
              <w:rPr>
                <w:color w:val="auto"/>
                <w:highlight w:val="none"/>
              </w:rPr>
              <w:t>1+506</w:t>
            </w:r>
            <w:r>
              <w:rPr>
                <w:rFonts w:hint="eastAsia"/>
                <w:color w:val="auto"/>
                <w:highlight w:val="none"/>
              </w:rPr>
              <w:t>处存在两条燃气管线</w:t>
            </w:r>
            <w:r>
              <w:rPr>
                <w:rFonts w:hint="eastAsia"/>
                <w:color w:val="auto"/>
                <w:highlight w:val="none"/>
                <w:lang w:eastAsia="zh-CN"/>
              </w:rPr>
              <w:t>，</w:t>
            </w:r>
            <w:r>
              <w:rPr>
                <w:rFonts w:hint="eastAsia"/>
                <w:color w:val="auto"/>
                <w:highlight w:val="none"/>
              </w:rPr>
              <w:t>两处天然气管道由产权单位予以改移。</w:t>
            </w:r>
          </w:p>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w:t>
            </w:r>
            <w:r>
              <w:rPr>
                <w:rFonts w:hint="eastAsia" w:ascii="Times New Roman" w:hAnsi="Times New Roman" w:eastAsia="宋体" w:cs="Times New Roman"/>
                <w:b/>
                <w:bCs/>
                <w:color w:val="auto"/>
                <w:highlight w:val="none"/>
                <w:lang w:val="en-US" w:eastAsia="zh-CN"/>
              </w:rPr>
              <w:t>6</w:t>
            </w:r>
            <w:r>
              <w:rPr>
                <w:rFonts w:hint="eastAsia" w:ascii="Times New Roman" w:hAnsi="Times New Roman" w:eastAsia="宋体" w:cs="Times New Roman"/>
                <w:b/>
                <w:bCs/>
                <w:color w:val="auto"/>
                <w:highlight w:val="none"/>
              </w:rPr>
              <w:t>）景观设计</w:t>
            </w:r>
          </w:p>
          <w:p>
            <w:pPr>
              <w:pStyle w:val="33"/>
              <w:bidi w:val="0"/>
              <w:rPr>
                <w:color w:val="auto"/>
                <w:highlight w:val="none"/>
              </w:rPr>
            </w:pPr>
            <w:r>
              <w:rPr>
                <w:rFonts w:hint="eastAsia"/>
                <w:color w:val="auto"/>
                <w:highlight w:val="none"/>
              </w:rPr>
              <w:t>本项目景观设计包含中央分隔带绿化、土路肩绿化和公路用地绿化等，具体方案为：</w:t>
            </w:r>
          </w:p>
          <w:p>
            <w:pPr>
              <w:pStyle w:val="33"/>
              <w:bidi w:val="0"/>
              <w:rPr>
                <w:color w:val="auto"/>
                <w:highlight w:val="none"/>
              </w:rPr>
            </w:pPr>
            <w:r>
              <w:rPr>
                <w:rFonts w:hint="eastAsia"/>
                <w:color w:val="auto"/>
                <w:highlight w:val="none"/>
                <w:lang w:val="en-US" w:eastAsia="zh-CN"/>
              </w:rPr>
              <w:t>1）</w:t>
            </w:r>
            <w:r>
              <w:rPr>
                <w:rFonts w:hint="eastAsia"/>
                <w:color w:val="auto"/>
                <w:highlight w:val="none"/>
              </w:rPr>
              <w:t>中央分隔带绿化方案</w:t>
            </w:r>
          </w:p>
          <w:p>
            <w:pPr>
              <w:pStyle w:val="33"/>
              <w:bidi w:val="0"/>
              <w:rPr>
                <w:color w:val="auto"/>
                <w:highlight w:val="none"/>
              </w:rPr>
            </w:pPr>
            <w:r>
              <w:rPr>
                <w:rFonts w:hint="eastAsia"/>
                <w:color w:val="auto"/>
                <w:highlight w:val="none"/>
              </w:rPr>
              <w:t>中央分隔带内栽植紫叶小檗、金叶女贞交错2</w:t>
            </w:r>
            <w:r>
              <w:rPr>
                <w:color w:val="auto"/>
                <w:highlight w:val="none"/>
              </w:rPr>
              <w:t>0</w:t>
            </w:r>
            <w:r>
              <w:rPr>
                <w:rFonts w:hint="eastAsia"/>
                <w:color w:val="auto"/>
                <w:highlight w:val="none"/>
              </w:rPr>
              <w:t>m。小乔木采用樱花和紫叶李，株距</w:t>
            </w:r>
            <w:r>
              <w:rPr>
                <w:color w:val="auto"/>
                <w:highlight w:val="none"/>
              </w:rPr>
              <w:t>2.0</w:t>
            </w:r>
            <w:r>
              <w:rPr>
                <w:rFonts w:hint="eastAsia"/>
                <w:color w:val="auto"/>
                <w:highlight w:val="none"/>
              </w:rPr>
              <w:t>米；换填</w:t>
            </w:r>
            <w:r>
              <w:rPr>
                <w:color w:val="auto"/>
                <w:highlight w:val="none"/>
              </w:rPr>
              <w:t>0.8</w:t>
            </w:r>
            <w:r>
              <w:rPr>
                <w:rFonts w:hint="eastAsia"/>
                <w:color w:val="auto"/>
                <w:highlight w:val="none"/>
              </w:rPr>
              <w:t>米厚种植土以保证苗木正常生长。</w:t>
            </w:r>
          </w:p>
          <w:p>
            <w:pPr>
              <w:pStyle w:val="33"/>
              <w:bidi w:val="0"/>
              <w:rPr>
                <w:color w:val="auto"/>
                <w:highlight w:val="none"/>
              </w:rPr>
            </w:pPr>
            <w:r>
              <w:rPr>
                <w:rFonts w:hint="eastAsia"/>
                <w:color w:val="auto"/>
                <w:highlight w:val="none"/>
                <w:lang w:val="en-US" w:eastAsia="zh-CN"/>
              </w:rPr>
              <w:t>2）</w:t>
            </w:r>
            <w:r>
              <w:rPr>
                <w:rFonts w:hint="eastAsia"/>
                <w:color w:val="auto"/>
                <w:highlight w:val="none"/>
              </w:rPr>
              <w:t>土路肩绿化方案</w:t>
            </w:r>
          </w:p>
          <w:p>
            <w:pPr>
              <w:pStyle w:val="33"/>
              <w:bidi w:val="0"/>
              <w:rPr>
                <w:color w:val="auto"/>
                <w:highlight w:val="none"/>
              </w:rPr>
            </w:pPr>
            <w:r>
              <w:rPr>
                <w:rFonts w:hint="eastAsia"/>
                <w:color w:val="auto"/>
                <w:highlight w:val="none"/>
              </w:rPr>
              <w:t>土路肩栽植大叶黄杨、紫叶小檗，乔木采用白蜡和樱花，交错种植，株距4</w:t>
            </w:r>
            <w:r>
              <w:rPr>
                <w:color w:val="auto"/>
                <w:highlight w:val="none"/>
              </w:rPr>
              <w:t>.0</w:t>
            </w:r>
            <w:r>
              <w:rPr>
                <w:rFonts w:hint="eastAsia"/>
                <w:color w:val="auto"/>
                <w:highlight w:val="none"/>
              </w:rPr>
              <w:t>m。</w:t>
            </w:r>
          </w:p>
          <w:p>
            <w:pPr>
              <w:pStyle w:val="33"/>
              <w:bidi w:val="0"/>
              <w:rPr>
                <w:color w:val="auto"/>
                <w:highlight w:val="none"/>
              </w:rPr>
            </w:pPr>
            <w:r>
              <w:rPr>
                <w:rFonts w:hint="eastAsia"/>
                <w:color w:val="auto"/>
                <w:highlight w:val="none"/>
                <w:lang w:val="en-US" w:eastAsia="zh-CN"/>
              </w:rPr>
              <w:t>3）</w:t>
            </w:r>
            <w:r>
              <w:rPr>
                <w:rFonts w:hint="eastAsia"/>
                <w:color w:val="auto"/>
                <w:highlight w:val="none"/>
              </w:rPr>
              <w:t>公路用地绿化方案</w:t>
            </w:r>
          </w:p>
          <w:p>
            <w:pPr>
              <w:pStyle w:val="33"/>
              <w:bidi w:val="0"/>
              <w:rPr>
                <w:color w:val="auto"/>
                <w:highlight w:val="none"/>
              </w:rPr>
            </w:pPr>
            <w:r>
              <w:rPr>
                <w:rFonts w:hint="eastAsia"/>
                <w:color w:val="auto"/>
                <w:highlight w:val="none"/>
              </w:rPr>
              <w:t>国槐与紫叶李交错种植，株距4</w:t>
            </w:r>
            <w:r>
              <w:rPr>
                <w:color w:val="auto"/>
                <w:highlight w:val="none"/>
              </w:rPr>
              <w:t>.0</w:t>
            </w:r>
            <w:r>
              <w:rPr>
                <w:rFonts w:hint="eastAsia"/>
                <w:color w:val="auto"/>
                <w:highlight w:val="none"/>
              </w:rPr>
              <w:t>m。</w:t>
            </w:r>
          </w:p>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w:t>
            </w:r>
            <w:r>
              <w:rPr>
                <w:rFonts w:hint="eastAsia" w:ascii="Times New Roman" w:hAnsi="Times New Roman" w:eastAsia="宋体" w:cs="Times New Roman"/>
                <w:b/>
                <w:bCs/>
                <w:color w:val="auto"/>
                <w:highlight w:val="none"/>
                <w:lang w:val="en-US" w:eastAsia="zh-CN"/>
              </w:rPr>
              <w:t>7</w:t>
            </w:r>
            <w:r>
              <w:rPr>
                <w:rFonts w:hint="eastAsia" w:ascii="Times New Roman" w:hAnsi="Times New Roman" w:eastAsia="宋体" w:cs="Times New Roman"/>
                <w:b/>
                <w:bCs/>
                <w:color w:val="auto"/>
                <w:highlight w:val="none"/>
              </w:rPr>
              <w:t>）给排水设计</w:t>
            </w:r>
          </w:p>
          <w:p>
            <w:pPr>
              <w:pStyle w:val="33"/>
              <w:bidi w:val="0"/>
              <w:rPr>
                <w:color w:val="auto"/>
                <w:highlight w:val="none"/>
              </w:rPr>
            </w:pPr>
            <w:r>
              <w:rPr>
                <w:rFonts w:hint="eastAsia"/>
                <w:color w:val="auto"/>
                <w:highlight w:val="none"/>
              </w:rPr>
              <w:t>管道设计范围为国道G228（沿海公路）至主线桩号K2+490段。</w:t>
            </w:r>
          </w:p>
          <w:p>
            <w:pPr>
              <w:pStyle w:val="33"/>
              <w:bidi w:val="0"/>
              <w:rPr>
                <w:color w:val="auto"/>
                <w:highlight w:val="none"/>
              </w:rPr>
            </w:pPr>
            <w:r>
              <w:rPr>
                <w:rFonts w:hint="eastAsia"/>
                <w:color w:val="auto"/>
                <w:highlight w:val="none"/>
              </w:rPr>
              <w:t>1</w:t>
            </w:r>
            <w:r>
              <w:rPr>
                <w:rFonts w:hint="eastAsia"/>
                <w:color w:val="auto"/>
                <w:highlight w:val="none"/>
                <w:lang w:eastAsia="zh-CN"/>
              </w:rPr>
              <w:t>）</w:t>
            </w:r>
            <w:r>
              <w:rPr>
                <w:rFonts w:hint="eastAsia"/>
                <w:color w:val="auto"/>
                <w:highlight w:val="none"/>
              </w:rPr>
              <w:t>雨水工程</w:t>
            </w:r>
          </w:p>
          <w:p>
            <w:pPr>
              <w:pStyle w:val="33"/>
              <w:bidi w:val="0"/>
              <w:rPr>
                <w:color w:val="auto"/>
                <w:highlight w:val="none"/>
              </w:rPr>
            </w:pPr>
            <w:r>
              <w:rPr>
                <w:rFonts w:hint="eastAsia"/>
                <w:color w:val="auto"/>
                <w:highlight w:val="none"/>
                <w:lang w:eastAsia="zh-CN"/>
              </w:rPr>
              <w:t>①</w:t>
            </w:r>
            <w:r>
              <w:rPr>
                <w:rFonts w:hint="eastAsia"/>
                <w:color w:val="auto"/>
                <w:highlight w:val="none"/>
              </w:rPr>
              <w:t>位置：雨水管道位于硬路肩边缘线内侧2m，双侧布置。</w:t>
            </w:r>
          </w:p>
          <w:p>
            <w:pPr>
              <w:pStyle w:val="33"/>
              <w:bidi w:val="0"/>
              <w:rPr>
                <w:color w:val="auto"/>
                <w:highlight w:val="none"/>
              </w:rPr>
            </w:pPr>
            <w:r>
              <w:rPr>
                <w:rFonts w:hint="eastAsia"/>
                <w:color w:val="auto"/>
                <w:highlight w:val="none"/>
                <w:lang w:eastAsia="zh-CN"/>
              </w:rPr>
              <w:t>②</w:t>
            </w:r>
            <w:r>
              <w:rPr>
                <w:rFonts w:hint="eastAsia"/>
                <w:color w:val="auto"/>
                <w:highlight w:val="none"/>
              </w:rPr>
              <w:t>收水范围：雨水仅收集道路红线范围内雨水。</w:t>
            </w:r>
          </w:p>
          <w:p>
            <w:pPr>
              <w:pStyle w:val="33"/>
              <w:bidi w:val="0"/>
              <w:rPr>
                <w:color w:val="auto"/>
                <w:highlight w:val="none"/>
              </w:rPr>
            </w:pPr>
            <w:r>
              <w:rPr>
                <w:rFonts w:hint="eastAsia"/>
                <w:color w:val="auto"/>
                <w:highlight w:val="none"/>
                <w:lang w:eastAsia="zh-CN"/>
              </w:rPr>
              <w:t>③</w:t>
            </w:r>
            <w:r>
              <w:rPr>
                <w:rFonts w:hint="eastAsia"/>
                <w:color w:val="auto"/>
                <w:highlight w:val="none"/>
              </w:rPr>
              <w:t>现状及排水系统：雨水工程设计范围内有2</w:t>
            </w:r>
            <w:r>
              <w:rPr>
                <w:color w:val="auto"/>
                <w:highlight w:val="none"/>
              </w:rPr>
              <w:t>-</w:t>
            </w:r>
            <w:r>
              <w:rPr>
                <w:rFonts w:hint="eastAsia"/>
                <w:color w:val="auto"/>
                <w:highlight w:val="none"/>
              </w:rPr>
              <w:t>1.5m现状圆管涵，涵底高程-0.05m，与两侧排水边沟连通，本次设计雨水出水口高程参照圆管涵涵底高程设计，设计出水口高程不低于现状涵底高程。设计出水口高程如低于排水沟沟底，则相接处局部挖深至管底以下，范围为出水口前后5m。主线桩号</w:t>
            </w:r>
            <w:r>
              <w:rPr>
                <w:color w:val="auto"/>
                <w:highlight w:val="none"/>
              </w:rPr>
              <w:t>K2+100.837</w:t>
            </w:r>
            <w:r>
              <w:rPr>
                <w:rFonts w:hint="eastAsia"/>
                <w:color w:val="auto"/>
                <w:highlight w:val="none"/>
              </w:rPr>
              <w:t>为低点，两侧集中设置20箅雨水口，通过d600管道排至排水沟。其他段落通过管道分段排至两侧排水边沟。最小流速0.75m/s。</w:t>
            </w:r>
          </w:p>
          <w:p>
            <w:pPr>
              <w:pStyle w:val="33"/>
              <w:bidi w:val="0"/>
              <w:rPr>
                <w:color w:val="auto"/>
                <w:highlight w:val="none"/>
              </w:rPr>
            </w:pPr>
            <w:r>
              <w:rPr>
                <w:rFonts w:hint="eastAsia"/>
                <w:color w:val="auto"/>
                <w:highlight w:val="none"/>
                <w:lang w:val="en-US" w:eastAsia="zh-CN"/>
              </w:rPr>
              <w:t>2）</w:t>
            </w:r>
            <w:r>
              <w:rPr>
                <w:rFonts w:hint="eastAsia"/>
                <w:color w:val="auto"/>
                <w:highlight w:val="none"/>
              </w:rPr>
              <w:t>污水工程</w:t>
            </w:r>
          </w:p>
          <w:p>
            <w:pPr>
              <w:pStyle w:val="33"/>
              <w:bidi w:val="0"/>
              <w:rPr>
                <w:color w:val="auto"/>
                <w:highlight w:val="none"/>
              </w:rPr>
            </w:pPr>
            <w:r>
              <w:rPr>
                <w:rFonts w:hint="eastAsia"/>
                <w:color w:val="FF0000"/>
                <w:highlight w:val="none"/>
                <w:lang w:eastAsia="zh-CN"/>
              </w:rPr>
              <w:t>本项目</w:t>
            </w:r>
            <w:r>
              <w:rPr>
                <w:rFonts w:hint="eastAsia"/>
                <w:color w:val="FF0000"/>
                <w:highlight w:val="none"/>
              </w:rPr>
              <w:t>污水</w:t>
            </w:r>
            <w:r>
              <w:rPr>
                <w:rFonts w:hint="eastAsia"/>
                <w:color w:val="FF0000"/>
                <w:highlight w:val="none"/>
                <w:lang w:eastAsia="zh-CN"/>
              </w:rPr>
              <w:t>管道为后续污水收集预留的管道，</w:t>
            </w:r>
            <w:r>
              <w:rPr>
                <w:rFonts w:hint="eastAsia"/>
                <w:color w:val="auto"/>
                <w:highlight w:val="none"/>
              </w:rPr>
              <w:t>位于</w:t>
            </w:r>
            <w:r>
              <w:rPr>
                <w:color w:val="auto"/>
                <w:highlight w:val="none"/>
              </w:rPr>
              <w:t>道路</w:t>
            </w:r>
            <w:r>
              <w:rPr>
                <w:rFonts w:hint="eastAsia"/>
                <w:color w:val="auto"/>
                <w:highlight w:val="none"/>
              </w:rPr>
              <w:t>南侧</w:t>
            </w:r>
            <w:r>
              <w:rPr>
                <w:color w:val="auto"/>
                <w:highlight w:val="none"/>
              </w:rPr>
              <w:t>，</w:t>
            </w:r>
            <w:r>
              <w:rPr>
                <w:rFonts w:hint="eastAsia"/>
                <w:color w:val="auto"/>
                <w:highlight w:val="none"/>
              </w:rPr>
              <w:t>主线段位于硬路肩边缘线内侧4.6m，A辅道段在硬路肩边缘线内侧4.75m。沿线每隔一定距离为两侧地块预留一个d400的预留管。最小</w:t>
            </w:r>
            <w:r>
              <w:rPr>
                <w:color w:val="auto"/>
                <w:highlight w:val="none"/>
              </w:rPr>
              <w:t>流速</w:t>
            </w:r>
            <w:r>
              <w:rPr>
                <w:rFonts w:hint="eastAsia"/>
                <w:color w:val="auto"/>
                <w:highlight w:val="none"/>
              </w:rPr>
              <w:t>0.6m/s</w:t>
            </w:r>
            <w:r>
              <w:rPr>
                <w:color w:val="auto"/>
                <w:highlight w:val="none"/>
              </w:rPr>
              <w:t>。</w:t>
            </w:r>
          </w:p>
          <w:p>
            <w:pPr>
              <w:pStyle w:val="33"/>
              <w:bidi w:val="0"/>
              <w:rPr>
                <w:color w:val="auto"/>
                <w:highlight w:val="none"/>
              </w:rPr>
            </w:pPr>
            <w:r>
              <w:rPr>
                <w:rFonts w:hint="eastAsia"/>
                <w:color w:val="auto"/>
                <w:highlight w:val="none"/>
                <w:lang w:val="en-US" w:eastAsia="zh-CN"/>
              </w:rPr>
              <w:t>3）</w:t>
            </w:r>
            <w:r>
              <w:rPr>
                <w:rFonts w:hint="eastAsia"/>
                <w:color w:val="auto"/>
                <w:highlight w:val="none"/>
              </w:rPr>
              <w:t>给水工程</w:t>
            </w:r>
          </w:p>
          <w:p>
            <w:pPr>
              <w:pStyle w:val="33"/>
              <w:bidi w:val="0"/>
              <w:rPr>
                <w:color w:val="auto"/>
                <w:highlight w:val="none"/>
              </w:rPr>
            </w:pPr>
            <w:r>
              <w:rPr>
                <w:rFonts w:hint="eastAsia"/>
                <w:color w:val="auto"/>
                <w:highlight w:val="none"/>
              </w:rPr>
              <w:t>给水位于</w:t>
            </w:r>
            <w:r>
              <w:rPr>
                <w:color w:val="auto"/>
                <w:highlight w:val="none"/>
              </w:rPr>
              <w:t>道路</w:t>
            </w:r>
            <w:r>
              <w:rPr>
                <w:rFonts w:hint="eastAsia"/>
                <w:color w:val="auto"/>
                <w:highlight w:val="none"/>
              </w:rPr>
              <w:t>北侧，主线段位于硬路肩边缘线内侧4.6m，B辅道段在硬路肩边缘线内侧4.75m。为道路两侧地块供水。沿线每隔一定距离为两侧地块预留一个</w:t>
            </w:r>
            <w:r>
              <w:rPr>
                <w:color w:val="auto"/>
                <w:highlight w:val="none"/>
              </w:rPr>
              <w:t>DN</w:t>
            </w:r>
            <w:r>
              <w:rPr>
                <w:rFonts w:hint="eastAsia"/>
                <w:color w:val="auto"/>
                <w:highlight w:val="none"/>
              </w:rPr>
              <w:t>150的预留管。给水主管道规格DN150。</w:t>
            </w:r>
          </w:p>
          <w:p>
            <w:pPr>
              <w:pStyle w:val="33"/>
              <w:bidi w:val="0"/>
              <w:rPr>
                <w:rFonts w:hint="eastAsia"/>
                <w:b/>
                <w:bCs/>
                <w:color w:val="auto"/>
                <w:highlight w:val="none"/>
                <w:lang w:val="en-US" w:eastAsia="zh-CN"/>
              </w:rPr>
            </w:pPr>
            <w:r>
              <w:rPr>
                <w:rFonts w:hint="eastAsia"/>
                <w:b/>
                <w:bCs/>
                <w:color w:val="auto"/>
                <w:highlight w:val="none"/>
                <w:lang w:val="en-US" w:eastAsia="zh-CN"/>
              </w:rPr>
              <w:t>（8）照明设计</w:t>
            </w:r>
          </w:p>
          <w:p>
            <w:pPr>
              <w:pStyle w:val="33"/>
              <w:bidi w:val="0"/>
              <w:rPr>
                <w:rFonts w:hint="eastAsia"/>
                <w:color w:val="auto"/>
                <w:highlight w:val="none"/>
                <w:lang w:val="en-US" w:eastAsia="zh-CN"/>
              </w:rPr>
            </w:pPr>
            <w:r>
              <w:rPr>
                <w:rFonts w:hint="eastAsia"/>
                <w:color w:val="auto"/>
                <w:highlight w:val="none"/>
                <w:lang w:val="en-US" w:eastAsia="zh-CN"/>
              </w:rPr>
              <w:t>1）供电电源</w:t>
            </w:r>
          </w:p>
          <w:p>
            <w:pPr>
              <w:pStyle w:val="33"/>
              <w:bidi w:val="0"/>
              <w:rPr>
                <w:rFonts w:hint="eastAsia"/>
                <w:color w:val="auto"/>
                <w:highlight w:val="none"/>
                <w:lang w:val="en-US" w:eastAsia="zh-CN"/>
              </w:rPr>
            </w:pPr>
            <w:r>
              <w:rPr>
                <w:rFonts w:hint="eastAsia"/>
                <w:color w:val="auto"/>
                <w:highlight w:val="none"/>
                <w:lang w:val="en-US" w:eastAsia="zh-CN"/>
              </w:rPr>
              <w:t>照明负荷等级为三级负荷。道路照明电源采用箱式变电站，10kV供电电源引自附近供电局的10kV线路，引入位置由供电部门统一考虑，箱变带一路高压出线。本工程新建照明专用箱式变电站2座，箱变容量为80kVA。变压器采用干式变压器，箱变位于立交桥下。</w:t>
            </w:r>
          </w:p>
          <w:p>
            <w:pPr>
              <w:pStyle w:val="33"/>
              <w:bidi w:val="0"/>
              <w:rPr>
                <w:rFonts w:hint="eastAsia"/>
                <w:color w:val="auto"/>
                <w:highlight w:val="none"/>
                <w:lang w:val="en-US" w:eastAsia="zh-CN"/>
              </w:rPr>
            </w:pPr>
            <w:r>
              <w:rPr>
                <w:rFonts w:hint="eastAsia"/>
                <w:color w:val="auto"/>
                <w:highlight w:val="none"/>
                <w:lang w:val="en-US" w:eastAsia="zh-CN"/>
              </w:rPr>
              <w:t>2）灯杆高度、间距及布灯方式</w:t>
            </w:r>
          </w:p>
          <w:p>
            <w:pPr>
              <w:pStyle w:val="33"/>
              <w:bidi w:val="0"/>
              <w:rPr>
                <w:rFonts w:hint="eastAsia"/>
                <w:color w:val="auto"/>
                <w:highlight w:val="none"/>
                <w:lang w:val="en-US" w:eastAsia="zh-CN"/>
              </w:rPr>
            </w:pPr>
            <w:r>
              <w:rPr>
                <w:rFonts w:hint="eastAsia"/>
                <w:color w:val="auto"/>
                <w:highlight w:val="none"/>
                <w:lang w:val="en-US" w:eastAsia="zh-CN"/>
              </w:rPr>
              <w:t>①K0+770至K0+900段及K2+400至K2+490段，路灯灯杆选用12m单挑钢杆，光源安装高度为12m。灯杆悬挑2.0m，光源选用240W LED路灯。路灯两侧对称布置于绿化带内，路灯灯杆间距为36m。</w:t>
            </w:r>
          </w:p>
          <w:p>
            <w:pPr>
              <w:pStyle w:val="33"/>
              <w:bidi w:val="0"/>
              <w:rPr>
                <w:rFonts w:hint="eastAsia"/>
                <w:color w:val="auto"/>
                <w:highlight w:val="none"/>
                <w:lang w:val="en-US" w:eastAsia="zh-CN"/>
              </w:rPr>
            </w:pPr>
            <w:r>
              <w:rPr>
                <w:rFonts w:hint="eastAsia"/>
                <w:color w:val="auto"/>
                <w:highlight w:val="none"/>
                <w:lang w:val="en-US" w:eastAsia="zh-CN"/>
              </w:rPr>
              <w:t>②K0+900至K1+148段及K2+100至K2+400段，路灯灯杆选用14m单挑钢杆，光源安装高度为14m。灯杆悬挑2.25m，光源选用360W LED路灯。路灯两侧对称布置于绿化带内，路灯灯杆间距为42m。</w:t>
            </w:r>
          </w:p>
          <w:p>
            <w:pPr>
              <w:pStyle w:val="33"/>
              <w:bidi w:val="0"/>
              <w:rPr>
                <w:rFonts w:hint="eastAsia"/>
                <w:color w:val="auto"/>
                <w:highlight w:val="none"/>
                <w:lang w:val="en-US" w:eastAsia="zh-CN"/>
              </w:rPr>
            </w:pPr>
            <w:r>
              <w:rPr>
                <w:rFonts w:hint="eastAsia"/>
                <w:color w:val="auto"/>
                <w:highlight w:val="none"/>
                <w:lang w:val="en-US" w:eastAsia="zh-CN"/>
              </w:rPr>
              <w:t>③K1+148至K2+100段，辅道路灯灯杆选用11m单挑钢杆，灯杆悬挑1.5m，光源安装高度为11m，路灯两侧对称布置于绿化带内；主跨桥上路灯灯杆选用10m单挑钢杆，灯杆悬挑1.5m，光源安装高度为11m，路灯两侧对称布置于桥上护栏上，护栏高度为1m。主跨及辅道光源均选用240W LED路灯，路灯灯杆间距为33m。</w:t>
            </w:r>
          </w:p>
          <w:p>
            <w:pPr>
              <w:pStyle w:val="33"/>
              <w:bidi w:val="0"/>
              <w:rPr>
                <w:rFonts w:hint="eastAsia"/>
                <w:b/>
                <w:bCs/>
                <w:color w:val="auto"/>
                <w:highlight w:val="none"/>
                <w:lang w:val="en-US" w:eastAsia="zh-CN"/>
              </w:rPr>
            </w:pPr>
            <w:r>
              <w:rPr>
                <w:rFonts w:hint="eastAsia"/>
                <w:b/>
                <w:bCs/>
                <w:color w:val="auto"/>
                <w:highlight w:val="none"/>
                <w:lang w:val="en-US" w:eastAsia="zh-CN"/>
              </w:rPr>
              <w:t>（9）交通安全设施设计</w:t>
            </w:r>
          </w:p>
          <w:p>
            <w:pPr>
              <w:pStyle w:val="33"/>
              <w:bidi w:val="0"/>
              <w:rPr>
                <w:rFonts w:hint="eastAsia"/>
                <w:color w:val="auto"/>
                <w:highlight w:val="none"/>
                <w:lang w:val="en-US" w:eastAsia="zh-CN"/>
              </w:rPr>
            </w:pPr>
            <w:r>
              <w:rPr>
                <w:rFonts w:hint="eastAsia"/>
                <w:color w:val="auto"/>
                <w:highlight w:val="none"/>
                <w:lang w:val="en-US" w:eastAsia="zh-CN"/>
              </w:rPr>
              <w:t>1）交通标志</w:t>
            </w:r>
          </w:p>
          <w:p>
            <w:pPr>
              <w:pStyle w:val="33"/>
              <w:bidi w:val="0"/>
              <w:rPr>
                <w:color w:val="auto"/>
                <w:highlight w:val="none"/>
              </w:rPr>
            </w:pPr>
            <w:r>
              <w:rPr>
                <w:rFonts w:hint="eastAsia"/>
                <w:color w:val="auto"/>
                <w:highlight w:val="none"/>
                <w:lang w:eastAsia="zh-CN"/>
              </w:rPr>
              <w:t>工程</w:t>
            </w:r>
            <w:r>
              <w:rPr>
                <w:color w:val="auto"/>
                <w:highlight w:val="none"/>
              </w:rPr>
              <w:t>布设以下标志：</w:t>
            </w:r>
          </w:p>
          <w:p>
            <w:pPr>
              <w:pStyle w:val="33"/>
              <w:bidi w:val="0"/>
              <w:rPr>
                <w:color w:val="auto"/>
                <w:highlight w:val="none"/>
              </w:rPr>
            </w:pPr>
            <w:r>
              <w:rPr>
                <w:rFonts w:hint="eastAsia"/>
                <w:color w:val="auto"/>
                <w:highlight w:val="none"/>
              </w:rPr>
              <w:fldChar w:fldCharType="begin"/>
            </w:r>
            <w:r>
              <w:rPr>
                <w:rFonts w:hint="eastAsia"/>
                <w:color w:val="auto"/>
                <w:highlight w:val="none"/>
              </w:rPr>
              <w:instrText xml:space="preserve"> = 1 \* GB3 </w:instrText>
            </w:r>
            <w:r>
              <w:rPr>
                <w:rFonts w:hint="eastAsia"/>
                <w:color w:val="auto"/>
                <w:highlight w:val="none"/>
              </w:rPr>
              <w:fldChar w:fldCharType="separate"/>
            </w:r>
            <w:r>
              <w:rPr>
                <w:rFonts w:hint="eastAsia"/>
                <w:color w:val="auto"/>
                <w:highlight w:val="none"/>
              </w:rPr>
              <w:t>①</w:t>
            </w:r>
            <w:r>
              <w:rPr>
                <w:rFonts w:hint="eastAsia"/>
                <w:color w:val="auto"/>
                <w:highlight w:val="none"/>
              </w:rPr>
              <w:fldChar w:fldCharType="end"/>
            </w:r>
            <w:r>
              <w:rPr>
                <w:rFonts w:hint="eastAsia"/>
                <w:color w:val="auto"/>
                <w:highlight w:val="none"/>
              </w:rPr>
              <w:t>指路标志：</w:t>
            </w:r>
            <w:r>
              <w:rPr>
                <w:color w:val="auto"/>
                <w:highlight w:val="none"/>
              </w:rPr>
              <w:t>传递道路方向、地点、距离信息的标志</w:t>
            </w:r>
            <w:r>
              <w:rPr>
                <w:rFonts w:hint="eastAsia"/>
                <w:color w:val="auto"/>
                <w:highlight w:val="none"/>
              </w:rPr>
              <w:t>。颜色一般为蓝底、白图案，形状为长方形。</w:t>
            </w:r>
          </w:p>
          <w:p>
            <w:pPr>
              <w:pStyle w:val="33"/>
              <w:bidi w:val="0"/>
              <w:rPr>
                <w:color w:val="auto"/>
                <w:highlight w:val="none"/>
              </w:rPr>
            </w:pPr>
            <w:r>
              <w:rPr>
                <w:rFonts w:hint="eastAsia"/>
                <w:color w:val="auto"/>
                <w:highlight w:val="none"/>
              </w:rPr>
              <w:fldChar w:fldCharType="begin"/>
            </w:r>
            <w:r>
              <w:rPr>
                <w:rFonts w:hint="eastAsia"/>
                <w:color w:val="auto"/>
                <w:highlight w:val="none"/>
              </w:rPr>
              <w:instrText xml:space="preserve"> = 2 \* GB3 </w:instrText>
            </w:r>
            <w:r>
              <w:rPr>
                <w:rFonts w:hint="eastAsia"/>
                <w:color w:val="auto"/>
                <w:highlight w:val="none"/>
              </w:rPr>
              <w:fldChar w:fldCharType="separate"/>
            </w:r>
            <w:r>
              <w:rPr>
                <w:rFonts w:hint="eastAsia"/>
                <w:color w:val="auto"/>
                <w:highlight w:val="none"/>
              </w:rPr>
              <w:t>②</w:t>
            </w:r>
            <w:r>
              <w:rPr>
                <w:rFonts w:hint="eastAsia"/>
                <w:color w:val="auto"/>
                <w:highlight w:val="none"/>
              </w:rPr>
              <w:fldChar w:fldCharType="end"/>
            </w:r>
            <w:r>
              <w:rPr>
                <w:rFonts w:hint="eastAsia"/>
                <w:color w:val="auto"/>
                <w:highlight w:val="none"/>
              </w:rPr>
              <w:t>指示标志：</w:t>
            </w:r>
            <w:r>
              <w:rPr>
                <w:color w:val="auto"/>
                <w:highlight w:val="none"/>
              </w:rPr>
              <w:t>指示车辆、行人行进的标志。颜色为蓝底、白图案</w:t>
            </w:r>
            <w:r>
              <w:rPr>
                <w:rFonts w:hint="eastAsia"/>
                <w:color w:val="auto"/>
                <w:highlight w:val="none"/>
              </w:rPr>
              <w:t>；</w:t>
            </w:r>
            <w:r>
              <w:rPr>
                <w:color w:val="auto"/>
                <w:highlight w:val="none"/>
              </w:rPr>
              <w:t>形状分为圆形、长方形和正方形;设置在需要指示车辆、行人行进的路段或交叉口附近</w:t>
            </w:r>
            <w:r>
              <w:rPr>
                <w:rFonts w:hint="eastAsia"/>
                <w:color w:val="auto"/>
                <w:highlight w:val="none"/>
              </w:rPr>
              <w:t>。</w:t>
            </w:r>
          </w:p>
          <w:p>
            <w:pPr>
              <w:pStyle w:val="33"/>
              <w:bidi w:val="0"/>
              <w:rPr>
                <w:color w:val="auto"/>
                <w:highlight w:val="none"/>
              </w:rPr>
            </w:pPr>
            <w:r>
              <w:rPr>
                <w:rFonts w:hint="eastAsia"/>
                <w:color w:val="auto"/>
                <w:highlight w:val="none"/>
              </w:rPr>
              <w:t>③禁令标志：在需要禁止或限制车辆、行人交通行为的路段设置禁令标志。</w:t>
            </w:r>
            <w:r>
              <w:rPr>
                <w:color w:val="auto"/>
                <w:highlight w:val="none"/>
              </w:rPr>
              <w:t>除个别标志外，颜色为白底，红圈，红杠，黑图案，图案压杠;形状为圆形、八角形、顶角朝下的等边三角形。设置在需要禁止或限制车辆、行人交通行为的路段或交叉口附近。</w:t>
            </w:r>
          </w:p>
          <w:p>
            <w:pPr>
              <w:pStyle w:val="33"/>
              <w:bidi w:val="0"/>
              <w:rPr>
                <w:color w:val="auto"/>
                <w:highlight w:val="none"/>
              </w:rPr>
            </w:pPr>
            <w:r>
              <w:rPr>
                <w:rFonts w:hint="eastAsia"/>
                <w:color w:val="auto"/>
                <w:highlight w:val="none"/>
              </w:rPr>
              <w:t>④警告标志：</w:t>
            </w:r>
            <w:r>
              <w:rPr>
                <w:color w:val="auto"/>
                <w:highlight w:val="none"/>
              </w:rPr>
              <w:t>警告车辆、行人注意危险地点的标志。颜色为黄底、黑边、黑图案，形状为顶角朝上的等边三角形</w:t>
            </w:r>
            <w:r>
              <w:rPr>
                <w:rFonts w:hint="eastAsia"/>
                <w:color w:val="auto"/>
                <w:highlight w:val="none"/>
              </w:rPr>
              <w:t>或矩形</w:t>
            </w:r>
            <w:r>
              <w:rPr>
                <w:color w:val="auto"/>
                <w:highlight w:val="none"/>
              </w:rPr>
              <w:t>。</w:t>
            </w:r>
          </w:p>
          <w:p>
            <w:pPr>
              <w:pStyle w:val="33"/>
              <w:bidi w:val="0"/>
              <w:rPr>
                <w:color w:val="auto"/>
                <w:highlight w:val="none"/>
              </w:rPr>
            </w:pPr>
            <w:r>
              <w:rPr>
                <w:rFonts w:hint="eastAsia"/>
                <w:color w:val="auto"/>
                <w:highlight w:val="none"/>
              </w:rPr>
              <w:t>⑤禁令辅助组合标志：颜色为白底、黑边、黑图案；形状为矩形。设置在需要禁止或限制车辆通行路段前方（现状或新建标志立柱上）。</w:t>
            </w:r>
          </w:p>
          <w:p>
            <w:pPr>
              <w:pStyle w:val="33"/>
              <w:bidi w:val="0"/>
              <w:rPr>
                <w:rFonts w:hint="eastAsia"/>
                <w:color w:val="auto"/>
                <w:highlight w:val="none"/>
                <w:lang w:val="en-US" w:eastAsia="zh-CN"/>
              </w:rPr>
            </w:pPr>
            <w:r>
              <w:rPr>
                <w:rFonts w:hint="eastAsia"/>
                <w:color w:val="auto"/>
                <w:highlight w:val="none"/>
                <w:lang w:val="en-US" w:eastAsia="zh-CN"/>
              </w:rPr>
              <w:t>2）交通标线</w:t>
            </w:r>
          </w:p>
          <w:p>
            <w:pPr>
              <w:pStyle w:val="33"/>
              <w:bidi w:val="0"/>
              <w:rPr>
                <w:rFonts w:hint="default"/>
                <w:color w:val="auto"/>
                <w:highlight w:val="none"/>
                <w:lang w:val="en-US" w:eastAsia="zh-CN"/>
              </w:rPr>
            </w:pPr>
            <w:r>
              <w:rPr>
                <w:rFonts w:hint="eastAsia"/>
                <w:color w:val="auto"/>
                <w:highlight w:val="none"/>
                <w:lang w:val="en-US" w:eastAsia="zh-CN"/>
              </w:rPr>
              <w:t>本项目标线设计内容包括主线及被交路标线（</w:t>
            </w:r>
            <w:r>
              <w:rPr>
                <w:rFonts w:hint="default"/>
                <w:color w:val="auto"/>
                <w:highlight w:val="none"/>
                <w:lang w:val="en-US" w:eastAsia="zh-CN"/>
              </w:rPr>
              <w:t>车行道边缘线</w:t>
            </w:r>
            <w:r>
              <w:rPr>
                <w:rFonts w:hint="eastAsia"/>
                <w:color w:val="auto"/>
                <w:highlight w:val="none"/>
                <w:lang w:val="en-US" w:eastAsia="zh-CN"/>
              </w:rPr>
              <w:t>、</w:t>
            </w:r>
            <w:r>
              <w:rPr>
                <w:rFonts w:hint="default"/>
                <w:color w:val="auto"/>
                <w:highlight w:val="none"/>
                <w:lang w:val="en-US" w:eastAsia="zh-CN"/>
              </w:rPr>
              <w:t>可跨越同向车行道分界线</w:t>
            </w:r>
            <w:r>
              <w:rPr>
                <w:rFonts w:hint="eastAsia"/>
                <w:color w:val="auto"/>
                <w:highlight w:val="none"/>
                <w:lang w:val="en-US" w:eastAsia="zh-CN"/>
              </w:rPr>
              <w:t>、</w:t>
            </w:r>
            <w:r>
              <w:rPr>
                <w:rFonts w:hint="default"/>
                <w:color w:val="auto"/>
                <w:highlight w:val="none"/>
                <w:lang w:val="en-US" w:eastAsia="zh-CN"/>
              </w:rPr>
              <w:t>道路出入口标线</w:t>
            </w:r>
            <w:r>
              <w:rPr>
                <w:rFonts w:hint="eastAsia"/>
                <w:color w:val="auto"/>
                <w:highlight w:val="none"/>
                <w:lang w:val="en-US" w:eastAsia="zh-CN"/>
              </w:rPr>
              <w:t>、</w:t>
            </w:r>
            <w:r>
              <w:rPr>
                <w:rFonts w:hint="default"/>
                <w:color w:val="auto"/>
                <w:highlight w:val="none"/>
                <w:lang w:val="en-US" w:eastAsia="zh-CN"/>
              </w:rPr>
              <w:t>导向箭头</w:t>
            </w:r>
            <w:r>
              <w:rPr>
                <w:rFonts w:hint="eastAsia"/>
                <w:color w:val="auto"/>
                <w:highlight w:val="none"/>
                <w:lang w:val="en-US" w:eastAsia="zh-CN"/>
              </w:rPr>
              <w:t>、</w:t>
            </w:r>
            <w:r>
              <w:rPr>
                <w:rFonts w:hint="default"/>
                <w:color w:val="auto"/>
                <w:highlight w:val="none"/>
                <w:lang w:val="en-US" w:eastAsia="zh-CN"/>
              </w:rPr>
              <w:t>人行横道线</w:t>
            </w:r>
            <w:r>
              <w:rPr>
                <w:rFonts w:hint="eastAsia"/>
                <w:color w:val="auto"/>
                <w:highlight w:val="none"/>
                <w:lang w:val="en-US" w:eastAsia="zh-CN"/>
              </w:rPr>
              <w:t>）和辅路标线（</w:t>
            </w:r>
            <w:r>
              <w:rPr>
                <w:rFonts w:hint="default"/>
                <w:color w:val="auto"/>
                <w:highlight w:val="none"/>
                <w:lang w:val="en-US" w:eastAsia="zh-CN"/>
              </w:rPr>
              <w:t>车行道边缘线</w:t>
            </w:r>
            <w:r>
              <w:rPr>
                <w:rFonts w:hint="eastAsia"/>
                <w:color w:val="auto"/>
                <w:highlight w:val="none"/>
                <w:lang w:val="en-US" w:eastAsia="zh-CN"/>
              </w:rPr>
              <w:t>、</w:t>
            </w:r>
            <w:r>
              <w:rPr>
                <w:rFonts w:hint="default"/>
                <w:color w:val="auto"/>
                <w:highlight w:val="none"/>
                <w:lang w:val="en-US" w:eastAsia="zh-CN"/>
              </w:rPr>
              <w:t>路口导向线</w:t>
            </w:r>
            <w:r>
              <w:rPr>
                <w:rFonts w:hint="eastAsia"/>
                <w:color w:val="auto"/>
                <w:highlight w:val="none"/>
                <w:lang w:val="en-US" w:eastAsia="zh-CN"/>
              </w:rPr>
              <w:t>、</w:t>
            </w:r>
            <w:r>
              <w:rPr>
                <w:rFonts w:hint="default"/>
                <w:color w:val="auto"/>
                <w:highlight w:val="none"/>
                <w:lang w:val="en-US" w:eastAsia="zh-CN"/>
              </w:rPr>
              <w:t>导向车道线</w:t>
            </w:r>
            <w:r>
              <w:rPr>
                <w:rFonts w:hint="eastAsia"/>
                <w:color w:val="auto"/>
                <w:highlight w:val="none"/>
                <w:lang w:val="en-US" w:eastAsia="zh-CN"/>
              </w:rPr>
              <w:t>、</w:t>
            </w:r>
            <w:r>
              <w:rPr>
                <w:rFonts w:hint="default"/>
                <w:color w:val="auto"/>
                <w:highlight w:val="none"/>
                <w:lang w:val="en-US" w:eastAsia="zh-CN"/>
              </w:rPr>
              <w:t>人行横道线</w:t>
            </w:r>
            <w:r>
              <w:rPr>
                <w:rFonts w:hint="eastAsia"/>
                <w:color w:val="auto"/>
                <w:highlight w:val="none"/>
                <w:lang w:val="en-US" w:eastAsia="zh-CN"/>
              </w:rPr>
              <w:t>、</w:t>
            </w:r>
            <w:r>
              <w:rPr>
                <w:rFonts w:hint="default"/>
                <w:color w:val="auto"/>
                <w:highlight w:val="none"/>
                <w:lang w:val="en-US" w:eastAsia="zh-CN"/>
              </w:rPr>
              <w:t>导向箭头</w:t>
            </w:r>
            <w:r>
              <w:rPr>
                <w:rFonts w:hint="eastAsia"/>
                <w:color w:val="auto"/>
                <w:highlight w:val="none"/>
                <w:lang w:val="en-US" w:eastAsia="zh-CN"/>
              </w:rPr>
              <w:t>、停止线、让行线、</w:t>
            </w:r>
            <w:r>
              <w:rPr>
                <w:rFonts w:hint="default"/>
                <w:color w:val="auto"/>
                <w:highlight w:val="none"/>
                <w:lang w:val="en-US" w:eastAsia="zh-CN"/>
              </w:rPr>
              <w:t>导流线</w:t>
            </w:r>
            <w:r>
              <w:rPr>
                <w:rFonts w:hint="eastAsia"/>
                <w:color w:val="auto"/>
                <w:highlight w:val="none"/>
                <w:lang w:val="en-US" w:eastAsia="zh-CN"/>
              </w:rPr>
              <w:t>、</w:t>
            </w:r>
            <w:r>
              <w:rPr>
                <w:rFonts w:hint="default"/>
                <w:color w:val="auto"/>
                <w:highlight w:val="none"/>
                <w:lang w:val="en-US" w:eastAsia="zh-CN"/>
              </w:rPr>
              <w:t>立面标记</w:t>
            </w:r>
            <w:r>
              <w:rPr>
                <w:rFonts w:hint="eastAsia"/>
                <w:color w:val="auto"/>
                <w:highlight w:val="none"/>
                <w:lang w:val="en-US" w:eastAsia="zh-CN"/>
              </w:rPr>
              <w:t>）。</w:t>
            </w:r>
          </w:p>
          <w:p>
            <w:pPr>
              <w:pStyle w:val="33"/>
              <w:bidi w:val="0"/>
              <w:rPr>
                <w:rFonts w:hint="default"/>
                <w:color w:val="auto"/>
                <w:highlight w:val="none"/>
                <w:lang w:val="en-US" w:eastAsia="zh-CN"/>
              </w:rPr>
            </w:pPr>
            <w:r>
              <w:rPr>
                <w:rFonts w:hint="eastAsia"/>
                <w:color w:val="auto"/>
                <w:highlight w:val="none"/>
                <w:lang w:val="en-US" w:eastAsia="zh-CN"/>
              </w:rPr>
              <w:t>3）</w:t>
            </w:r>
            <w:r>
              <w:rPr>
                <w:rFonts w:hint="default"/>
                <w:color w:val="auto"/>
                <w:highlight w:val="none"/>
                <w:lang w:val="en-US" w:eastAsia="zh-CN"/>
              </w:rPr>
              <w:t>防撞护栏</w:t>
            </w:r>
          </w:p>
          <w:p>
            <w:pPr>
              <w:pStyle w:val="33"/>
              <w:bidi w:val="0"/>
              <w:rPr>
                <w:rFonts w:hint="default"/>
                <w:color w:val="auto"/>
                <w:highlight w:val="none"/>
                <w:lang w:val="en-US" w:eastAsia="zh-CN"/>
              </w:rPr>
            </w:pPr>
            <w:r>
              <w:rPr>
                <w:rFonts w:hint="default"/>
                <w:color w:val="auto"/>
                <w:highlight w:val="none"/>
                <w:lang w:val="en-US" w:eastAsia="zh-CN"/>
              </w:rPr>
              <w:t>采用F型SA级混凝土护栏，形式与主线跨线桥一致。</w:t>
            </w:r>
          </w:p>
          <w:p>
            <w:pPr>
              <w:pStyle w:val="33"/>
              <w:bidi w:val="0"/>
              <w:rPr>
                <w:rFonts w:hint="default"/>
                <w:color w:val="auto"/>
                <w:highlight w:val="none"/>
                <w:lang w:val="en-US" w:eastAsia="zh-CN"/>
              </w:rPr>
            </w:pPr>
            <w:r>
              <w:rPr>
                <w:rFonts w:hint="eastAsia"/>
                <w:color w:val="auto"/>
                <w:highlight w:val="none"/>
                <w:lang w:val="en-US" w:eastAsia="zh-CN"/>
              </w:rPr>
              <w:t>4）</w:t>
            </w:r>
            <w:r>
              <w:rPr>
                <w:rFonts w:hint="default"/>
                <w:color w:val="auto"/>
                <w:highlight w:val="none"/>
                <w:lang w:val="en-US" w:eastAsia="zh-CN"/>
              </w:rPr>
              <w:t>轮廓标</w:t>
            </w:r>
          </w:p>
          <w:p>
            <w:pPr>
              <w:pStyle w:val="33"/>
              <w:bidi w:val="0"/>
              <w:rPr>
                <w:rFonts w:hint="default"/>
                <w:color w:val="auto"/>
                <w:highlight w:val="none"/>
                <w:lang w:val="en-US" w:eastAsia="zh-CN"/>
              </w:rPr>
            </w:pPr>
            <w:r>
              <w:rPr>
                <w:rFonts w:hint="default"/>
                <w:color w:val="auto"/>
                <w:highlight w:val="none"/>
                <w:lang w:val="en-US" w:eastAsia="zh-CN"/>
              </w:rPr>
              <w:t>采用附着式轮廓标，由圆角梯形反射器和铝合金板托架组成，采用膨胀螺栓固定在混凝土护栏上,反射器以棱镜型反射器作为反光元件。</w:t>
            </w:r>
          </w:p>
          <w:p>
            <w:pPr>
              <w:pStyle w:val="33"/>
              <w:bidi w:val="0"/>
              <w:rPr>
                <w:rFonts w:hint="default"/>
                <w:color w:val="auto"/>
                <w:highlight w:val="none"/>
                <w:lang w:val="en-US" w:eastAsia="zh-CN"/>
              </w:rPr>
            </w:pPr>
            <w:r>
              <w:rPr>
                <w:rFonts w:hint="eastAsia"/>
                <w:color w:val="auto"/>
                <w:highlight w:val="none"/>
                <w:lang w:val="en-US" w:eastAsia="zh-CN"/>
              </w:rPr>
              <w:t>5）</w:t>
            </w:r>
            <w:r>
              <w:rPr>
                <w:rFonts w:hint="default"/>
                <w:color w:val="auto"/>
                <w:highlight w:val="none"/>
                <w:lang w:val="en-US" w:eastAsia="zh-CN"/>
              </w:rPr>
              <w:t>防眩设施</w:t>
            </w:r>
          </w:p>
          <w:p>
            <w:pPr>
              <w:pStyle w:val="33"/>
              <w:bidi w:val="0"/>
              <w:rPr>
                <w:rFonts w:hint="default"/>
                <w:color w:val="auto"/>
                <w:highlight w:val="none"/>
                <w:lang w:val="en-US" w:eastAsia="zh-CN"/>
              </w:rPr>
            </w:pPr>
            <w:r>
              <w:rPr>
                <w:rFonts w:hint="default"/>
                <w:color w:val="auto"/>
                <w:highlight w:val="none"/>
                <w:lang w:val="en-US" w:eastAsia="zh-CN"/>
              </w:rPr>
              <w:t>主线桥梁中间带护栏设置防眩板，其它段中间带均采用植物防眩。</w:t>
            </w:r>
          </w:p>
          <w:p>
            <w:pPr>
              <w:pStyle w:val="33"/>
              <w:bidi w:val="0"/>
              <w:rPr>
                <w:rFonts w:hint="default"/>
                <w:color w:val="auto"/>
                <w:highlight w:val="none"/>
                <w:lang w:val="en-US" w:eastAsia="zh-CN"/>
              </w:rPr>
            </w:pPr>
            <w:r>
              <w:rPr>
                <w:rFonts w:hint="eastAsia"/>
                <w:color w:val="auto"/>
                <w:highlight w:val="none"/>
                <w:lang w:val="en-US" w:eastAsia="zh-CN"/>
              </w:rPr>
              <w:t>6）</w:t>
            </w:r>
            <w:r>
              <w:rPr>
                <w:rFonts w:hint="default"/>
                <w:color w:val="auto"/>
                <w:highlight w:val="none"/>
                <w:lang w:val="en-US" w:eastAsia="zh-CN"/>
              </w:rPr>
              <w:t>警示柱</w:t>
            </w:r>
          </w:p>
          <w:p>
            <w:pPr>
              <w:pStyle w:val="33"/>
              <w:bidi w:val="0"/>
              <w:rPr>
                <w:rFonts w:hint="default"/>
                <w:color w:val="auto"/>
                <w:highlight w:val="none"/>
                <w:lang w:val="en-US" w:eastAsia="zh-CN"/>
              </w:rPr>
            </w:pPr>
            <w:r>
              <w:rPr>
                <w:rFonts w:hint="default"/>
                <w:color w:val="auto"/>
                <w:highlight w:val="none"/>
                <w:lang w:val="en-US" w:eastAsia="zh-CN"/>
              </w:rPr>
              <w:t>采用TPU（热塑性聚氨脂）高分子弹性材质（成品）警示柱，柱身红色，上贴IV类白色反光膜，放置于导流岛岛头区，降低驾驶员夜间行车时因视线不足造成碰撞事故的发生率，同时将事故危害将至最低。</w:t>
            </w:r>
          </w:p>
          <w:p>
            <w:pPr>
              <w:pStyle w:val="33"/>
              <w:bidi w:val="0"/>
              <w:rPr>
                <w:rFonts w:hint="default"/>
                <w:color w:val="auto"/>
                <w:highlight w:val="none"/>
                <w:lang w:val="en-US" w:eastAsia="zh-CN"/>
              </w:rPr>
            </w:pPr>
            <w:r>
              <w:rPr>
                <w:rFonts w:hint="eastAsia"/>
                <w:color w:val="auto"/>
                <w:highlight w:val="none"/>
                <w:lang w:val="en-US" w:eastAsia="zh-CN"/>
              </w:rPr>
              <w:t>7）</w:t>
            </w:r>
            <w:r>
              <w:rPr>
                <w:rFonts w:hint="default"/>
                <w:color w:val="auto"/>
                <w:highlight w:val="none"/>
                <w:lang w:val="en-US" w:eastAsia="zh-CN"/>
              </w:rPr>
              <w:t>防撞桶</w:t>
            </w:r>
          </w:p>
          <w:p>
            <w:pPr>
              <w:pStyle w:val="33"/>
              <w:bidi w:val="0"/>
              <w:rPr>
                <w:rFonts w:hint="default"/>
                <w:color w:val="auto"/>
                <w:highlight w:val="none"/>
                <w:lang w:val="en-US" w:eastAsia="zh-CN"/>
              </w:rPr>
            </w:pPr>
            <w:r>
              <w:rPr>
                <w:rFonts w:hint="default"/>
                <w:color w:val="auto"/>
                <w:highlight w:val="none"/>
                <w:lang w:val="en-US" w:eastAsia="zh-CN"/>
              </w:rPr>
              <w:t>主线与辅道分离端须设置防撞设施，本次设计采用防撞桶作为防撞设施，为加强防撞效果，每处设置3个防撞桶并捆绑成品字型。</w:t>
            </w:r>
          </w:p>
          <w:p>
            <w:pPr>
              <w:pStyle w:val="33"/>
              <w:bidi w:val="0"/>
              <w:rPr>
                <w:rFonts w:hint="default"/>
                <w:color w:val="auto"/>
                <w:highlight w:val="none"/>
                <w:lang w:val="en-US" w:eastAsia="zh-CN"/>
              </w:rPr>
            </w:pPr>
            <w:r>
              <w:rPr>
                <w:rFonts w:hint="default"/>
                <w:color w:val="auto"/>
                <w:highlight w:val="none"/>
                <w:lang w:val="en-US" w:eastAsia="zh-CN"/>
              </w:rPr>
              <w:t>防撞桶桶盖、桶身、横隔板所用材料为聚乙烯、聚丙乙烯或其他类型合成树脂为原材料的塑料或硫化橡胶或热塑橡胶等。防撞桶上粘贴红白相间Ⅴ类反光膜；配载物所用砂为普通中砂，细度模数在3.0</w:t>
            </w:r>
            <w:r>
              <w:rPr>
                <w:rFonts w:hint="eastAsia"/>
                <w:color w:val="auto"/>
                <w:highlight w:val="none"/>
                <w:lang w:val="en-US" w:eastAsia="zh-CN"/>
              </w:rPr>
              <w:t>~</w:t>
            </w:r>
            <w:r>
              <w:rPr>
                <w:rFonts w:hint="default"/>
                <w:color w:val="auto"/>
                <w:highlight w:val="none"/>
                <w:lang w:val="en-US" w:eastAsia="zh-CN"/>
              </w:rPr>
              <w:t>2.3之间。</w:t>
            </w:r>
          </w:p>
          <w:p>
            <w:pPr>
              <w:pStyle w:val="33"/>
              <w:bidi w:val="0"/>
              <w:rPr>
                <w:rFonts w:hint="default"/>
                <w:color w:val="auto"/>
                <w:highlight w:val="none"/>
                <w:lang w:val="en-US" w:eastAsia="zh-CN"/>
              </w:rPr>
            </w:pPr>
            <w:r>
              <w:rPr>
                <w:rFonts w:hint="eastAsia"/>
                <w:color w:val="auto"/>
                <w:highlight w:val="none"/>
                <w:lang w:val="en-US" w:eastAsia="zh-CN"/>
              </w:rPr>
              <w:t>8）</w:t>
            </w:r>
            <w:r>
              <w:rPr>
                <w:rFonts w:hint="default"/>
                <w:color w:val="auto"/>
                <w:highlight w:val="none"/>
                <w:lang w:val="en-US" w:eastAsia="zh-CN"/>
              </w:rPr>
              <w:t>道口标柱</w:t>
            </w:r>
          </w:p>
          <w:p>
            <w:pPr>
              <w:pStyle w:val="33"/>
              <w:bidi w:val="0"/>
              <w:rPr>
                <w:rFonts w:hint="default"/>
                <w:color w:val="auto"/>
                <w:highlight w:val="none"/>
                <w:lang w:val="en-US" w:eastAsia="zh-CN"/>
              </w:rPr>
            </w:pPr>
            <w:r>
              <w:rPr>
                <w:rFonts w:hint="default"/>
                <w:color w:val="auto"/>
                <w:highlight w:val="none"/>
                <w:lang w:val="en-US" w:eastAsia="zh-CN"/>
              </w:rPr>
              <w:t>本次设计沿线共有4处小平交口，需要在平交口主路两侧设置道口标柱，每侧设置2根，全线共设置20根。</w:t>
            </w:r>
          </w:p>
          <w:p>
            <w:pPr>
              <w:pStyle w:val="33"/>
              <w:bidi w:val="0"/>
              <w:rPr>
                <w:rFonts w:hint="eastAsia"/>
                <w:b/>
                <w:bCs/>
                <w:color w:val="auto"/>
                <w:highlight w:val="none"/>
                <w:lang w:val="en-US" w:eastAsia="zh-CN"/>
              </w:rPr>
            </w:pPr>
            <w:r>
              <w:rPr>
                <w:rFonts w:hint="eastAsia"/>
                <w:b/>
                <w:bCs/>
                <w:color w:val="auto"/>
                <w:highlight w:val="none"/>
                <w:lang w:val="en-US" w:eastAsia="zh-CN"/>
              </w:rPr>
              <w:t>（10）交通信号灯设计</w:t>
            </w:r>
          </w:p>
          <w:p>
            <w:pPr>
              <w:pStyle w:val="33"/>
              <w:bidi w:val="0"/>
              <w:rPr>
                <w:rFonts w:hint="eastAsia"/>
                <w:color w:val="auto"/>
                <w:highlight w:val="none"/>
                <w:lang w:val="en-US" w:eastAsia="zh-CN"/>
              </w:rPr>
            </w:pPr>
            <w:r>
              <w:rPr>
                <w:rFonts w:hint="eastAsia"/>
                <w:color w:val="auto"/>
                <w:highlight w:val="none"/>
                <w:lang w:val="en-US" w:eastAsia="zh-CN"/>
              </w:rPr>
              <w:t>主要包括机动车信号灯、人行信号灯。</w:t>
            </w:r>
          </w:p>
          <w:p>
            <w:pPr>
              <w:pStyle w:val="33"/>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18" w:firstLineChars="200"/>
              <w:textAlignment w:val="auto"/>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rPr>
              <w:t>项目占地、临时工程</w:t>
            </w:r>
          </w:p>
          <w:p>
            <w:pPr>
              <w:pStyle w:val="33"/>
              <w:bidi w:val="0"/>
              <w:rPr>
                <w:color w:val="auto"/>
                <w:highlight w:val="none"/>
              </w:rPr>
            </w:pPr>
            <w:r>
              <w:rPr>
                <w:rFonts w:hint="eastAsia"/>
                <w:color w:val="auto"/>
                <w:highlight w:val="none"/>
              </w:rPr>
              <w:t>（1）</w:t>
            </w:r>
            <w:r>
              <w:rPr>
                <w:color w:val="auto"/>
                <w:highlight w:val="none"/>
              </w:rPr>
              <w:t>永久占地</w:t>
            </w:r>
          </w:p>
          <w:p>
            <w:pPr>
              <w:pStyle w:val="33"/>
              <w:bidi w:val="0"/>
              <w:rPr>
                <w:color w:val="auto"/>
                <w:highlight w:val="none"/>
              </w:rPr>
            </w:pPr>
            <w:r>
              <w:rPr>
                <w:rFonts w:hint="eastAsia"/>
                <w:color w:val="auto"/>
                <w:highlight w:val="none"/>
              </w:rPr>
              <w:t>本项目涉及永久性占地工程主要为</w:t>
            </w:r>
            <w:r>
              <w:rPr>
                <w:rFonts w:hint="eastAsia"/>
                <w:color w:val="auto"/>
                <w:highlight w:val="none"/>
                <w:lang w:eastAsia="zh-CN"/>
              </w:rPr>
              <w:t>跨线桥、辅道，</w:t>
            </w:r>
            <w:r>
              <w:rPr>
                <w:rFonts w:hint="eastAsia"/>
                <w:color w:val="auto"/>
                <w:highlight w:val="none"/>
              </w:rPr>
              <w:t>项目在永久占地范围内设置临时便道。</w:t>
            </w:r>
            <w:r>
              <w:rPr>
                <w:rFonts w:hint="eastAsia"/>
                <w:color w:val="auto"/>
                <w:highlight w:val="none"/>
                <w:lang w:val="en-US" w:eastAsia="zh-CN"/>
              </w:rPr>
              <w:t>本项目占地面积总占地面积75800m</w:t>
            </w:r>
            <w:r>
              <w:rPr>
                <w:rFonts w:hint="eastAsia"/>
                <w:color w:val="auto"/>
                <w:highlight w:val="none"/>
                <w:vertAlign w:val="superscript"/>
                <w:lang w:val="en-US" w:eastAsia="zh-CN"/>
              </w:rPr>
              <w:t>2</w:t>
            </w:r>
            <w:r>
              <w:rPr>
                <w:rFonts w:hint="eastAsia"/>
                <w:color w:val="auto"/>
                <w:highlight w:val="none"/>
                <w:lang w:val="en-US" w:eastAsia="zh-CN"/>
              </w:rPr>
              <w:t>，其中新增用地15600m</w:t>
            </w:r>
            <w:r>
              <w:rPr>
                <w:rFonts w:hint="eastAsia"/>
                <w:color w:val="auto"/>
                <w:highlight w:val="none"/>
                <w:vertAlign w:val="superscript"/>
                <w:lang w:val="en-US" w:eastAsia="zh-CN"/>
              </w:rPr>
              <w:t>2</w:t>
            </w:r>
            <w:r>
              <w:rPr>
                <w:rFonts w:hint="eastAsia"/>
                <w:color w:val="auto"/>
                <w:highlight w:val="none"/>
              </w:rPr>
              <w:t>。</w:t>
            </w:r>
          </w:p>
          <w:p>
            <w:pPr>
              <w:pStyle w:val="33"/>
              <w:bidi w:val="0"/>
              <w:rPr>
                <w:color w:val="auto"/>
                <w:highlight w:val="none"/>
              </w:rPr>
            </w:pPr>
            <w:r>
              <w:rPr>
                <w:rFonts w:hint="eastAsia"/>
                <w:color w:val="auto"/>
                <w:highlight w:val="none"/>
              </w:rPr>
              <w:t>（2）</w:t>
            </w:r>
            <w:r>
              <w:rPr>
                <w:color w:val="auto"/>
                <w:highlight w:val="none"/>
              </w:rPr>
              <w:t>临时占地</w:t>
            </w:r>
          </w:p>
          <w:p>
            <w:pPr>
              <w:pStyle w:val="33"/>
              <w:bidi w:val="0"/>
              <w:rPr>
                <w:rFonts w:hint="eastAsia"/>
                <w:color w:val="auto"/>
                <w:highlight w:val="none"/>
              </w:rPr>
            </w:pPr>
            <w:r>
              <w:rPr>
                <w:rFonts w:hint="eastAsia"/>
                <w:color w:val="auto"/>
                <w:highlight w:val="none"/>
              </w:rPr>
              <w:t>①</w:t>
            </w:r>
            <w:r>
              <w:rPr>
                <w:color w:val="auto"/>
                <w:highlight w:val="none"/>
              </w:rPr>
              <w:t>施工场地</w:t>
            </w:r>
          </w:p>
          <w:p>
            <w:pPr>
              <w:pStyle w:val="33"/>
              <w:bidi w:val="0"/>
              <w:rPr>
                <w:rFonts w:hint="eastAsia"/>
                <w:color w:val="auto"/>
                <w:highlight w:val="none"/>
              </w:rPr>
            </w:pPr>
            <w:r>
              <w:rPr>
                <w:rFonts w:hint="eastAsia"/>
                <w:color w:val="auto"/>
                <w:highlight w:val="none"/>
                <w:lang w:eastAsia="zh-CN"/>
              </w:rPr>
              <w:t>本项目在用地红线范围内</w:t>
            </w:r>
            <w:r>
              <w:rPr>
                <w:rFonts w:hint="eastAsia"/>
                <w:color w:val="auto"/>
                <w:highlight w:val="none"/>
              </w:rPr>
              <w:t>设置施工场地1处，</w:t>
            </w:r>
            <w:r>
              <w:rPr>
                <w:rFonts w:hint="eastAsia"/>
                <w:color w:val="FF0000"/>
                <w:highlight w:val="none"/>
                <w:lang w:eastAsia="zh-CN"/>
              </w:rPr>
              <w:t>占地面积约</w:t>
            </w:r>
            <w:r>
              <w:rPr>
                <w:rFonts w:hint="eastAsia"/>
                <w:color w:val="FF0000"/>
                <w:highlight w:val="none"/>
                <w:lang w:val="en-US" w:eastAsia="zh-CN"/>
              </w:rPr>
              <w:t>1500m</w:t>
            </w:r>
            <w:r>
              <w:rPr>
                <w:rFonts w:hint="eastAsia"/>
                <w:color w:val="FF0000"/>
                <w:highlight w:val="none"/>
                <w:vertAlign w:val="superscript"/>
                <w:lang w:val="en-US" w:eastAsia="zh-CN"/>
              </w:rPr>
              <w:t>2</w:t>
            </w:r>
            <w:r>
              <w:rPr>
                <w:rFonts w:hint="eastAsia"/>
                <w:color w:val="FF0000"/>
                <w:highlight w:val="none"/>
                <w:lang w:val="en-US" w:eastAsia="zh-CN"/>
              </w:rPr>
              <w:t>，</w:t>
            </w:r>
            <w:r>
              <w:rPr>
                <w:rFonts w:hint="eastAsia"/>
                <w:color w:val="auto"/>
                <w:highlight w:val="none"/>
              </w:rPr>
              <w:t>场地内存放物料机械，工人不在施工场地住宿。</w:t>
            </w:r>
          </w:p>
          <w:p>
            <w:pPr>
              <w:pStyle w:val="33"/>
              <w:bidi w:val="0"/>
              <w:rPr>
                <w:color w:val="auto"/>
                <w:highlight w:val="none"/>
              </w:rPr>
            </w:pPr>
            <w:r>
              <w:rPr>
                <w:rFonts w:hint="eastAsia"/>
                <w:color w:val="auto"/>
                <w:highlight w:val="none"/>
              </w:rPr>
              <w:t>②</w:t>
            </w:r>
            <w:r>
              <w:rPr>
                <w:color w:val="auto"/>
                <w:highlight w:val="none"/>
              </w:rPr>
              <w:t>施工营地</w:t>
            </w:r>
          </w:p>
          <w:p>
            <w:pPr>
              <w:pStyle w:val="33"/>
              <w:bidi w:val="0"/>
              <w:rPr>
                <w:rFonts w:hint="eastAsia"/>
                <w:color w:val="auto"/>
                <w:highlight w:val="none"/>
              </w:rPr>
            </w:pPr>
            <w:r>
              <w:rPr>
                <w:rFonts w:hint="eastAsia"/>
                <w:color w:val="auto"/>
                <w:highlight w:val="none"/>
                <w:lang w:eastAsia="zh-CN"/>
              </w:rPr>
              <w:t>本</w:t>
            </w:r>
            <w:r>
              <w:rPr>
                <w:rFonts w:hint="eastAsia"/>
                <w:color w:val="auto"/>
                <w:highlight w:val="none"/>
              </w:rPr>
              <w:t>项目不建设施工营地，仅设置临时办公场所，</w:t>
            </w:r>
            <w:r>
              <w:rPr>
                <w:rFonts w:hint="eastAsia"/>
                <w:color w:val="FF0000"/>
                <w:highlight w:val="none"/>
                <w:lang w:eastAsia="zh-CN"/>
              </w:rPr>
              <w:t>位于本项目占地红线范围内，占地面积约</w:t>
            </w:r>
            <w:r>
              <w:rPr>
                <w:rFonts w:hint="eastAsia"/>
                <w:color w:val="FF0000"/>
                <w:highlight w:val="none"/>
                <w:lang w:val="en-US" w:eastAsia="zh-CN"/>
              </w:rPr>
              <w:t>100m</w:t>
            </w:r>
            <w:r>
              <w:rPr>
                <w:rFonts w:hint="eastAsia"/>
                <w:color w:val="FF0000"/>
                <w:highlight w:val="none"/>
                <w:vertAlign w:val="superscript"/>
                <w:lang w:val="en-US" w:eastAsia="zh-CN"/>
              </w:rPr>
              <w:t>2</w:t>
            </w:r>
            <w:r>
              <w:rPr>
                <w:rFonts w:hint="eastAsia"/>
                <w:color w:val="FF0000"/>
                <w:highlight w:val="none"/>
                <w:lang w:val="en-US" w:eastAsia="zh-CN"/>
              </w:rPr>
              <w:t>，</w:t>
            </w:r>
            <w:r>
              <w:rPr>
                <w:rFonts w:hint="eastAsia"/>
                <w:color w:val="auto"/>
                <w:highlight w:val="none"/>
              </w:rPr>
              <w:t>用于项目管理人员办公及施工人员临时办公。</w:t>
            </w:r>
          </w:p>
          <w:p>
            <w:pPr>
              <w:pStyle w:val="33"/>
              <w:bidi w:val="0"/>
              <w:rPr>
                <w:color w:val="FF0000"/>
                <w:highlight w:val="none"/>
              </w:rPr>
            </w:pPr>
            <w:r>
              <w:rPr>
                <w:rFonts w:hint="eastAsia"/>
                <w:color w:val="FF0000"/>
                <w:highlight w:val="none"/>
              </w:rPr>
              <w:t>④</w:t>
            </w:r>
            <w:r>
              <w:rPr>
                <w:color w:val="FF0000"/>
                <w:highlight w:val="none"/>
              </w:rPr>
              <w:t>取弃土场</w:t>
            </w:r>
          </w:p>
          <w:p>
            <w:pPr>
              <w:pStyle w:val="33"/>
              <w:bidi w:val="0"/>
              <w:rPr>
                <w:color w:val="FF0000"/>
                <w:highlight w:val="none"/>
              </w:rPr>
            </w:pPr>
            <w:r>
              <w:rPr>
                <w:rFonts w:hint="eastAsia"/>
                <w:color w:val="FF0000"/>
                <w:highlight w:val="none"/>
              </w:rPr>
              <w:t>本项目不设置取</w:t>
            </w:r>
            <w:r>
              <w:rPr>
                <w:rFonts w:hint="eastAsia"/>
                <w:color w:val="FF0000"/>
                <w:highlight w:val="none"/>
                <w:lang w:eastAsia="zh-CN"/>
              </w:rPr>
              <w:t>弃</w:t>
            </w:r>
            <w:r>
              <w:rPr>
                <w:rFonts w:hint="eastAsia"/>
                <w:color w:val="FF0000"/>
                <w:highlight w:val="none"/>
              </w:rPr>
              <w:t>土场，项目</w:t>
            </w:r>
            <w:r>
              <w:rPr>
                <w:rFonts w:hint="eastAsia"/>
                <w:color w:val="FF0000"/>
                <w:highlight w:val="none"/>
                <w:lang w:eastAsia="zh-CN"/>
              </w:rPr>
              <w:t>表土用于本项目绿化种植土回覆，挖方</w:t>
            </w:r>
            <w:r>
              <w:rPr>
                <w:rFonts w:hint="eastAsia"/>
                <w:color w:val="FF0000"/>
                <w:highlight w:val="none"/>
              </w:rPr>
              <w:t>通过及时回填和土地整平解决，</w:t>
            </w:r>
            <w:r>
              <w:rPr>
                <w:rFonts w:hint="eastAsia"/>
                <w:color w:val="FF0000"/>
                <w:highlight w:val="none"/>
                <w:lang w:eastAsia="zh-CN"/>
              </w:rPr>
              <w:t>剩余弃方由唐山港兴实业集团有限公司接收运送综合利用用于场地平整和场坪提高</w:t>
            </w:r>
            <w:r>
              <w:rPr>
                <w:rFonts w:hint="eastAsia"/>
                <w:color w:val="FF0000"/>
                <w:highlight w:val="none"/>
              </w:rPr>
              <w:t>。</w:t>
            </w:r>
          </w:p>
          <w:p>
            <w:pPr>
              <w:pStyle w:val="33"/>
              <w:bidi w:val="0"/>
              <w:rPr>
                <w:color w:val="auto"/>
                <w:highlight w:val="none"/>
              </w:rPr>
            </w:pPr>
            <w:r>
              <w:rPr>
                <w:rFonts w:hint="eastAsia"/>
                <w:color w:val="auto"/>
                <w:highlight w:val="none"/>
              </w:rPr>
              <w:t>⑤</w:t>
            </w:r>
            <w:r>
              <w:rPr>
                <w:color w:val="auto"/>
                <w:highlight w:val="none"/>
              </w:rPr>
              <w:t>施工便道</w:t>
            </w:r>
          </w:p>
          <w:p>
            <w:pPr>
              <w:pStyle w:val="33"/>
              <w:bidi w:val="0"/>
              <w:rPr>
                <w:rFonts w:hint="eastAsia"/>
                <w:color w:val="auto"/>
                <w:highlight w:val="none"/>
              </w:rPr>
            </w:pPr>
            <w:r>
              <w:rPr>
                <w:rFonts w:hint="eastAsia"/>
                <w:color w:val="FF0000"/>
                <w:highlight w:val="none"/>
              </w:rPr>
              <w:t>本项目</w:t>
            </w:r>
            <w:r>
              <w:rPr>
                <w:rFonts w:hint="eastAsia"/>
                <w:color w:val="FF0000"/>
                <w:highlight w:val="none"/>
                <w:lang w:eastAsia="zh-CN"/>
              </w:rPr>
              <w:t>在</w:t>
            </w:r>
            <w:r>
              <w:rPr>
                <w:rFonts w:hint="eastAsia"/>
                <w:color w:val="FF0000"/>
                <w:highlight w:val="none"/>
                <w:lang w:val="en-US" w:eastAsia="zh-CN"/>
              </w:rPr>
              <w:t>乐港路两侧的占地红线范围内设置施工临时道路，施工过程实行不断交施工。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233" w:type="pct"/>
            <w:noWrap w:val="0"/>
            <w:vAlign w:val="center"/>
          </w:tcPr>
          <w:p>
            <w:pPr>
              <w:keepNext w:val="0"/>
              <w:keepLines w:val="0"/>
              <w:pageBreakBefore w:val="0"/>
              <w:widowControl w:val="0"/>
              <w:kinsoku/>
              <w:wordWrap/>
              <w:overflowPunct/>
              <w:topLinePunct w:val="0"/>
              <w:bidi w:val="0"/>
              <w:adjustRightInd w:val="0"/>
              <w:snapToGrid w:val="0"/>
              <w:spacing w:line="300" w:lineRule="exact"/>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总平面及现场布置</w:t>
            </w:r>
          </w:p>
        </w:tc>
        <w:tc>
          <w:tcPr>
            <w:tcW w:w="4766" w:type="pct"/>
            <w:noWrap w:val="0"/>
            <w:vAlign w:val="center"/>
          </w:tcPr>
          <w:p>
            <w:pPr>
              <w:pStyle w:val="33"/>
              <w:bidi w:val="0"/>
              <w:rPr>
                <w:rFonts w:hint="eastAsia"/>
                <w:b/>
                <w:bCs/>
                <w:color w:val="auto"/>
                <w:highlight w:val="none"/>
              </w:rPr>
            </w:pPr>
            <w:r>
              <w:rPr>
                <w:rFonts w:hint="eastAsia"/>
                <w:b/>
                <w:bCs/>
                <w:color w:val="auto"/>
                <w:highlight w:val="none"/>
              </w:rPr>
              <w:t>1、总平面布置</w:t>
            </w:r>
          </w:p>
          <w:p>
            <w:pPr>
              <w:pStyle w:val="33"/>
              <w:bidi w:val="0"/>
              <w:rPr>
                <w:rFonts w:hint="eastAsia"/>
                <w:color w:val="auto"/>
                <w:highlight w:val="none"/>
              </w:rPr>
            </w:pPr>
            <w:r>
              <w:rPr>
                <w:rFonts w:hint="eastAsia"/>
                <w:color w:val="auto"/>
                <w:highlight w:val="none"/>
                <w:lang w:eastAsia="zh-CN"/>
              </w:rPr>
              <w:t>本</w:t>
            </w:r>
            <w:r>
              <w:rPr>
                <w:rFonts w:hint="eastAsia"/>
                <w:color w:val="auto"/>
                <w:highlight w:val="none"/>
              </w:rPr>
              <w:t>项目</w:t>
            </w:r>
            <w:r>
              <w:rPr>
                <w:rFonts w:hint="eastAsia"/>
                <w:color w:val="auto"/>
                <w:highlight w:val="none"/>
                <w:lang w:eastAsia="zh-CN"/>
              </w:rPr>
              <w:t>起、终点均位于现状国道 G509（乐港路）</w:t>
            </w:r>
            <w:r>
              <w:rPr>
                <w:rFonts w:hint="eastAsia"/>
                <w:color w:val="auto"/>
                <w:highlight w:val="none"/>
              </w:rPr>
              <w:t>，上跨G228</w:t>
            </w:r>
            <w:r>
              <w:rPr>
                <w:rFonts w:hint="eastAsia"/>
                <w:color w:val="auto"/>
                <w:highlight w:val="none"/>
                <w:lang w:val="en-US" w:eastAsia="zh-CN"/>
              </w:rPr>
              <w:t>（沿海公路）</w:t>
            </w:r>
            <w:r>
              <w:rPr>
                <w:rFonts w:hint="eastAsia"/>
                <w:color w:val="auto"/>
                <w:highlight w:val="none"/>
                <w:lang w:eastAsia="zh-CN"/>
              </w:rPr>
              <w:t>，</w:t>
            </w:r>
            <w:r>
              <w:rPr>
                <w:rFonts w:hint="eastAsia"/>
                <w:color w:val="auto"/>
                <w:highlight w:val="none"/>
              </w:rPr>
              <w:t>在G509与G228交叉口设置跨线桥+两侧辅道，直行方向设置跨线桥，其他方向交通均利用地面交通系统进行交通转换，形成地上和地面两层立交方案，通过交通信号灯控制交通流。</w:t>
            </w: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3"/>
              <w:bidi w:val="0"/>
              <w:rPr>
                <w:rFonts w:hint="eastAsia"/>
                <w:color w:val="auto"/>
                <w:highlight w:val="none"/>
              </w:rPr>
            </w:pPr>
          </w:p>
          <w:p>
            <w:pPr>
              <w:pStyle w:val="3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color w:val="auto"/>
                <w:highlight w:val="none"/>
              </w:rPr>
            </w:pPr>
            <w:r>
              <w:rPr>
                <w:rFonts w:hint="eastAsia"/>
                <w:color w:val="auto"/>
                <w:highlight w:val="none"/>
              </w:rPr>
              <w:object>
                <v:shape id="_x0000_i1026" o:spt="75" type="#_x0000_t75" style="height:246.25pt;width:420.8pt;" o:ole="t" filled="f" o:preferrelative="t" stroked="f" coordsize="21600,21600">
                  <v:path/>
                  <v:fill on="f" focussize="0,0"/>
                  <v:stroke on="f"/>
                  <v:imagedata r:id="rId15" o:title=""/>
                  <o:lock v:ext="edit" aspectratio="f"/>
                  <w10:wrap type="none"/>
                  <w10:anchorlock/>
                </v:shape>
                <o:OLEObject Type="Embed" ProgID="Visio.Drawing.11" ShapeID="_x0000_i1026" DrawAspect="Content" ObjectID="_1468075726" r:id="rId14">
                  <o:LockedField>false</o:LockedField>
                </o:OLEObject>
              </w:object>
            </w:r>
          </w:p>
          <w:p>
            <w:pPr>
              <w:pStyle w:val="41"/>
              <w:numPr>
                <w:ilvl w:val="0"/>
                <w:numId w:val="9"/>
              </w:numPr>
              <w:tabs>
                <w:tab w:val="left" w:pos="0"/>
                <w:tab w:val="clear" w:pos="420"/>
              </w:tabs>
              <w:bidi w:val="0"/>
              <w:ind w:left="425" w:leftChars="0" w:hanging="425"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本项目总平面布置效果图</w:t>
            </w:r>
          </w:p>
          <w:p>
            <w:pPr>
              <w:pStyle w:val="33"/>
              <w:bidi w:val="0"/>
              <w:rPr>
                <w:rFonts w:hint="eastAsia"/>
                <w:b/>
                <w:bCs/>
                <w:color w:val="auto"/>
                <w:highlight w:val="none"/>
              </w:rPr>
            </w:pPr>
            <w:r>
              <w:rPr>
                <w:rFonts w:hint="eastAsia"/>
                <w:b/>
                <w:bCs/>
                <w:color w:val="auto"/>
                <w:highlight w:val="none"/>
              </w:rPr>
              <w:t>2、现场布置情况</w:t>
            </w:r>
          </w:p>
          <w:p>
            <w:pPr>
              <w:pStyle w:val="33"/>
              <w:bidi w:val="0"/>
              <w:rPr>
                <w:color w:val="auto"/>
                <w:highlight w:val="none"/>
              </w:rPr>
            </w:pPr>
            <w:r>
              <w:rPr>
                <w:color w:val="auto"/>
                <w:highlight w:val="none"/>
              </w:rPr>
              <w:t>①在施工现场出入口明显位置设置公示牌，公示施工现场负责人、环保监督员、防尘措施、扬尘监督管理部门、举报投诉电话等信息；</w:t>
            </w:r>
          </w:p>
          <w:p>
            <w:pPr>
              <w:pStyle w:val="33"/>
              <w:bidi w:val="0"/>
              <w:rPr>
                <w:color w:val="auto"/>
                <w:highlight w:val="none"/>
              </w:rPr>
            </w:pPr>
            <w:r>
              <w:rPr>
                <w:color w:val="auto"/>
                <w:highlight w:val="none"/>
              </w:rPr>
              <w:t>②在施工现场周边设置硬质封闭围挡或者围墙，位于主要路段的，高度不低于2.5米，位于一般路段的，高度不低于1.8米，并在围挡底端设置不低于0.2米的防溢座；</w:t>
            </w:r>
          </w:p>
          <w:p>
            <w:pPr>
              <w:pStyle w:val="33"/>
              <w:bidi w:val="0"/>
              <w:rPr>
                <w:color w:val="auto"/>
                <w:highlight w:val="none"/>
              </w:rPr>
            </w:pPr>
            <w:r>
              <w:rPr>
                <w:rFonts w:hint="eastAsia"/>
                <w:color w:val="auto"/>
                <w:highlight w:val="none"/>
              </w:rPr>
              <w:t>③</w:t>
            </w:r>
            <w:r>
              <w:rPr>
                <w:color w:val="auto"/>
                <w:highlight w:val="none"/>
              </w:rPr>
              <w:t>对施工现场出入口、场内施工道路、材料加工堆放区进行硬化处理，</w:t>
            </w:r>
            <w:r>
              <w:rPr>
                <w:rFonts w:hint="eastAsia"/>
                <w:color w:val="auto"/>
                <w:highlight w:val="none"/>
              </w:rPr>
              <w:t>裸露地面采取绿化、遮盖、喷洒抑尘剂等防尘措施</w:t>
            </w:r>
            <w:r>
              <w:rPr>
                <w:color w:val="auto"/>
                <w:highlight w:val="none"/>
              </w:rPr>
              <w:t>；</w:t>
            </w:r>
          </w:p>
          <w:p>
            <w:pPr>
              <w:pStyle w:val="33"/>
              <w:bidi w:val="0"/>
              <w:rPr>
                <w:rFonts w:hint="eastAsia"/>
                <w:color w:val="auto"/>
                <w:highlight w:val="none"/>
              </w:rPr>
            </w:pPr>
            <w:r>
              <w:rPr>
                <w:rFonts w:hint="eastAsia"/>
                <w:color w:val="auto"/>
                <w:highlight w:val="none"/>
              </w:rPr>
              <w:t>④</w:t>
            </w:r>
            <w:r>
              <w:rPr>
                <w:color w:val="auto"/>
                <w:highlight w:val="none"/>
              </w:rPr>
              <w:t>在施工现场出</w:t>
            </w:r>
            <w:r>
              <w:rPr>
                <w:rFonts w:hint="eastAsia"/>
                <w:color w:val="auto"/>
                <w:highlight w:val="none"/>
              </w:rPr>
              <w:t>入</w:t>
            </w:r>
            <w:r>
              <w:rPr>
                <w:color w:val="auto"/>
                <w:highlight w:val="none"/>
              </w:rPr>
              <w:t>口处设置车辆清洗设施并配套设置排水、泥浆沉淀设施，</w:t>
            </w:r>
            <w:r>
              <w:rPr>
                <w:rFonts w:hint="eastAsia"/>
                <w:color w:val="auto"/>
                <w:highlight w:val="none"/>
              </w:rPr>
              <w:t>建立</w:t>
            </w:r>
            <w:r>
              <w:rPr>
                <w:color w:val="auto"/>
                <w:highlight w:val="none"/>
              </w:rPr>
              <w:t>车辆冲洗</w:t>
            </w:r>
            <w:r>
              <w:rPr>
                <w:rFonts w:hint="eastAsia"/>
                <w:color w:val="auto"/>
                <w:highlight w:val="none"/>
              </w:rPr>
              <w:t>制度并设专人管理，严禁车辆带泥上路，配备洒水设施，并由专人负责</w:t>
            </w:r>
            <w:r>
              <w:rPr>
                <w:color w:val="auto"/>
                <w:highlight w:val="none"/>
              </w:rPr>
              <w:t>；</w:t>
            </w:r>
            <w:r>
              <w:rPr>
                <w:rFonts w:hint="eastAsia"/>
                <w:color w:val="auto"/>
                <w:highlight w:val="none"/>
              </w:rPr>
              <w:t>重污染天气时，相应增加洒水频次。</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49" w:hRule="atLeast"/>
          <w:jc w:val="center"/>
        </w:trPr>
        <w:tc>
          <w:tcPr>
            <w:tcW w:w="233" w:type="pct"/>
            <w:noWrap w:val="0"/>
            <w:vAlign w:val="center"/>
          </w:tcPr>
          <w:p>
            <w:pPr>
              <w:keepNext w:val="0"/>
              <w:keepLines w:val="0"/>
              <w:pageBreakBefore w:val="0"/>
              <w:widowControl w:val="0"/>
              <w:kinsoku/>
              <w:wordWrap/>
              <w:overflowPunct/>
              <w:topLinePunct w:val="0"/>
              <w:bidi w:val="0"/>
              <w:adjustRightInd w:val="0"/>
              <w:snapToGrid w:val="0"/>
              <w:spacing w:line="300" w:lineRule="exact"/>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施工方案</w:t>
            </w:r>
          </w:p>
        </w:tc>
        <w:tc>
          <w:tcPr>
            <w:tcW w:w="4766" w:type="pct"/>
            <w:noWrap w:val="0"/>
            <w:vAlign w:val="center"/>
          </w:tcPr>
          <w:p>
            <w:pPr>
              <w:pStyle w:val="33"/>
              <w:bidi w:val="0"/>
              <w:rPr>
                <w:b/>
                <w:bCs/>
                <w:color w:val="auto"/>
                <w:highlight w:val="none"/>
              </w:rPr>
            </w:pPr>
            <w:r>
              <w:rPr>
                <w:rFonts w:hint="eastAsia"/>
                <w:b/>
                <w:bCs/>
                <w:color w:val="auto"/>
                <w:highlight w:val="none"/>
                <w:lang w:val="en-US" w:eastAsia="zh-CN"/>
              </w:rPr>
              <w:t>1</w:t>
            </w:r>
            <w:r>
              <w:rPr>
                <w:b/>
                <w:bCs/>
                <w:color w:val="auto"/>
                <w:highlight w:val="none"/>
              </w:rPr>
              <w:t>、施工工艺</w:t>
            </w:r>
          </w:p>
          <w:p>
            <w:pPr>
              <w:pStyle w:val="33"/>
              <w:bidi w:val="0"/>
              <w:rPr>
                <w:rFonts w:hint="eastAsia"/>
                <w:b/>
                <w:bCs/>
                <w:color w:val="auto"/>
                <w:highlight w:val="none"/>
                <w:lang w:eastAsia="zh-CN"/>
              </w:rPr>
            </w:pPr>
            <w:r>
              <w:rPr>
                <w:rFonts w:hint="eastAsia"/>
                <w:b/>
                <w:bCs/>
                <w:color w:val="auto"/>
                <w:highlight w:val="none"/>
                <w:lang w:eastAsia="zh-CN"/>
              </w:rPr>
              <w:t>（</w:t>
            </w:r>
            <w:r>
              <w:rPr>
                <w:rFonts w:hint="eastAsia"/>
                <w:b/>
                <w:bCs/>
                <w:color w:val="auto"/>
                <w:highlight w:val="none"/>
                <w:lang w:val="en-US" w:eastAsia="zh-CN"/>
              </w:rPr>
              <w:t>1</w:t>
            </w:r>
            <w:r>
              <w:rPr>
                <w:rFonts w:hint="eastAsia"/>
                <w:b/>
                <w:bCs/>
                <w:color w:val="auto"/>
                <w:highlight w:val="none"/>
                <w:lang w:eastAsia="zh-CN"/>
              </w:rPr>
              <w:t>）准备工作</w:t>
            </w:r>
          </w:p>
          <w:p>
            <w:pPr>
              <w:pStyle w:val="33"/>
              <w:bidi w:val="0"/>
              <w:rPr>
                <w:rFonts w:hint="eastAsia"/>
                <w:color w:val="auto"/>
                <w:highlight w:val="none"/>
                <w:lang w:eastAsia="zh-CN"/>
              </w:rPr>
            </w:pPr>
            <w:r>
              <w:rPr>
                <w:rFonts w:hint="eastAsia"/>
                <w:color w:val="auto"/>
                <w:highlight w:val="none"/>
                <w:lang w:eastAsia="zh-CN"/>
              </w:rPr>
              <w:t>施工准备工作包括：征用土地、平整场地及部分临时工程（如临时房屋、电力、电讯等）。在此期间，部分路段路基土的备土工作也应安排进行，临时设施的某些工程可视工程进展需要确定实施时间（如路面施工设施等）。</w:t>
            </w:r>
          </w:p>
          <w:p>
            <w:pPr>
              <w:pStyle w:val="33"/>
              <w:bidi w:val="0"/>
              <w:rPr>
                <w:b/>
                <w:bCs/>
                <w:color w:val="auto"/>
                <w:highlight w:val="none"/>
              </w:rPr>
            </w:pPr>
            <w:r>
              <w:rPr>
                <w:rFonts w:hint="eastAsia"/>
                <w:b/>
                <w:bCs/>
                <w:color w:val="auto"/>
                <w:highlight w:val="none"/>
                <w:lang w:eastAsia="zh-CN"/>
              </w:rPr>
              <w:t>（</w:t>
            </w:r>
            <w:r>
              <w:rPr>
                <w:rFonts w:hint="eastAsia"/>
                <w:b/>
                <w:bCs/>
                <w:color w:val="auto"/>
                <w:highlight w:val="none"/>
                <w:lang w:val="en-US" w:eastAsia="zh-CN"/>
              </w:rPr>
              <w:t>2</w:t>
            </w:r>
            <w:r>
              <w:rPr>
                <w:rFonts w:hint="eastAsia"/>
                <w:b/>
                <w:bCs/>
                <w:color w:val="auto"/>
                <w:highlight w:val="none"/>
                <w:lang w:eastAsia="zh-CN"/>
              </w:rPr>
              <w:t>）</w:t>
            </w:r>
            <w:r>
              <w:rPr>
                <w:b/>
                <w:bCs/>
                <w:color w:val="auto"/>
                <w:highlight w:val="none"/>
              </w:rPr>
              <w:t>道路工程</w:t>
            </w:r>
          </w:p>
          <w:p>
            <w:pPr>
              <w:pStyle w:val="33"/>
              <w:bidi w:val="0"/>
              <w:rPr>
                <w:color w:val="auto"/>
                <w:highlight w:val="none"/>
              </w:rPr>
            </w:pPr>
            <w:r>
              <w:rPr>
                <w:rFonts w:hint="eastAsia"/>
                <w:color w:val="auto"/>
                <w:highlight w:val="none"/>
              </w:rPr>
              <w:t>本项目道路工程施工工艺包括现有路面铣刨、清表和土地平整、机械作业和材料运输、管线施工、路基施工、路面施工、照明及信号灯安装、绿化等，工艺流程及产污环节</w:t>
            </w:r>
            <w:r>
              <w:rPr>
                <w:rFonts w:hint="eastAsia"/>
                <w:color w:val="auto"/>
                <w:highlight w:val="none"/>
                <w:lang w:eastAsia="zh-CN"/>
              </w:rPr>
              <w:t>如下</w:t>
            </w:r>
            <w:r>
              <w:rPr>
                <w:rFonts w:hint="eastAsia"/>
                <w:color w:val="auto"/>
                <w:highlight w:val="none"/>
              </w:rPr>
              <w:t>：</w:t>
            </w:r>
          </w:p>
          <w:p>
            <w:pPr>
              <w:pStyle w:val="33"/>
              <w:bidi w:val="0"/>
              <w:rPr>
                <w:color w:val="auto"/>
                <w:highlight w:val="none"/>
              </w:rPr>
            </w:pPr>
            <w:r>
              <w:rPr>
                <w:color w:val="auto"/>
                <w:highlight w:val="none"/>
              </w:rPr>
              <w:t>1</w:t>
            </w:r>
            <w:r>
              <w:rPr>
                <w:rFonts w:hint="eastAsia"/>
                <w:color w:val="auto"/>
                <w:highlight w:val="none"/>
              </w:rPr>
              <w:t>）</w:t>
            </w:r>
            <w:bookmarkStart w:id="12" w:name="OLE_LINK5"/>
            <w:bookmarkStart w:id="13" w:name="OLE_LINK4"/>
            <w:r>
              <w:rPr>
                <w:rFonts w:hint="eastAsia"/>
                <w:color w:val="auto"/>
                <w:highlight w:val="none"/>
              </w:rPr>
              <w:t>现有路面铣刨</w:t>
            </w:r>
            <w:bookmarkEnd w:id="12"/>
            <w:bookmarkEnd w:id="13"/>
            <w:r>
              <w:rPr>
                <w:rFonts w:hint="eastAsia"/>
                <w:color w:val="auto"/>
                <w:highlight w:val="none"/>
              </w:rPr>
              <w:t xml:space="preserve">、场地平整 </w:t>
            </w:r>
          </w:p>
          <w:p>
            <w:pPr>
              <w:pStyle w:val="33"/>
              <w:bidi w:val="0"/>
              <w:rPr>
                <w:rFonts w:hint="eastAsia"/>
                <w:color w:val="auto"/>
                <w:highlight w:val="none"/>
              </w:rPr>
            </w:pPr>
            <w:r>
              <w:rPr>
                <w:rFonts w:hint="eastAsia"/>
                <w:color w:val="auto"/>
                <w:highlight w:val="none"/>
              </w:rPr>
              <w:t>将需要</w:t>
            </w:r>
            <w:r>
              <w:rPr>
                <w:rFonts w:hint="eastAsia"/>
                <w:color w:val="auto"/>
                <w:highlight w:val="none"/>
                <w:lang w:eastAsia="zh-CN"/>
              </w:rPr>
              <w:t>拆除</w:t>
            </w:r>
            <w:r>
              <w:rPr>
                <w:rFonts w:hint="eastAsia"/>
                <w:color w:val="auto"/>
                <w:highlight w:val="none"/>
              </w:rPr>
              <w:t>的路段破除，场地进行平整。</w:t>
            </w:r>
          </w:p>
          <w:p>
            <w:pPr>
              <w:pStyle w:val="33"/>
              <w:bidi w:val="0"/>
              <w:rPr>
                <w:rFonts w:hint="eastAsia"/>
                <w:b/>
                <w:bCs/>
                <w:color w:val="auto"/>
                <w:highlight w:val="none"/>
              </w:rPr>
            </w:pPr>
            <w:r>
              <w:rPr>
                <w:rFonts w:hint="eastAsia"/>
                <w:b/>
                <w:bCs/>
                <w:color w:val="auto"/>
                <w:highlight w:val="none"/>
              </w:rPr>
              <w:t>产污节点：此过程产生施工机械噪声</w:t>
            </w:r>
            <w:r>
              <w:rPr>
                <w:rFonts w:hint="eastAsia"/>
                <w:b/>
                <w:bCs/>
                <w:color w:val="auto"/>
                <w:highlight w:val="none"/>
                <w:lang w:eastAsia="zh-CN"/>
              </w:rPr>
              <w:t>、</w:t>
            </w:r>
            <w:r>
              <w:rPr>
                <w:rFonts w:hint="eastAsia"/>
                <w:b/>
                <w:bCs/>
                <w:color w:val="auto"/>
                <w:highlight w:val="none"/>
              </w:rPr>
              <w:t>施工扬尘</w:t>
            </w:r>
            <w:r>
              <w:rPr>
                <w:rFonts w:hint="eastAsia"/>
                <w:b/>
                <w:bCs/>
                <w:color w:val="auto"/>
                <w:highlight w:val="none"/>
                <w:lang w:eastAsia="zh-CN"/>
              </w:rPr>
              <w:t>、</w:t>
            </w:r>
            <w:r>
              <w:rPr>
                <w:rFonts w:hint="eastAsia"/>
                <w:b/>
                <w:bCs/>
                <w:color w:val="auto"/>
                <w:highlight w:val="none"/>
              </w:rPr>
              <w:t>建筑垃圾。</w:t>
            </w:r>
          </w:p>
          <w:p>
            <w:pPr>
              <w:pStyle w:val="33"/>
              <w:bidi w:val="0"/>
              <w:rPr>
                <w:color w:val="auto"/>
                <w:highlight w:val="none"/>
              </w:rPr>
            </w:pPr>
            <w:r>
              <w:rPr>
                <w:color w:val="auto"/>
                <w:highlight w:val="none"/>
              </w:rPr>
              <w:t>2</w:t>
            </w:r>
            <w:r>
              <w:rPr>
                <w:rFonts w:hint="eastAsia"/>
                <w:color w:val="auto"/>
                <w:highlight w:val="none"/>
              </w:rPr>
              <w:t xml:space="preserve">）材料准备 </w:t>
            </w:r>
          </w:p>
          <w:p>
            <w:pPr>
              <w:pStyle w:val="33"/>
              <w:bidi w:val="0"/>
              <w:rPr>
                <w:rFonts w:hint="eastAsia"/>
                <w:color w:val="auto"/>
                <w:highlight w:val="none"/>
              </w:rPr>
            </w:pPr>
            <w:r>
              <w:rPr>
                <w:rFonts w:hint="eastAsia"/>
                <w:color w:val="auto"/>
                <w:highlight w:val="none"/>
                <w:lang w:eastAsia="zh-CN"/>
              </w:rPr>
              <w:t>本</w:t>
            </w:r>
            <w:r>
              <w:rPr>
                <w:rFonts w:hint="eastAsia"/>
                <w:color w:val="auto"/>
                <w:highlight w:val="none"/>
              </w:rPr>
              <w:t>项目建设使用的砂</w:t>
            </w:r>
            <w:r>
              <w:rPr>
                <w:rFonts w:hint="eastAsia"/>
                <w:color w:val="auto"/>
                <w:highlight w:val="none"/>
                <w:lang w:eastAsia="zh-CN"/>
              </w:rPr>
              <w:t>石</w:t>
            </w:r>
            <w:r>
              <w:rPr>
                <w:rFonts w:hint="eastAsia"/>
                <w:color w:val="auto"/>
                <w:highlight w:val="none"/>
              </w:rPr>
              <w:t>、石</w:t>
            </w:r>
            <w:r>
              <w:rPr>
                <w:rFonts w:hint="eastAsia"/>
                <w:color w:val="auto"/>
                <w:highlight w:val="none"/>
                <w:lang w:eastAsia="zh-CN"/>
              </w:rPr>
              <w:t>料</w:t>
            </w:r>
            <w:r>
              <w:rPr>
                <w:rFonts w:hint="eastAsia"/>
                <w:color w:val="auto"/>
                <w:highlight w:val="none"/>
              </w:rPr>
              <w:t>、水泥、沥青</w:t>
            </w:r>
            <w:r>
              <w:rPr>
                <w:rFonts w:hint="eastAsia"/>
                <w:color w:val="auto"/>
                <w:highlight w:val="none"/>
                <w:lang w:eastAsia="zh-CN"/>
              </w:rPr>
              <w:t>、钢筋</w:t>
            </w:r>
            <w:r>
              <w:rPr>
                <w:rFonts w:hint="eastAsia"/>
                <w:color w:val="auto"/>
                <w:highlight w:val="none"/>
              </w:rPr>
              <w:t>等主要材料，根据设计要求和施工组织计划，应保证质量，随时供应到位，材料运输一般采用汽车运输为主。</w:t>
            </w:r>
          </w:p>
          <w:p>
            <w:pPr>
              <w:pStyle w:val="33"/>
              <w:bidi w:val="0"/>
              <w:rPr>
                <w:b/>
                <w:bCs/>
                <w:color w:val="auto"/>
                <w:highlight w:val="none"/>
              </w:rPr>
            </w:pPr>
            <w:r>
              <w:rPr>
                <w:rFonts w:hint="eastAsia"/>
                <w:b/>
                <w:bCs/>
                <w:color w:val="auto"/>
                <w:highlight w:val="none"/>
                <w:lang w:eastAsia="zh-CN"/>
              </w:rPr>
              <w:t>产污节点：此过程</w:t>
            </w:r>
            <w:r>
              <w:rPr>
                <w:rFonts w:hint="eastAsia"/>
                <w:b/>
                <w:bCs/>
                <w:color w:val="auto"/>
                <w:highlight w:val="none"/>
              </w:rPr>
              <w:t>产生施工扬尘</w:t>
            </w:r>
            <w:r>
              <w:rPr>
                <w:rFonts w:hint="eastAsia"/>
                <w:b/>
                <w:bCs/>
                <w:color w:val="auto"/>
                <w:highlight w:val="none"/>
                <w:lang w:eastAsia="zh-CN"/>
              </w:rPr>
              <w:t>、</w:t>
            </w:r>
            <w:r>
              <w:rPr>
                <w:rFonts w:hint="eastAsia"/>
                <w:b/>
                <w:bCs/>
                <w:color w:val="auto"/>
                <w:highlight w:val="none"/>
              </w:rPr>
              <w:t xml:space="preserve">运输车辆噪声。 </w:t>
            </w:r>
          </w:p>
          <w:p>
            <w:pPr>
              <w:pStyle w:val="33"/>
              <w:bidi w:val="0"/>
              <w:rPr>
                <w:rFonts w:hint="eastAsia" w:eastAsia="宋体"/>
                <w:color w:val="auto"/>
                <w:highlight w:val="none"/>
                <w:lang w:eastAsia="zh-CN"/>
              </w:rPr>
            </w:pPr>
            <w:r>
              <w:rPr>
                <w:color w:val="auto"/>
                <w:highlight w:val="none"/>
              </w:rPr>
              <w:t>3</w:t>
            </w:r>
            <w:r>
              <w:rPr>
                <w:rFonts w:hint="eastAsia"/>
                <w:color w:val="auto"/>
                <w:highlight w:val="none"/>
              </w:rPr>
              <w:t>）</w:t>
            </w:r>
            <w:r>
              <w:rPr>
                <w:rFonts w:hint="eastAsia"/>
                <w:color w:val="auto"/>
                <w:highlight w:val="none"/>
                <w:lang w:eastAsia="zh-CN"/>
              </w:rPr>
              <w:t>土方施工</w:t>
            </w:r>
          </w:p>
          <w:p>
            <w:pPr>
              <w:pStyle w:val="33"/>
              <w:bidi w:val="0"/>
              <w:rPr>
                <w:color w:val="auto"/>
                <w:highlight w:val="none"/>
              </w:rPr>
            </w:pPr>
            <w:r>
              <w:rPr>
                <w:rFonts w:hint="eastAsia"/>
                <w:color w:val="auto"/>
                <w:highlight w:val="none"/>
              </w:rPr>
              <w:t>首先对表土进行清理和收集，</w:t>
            </w:r>
            <w:r>
              <w:rPr>
                <w:rFonts w:hint="eastAsia"/>
                <w:color w:val="auto"/>
                <w:highlight w:val="none"/>
                <w:lang w:eastAsia="zh-CN"/>
              </w:rPr>
              <w:t>场地平整，</w:t>
            </w:r>
            <w:r>
              <w:rPr>
                <w:rFonts w:hint="eastAsia"/>
                <w:color w:val="FF0000"/>
                <w:highlight w:val="none"/>
                <w:lang w:eastAsia="zh-CN"/>
              </w:rPr>
              <w:t>剥离表土暂存唐山港兴实业有限公司用地</w:t>
            </w:r>
            <w:r>
              <w:rPr>
                <w:rFonts w:hint="eastAsia"/>
                <w:color w:val="FF0000"/>
                <w:highlight w:val="none"/>
              </w:rPr>
              <w:t>，</w:t>
            </w:r>
            <w:r>
              <w:rPr>
                <w:rFonts w:hint="eastAsia"/>
                <w:color w:val="auto"/>
                <w:highlight w:val="none"/>
              </w:rPr>
              <w:t>等待回填使用。</w:t>
            </w:r>
          </w:p>
          <w:p>
            <w:pPr>
              <w:pStyle w:val="33"/>
              <w:bidi w:val="0"/>
              <w:rPr>
                <w:rFonts w:hint="eastAsia" w:eastAsia="宋体"/>
                <w:b/>
                <w:bCs/>
                <w:color w:val="auto"/>
                <w:highlight w:val="none"/>
                <w:lang w:eastAsia="zh-CN"/>
              </w:rPr>
            </w:pPr>
            <w:r>
              <w:rPr>
                <w:rFonts w:hint="eastAsia"/>
                <w:b/>
                <w:bCs/>
                <w:color w:val="auto"/>
                <w:highlight w:val="none"/>
              </w:rPr>
              <w:t>产污节点：此过程产生施工机械噪声</w:t>
            </w:r>
            <w:r>
              <w:rPr>
                <w:rFonts w:hint="eastAsia"/>
                <w:b/>
                <w:bCs/>
                <w:color w:val="auto"/>
                <w:highlight w:val="none"/>
                <w:lang w:eastAsia="zh-CN"/>
              </w:rPr>
              <w:t>、运输车辆噪声、</w:t>
            </w:r>
            <w:r>
              <w:rPr>
                <w:rFonts w:hint="eastAsia"/>
                <w:b/>
                <w:bCs/>
                <w:color w:val="auto"/>
                <w:highlight w:val="none"/>
              </w:rPr>
              <w:t>施工扬尘</w:t>
            </w:r>
            <w:r>
              <w:rPr>
                <w:rFonts w:hint="eastAsia"/>
                <w:b/>
                <w:bCs/>
                <w:color w:val="auto"/>
                <w:highlight w:val="none"/>
                <w:lang w:eastAsia="zh-CN"/>
              </w:rPr>
              <w:t>、弃土。</w:t>
            </w:r>
          </w:p>
          <w:p>
            <w:pPr>
              <w:pStyle w:val="33"/>
              <w:bidi w:val="0"/>
              <w:rPr>
                <w:color w:val="auto"/>
                <w:highlight w:val="none"/>
              </w:rPr>
            </w:pPr>
            <w:r>
              <w:rPr>
                <w:color w:val="auto"/>
                <w:highlight w:val="none"/>
              </w:rPr>
              <w:t>4</w:t>
            </w:r>
            <w:r>
              <w:rPr>
                <w:rFonts w:hint="eastAsia"/>
                <w:color w:val="auto"/>
                <w:highlight w:val="none"/>
              </w:rPr>
              <w:t>）管线施工</w:t>
            </w:r>
          </w:p>
          <w:p>
            <w:pPr>
              <w:pStyle w:val="33"/>
              <w:bidi w:val="0"/>
              <w:rPr>
                <w:color w:val="auto"/>
                <w:highlight w:val="none"/>
              </w:rPr>
            </w:pPr>
            <w:r>
              <w:rPr>
                <w:rFonts w:hint="eastAsia"/>
                <w:color w:val="auto"/>
                <w:highlight w:val="none"/>
              </w:rPr>
              <w:t>在路基施工之</w:t>
            </w:r>
            <w:r>
              <w:rPr>
                <w:rFonts w:hint="eastAsia"/>
                <w:color w:val="auto"/>
                <w:highlight w:val="none"/>
                <w:lang w:eastAsia="zh-CN"/>
              </w:rPr>
              <w:t>前</w:t>
            </w:r>
            <w:r>
              <w:rPr>
                <w:rFonts w:hint="eastAsia"/>
                <w:color w:val="auto"/>
                <w:highlight w:val="none"/>
              </w:rPr>
              <w:t>，要进行各种管线敷设</w:t>
            </w:r>
            <w:r>
              <w:rPr>
                <w:rFonts w:hint="eastAsia"/>
                <w:color w:val="auto"/>
                <w:highlight w:val="none"/>
                <w:lang w:eastAsia="zh-CN"/>
              </w:rPr>
              <w:t>，</w:t>
            </w:r>
            <w:r>
              <w:rPr>
                <w:rFonts w:hint="eastAsia"/>
                <w:color w:val="auto"/>
                <w:highlight w:val="none"/>
              </w:rPr>
              <w:t>管沟开挖产生的土方暂存管沟外一侧</w:t>
            </w:r>
            <w:r>
              <w:rPr>
                <w:rFonts w:hint="eastAsia"/>
                <w:color w:val="auto"/>
                <w:highlight w:val="none"/>
                <w:lang w:eastAsia="zh-CN"/>
              </w:rPr>
              <w:t>临时存放</w:t>
            </w:r>
            <w:r>
              <w:rPr>
                <w:rFonts w:hint="eastAsia"/>
                <w:color w:val="auto"/>
                <w:highlight w:val="none"/>
              </w:rPr>
              <w:t>，待管线敷设完成后将土方回填</w:t>
            </w:r>
            <w:r>
              <w:rPr>
                <w:rFonts w:hint="eastAsia"/>
                <w:color w:val="auto"/>
                <w:highlight w:val="none"/>
                <w:lang w:eastAsia="zh-CN"/>
              </w:rPr>
              <w:t>，剩余土方运至临时堆土场暂存</w:t>
            </w:r>
            <w:r>
              <w:rPr>
                <w:rFonts w:hint="eastAsia"/>
                <w:color w:val="auto"/>
                <w:highlight w:val="none"/>
              </w:rPr>
              <w:t xml:space="preserve">。 </w:t>
            </w:r>
          </w:p>
          <w:p>
            <w:pPr>
              <w:pStyle w:val="33"/>
              <w:bidi w:val="0"/>
              <w:rPr>
                <w:rFonts w:hint="eastAsia"/>
                <w:b/>
                <w:bCs/>
                <w:color w:val="auto"/>
                <w:highlight w:val="none"/>
              </w:rPr>
            </w:pPr>
            <w:r>
              <w:rPr>
                <w:rFonts w:hint="eastAsia"/>
                <w:b/>
                <w:bCs/>
                <w:color w:val="auto"/>
                <w:highlight w:val="none"/>
              </w:rPr>
              <w:t>产污节点：此过程产生施工机械噪声</w:t>
            </w:r>
            <w:r>
              <w:rPr>
                <w:rFonts w:hint="eastAsia"/>
                <w:b/>
                <w:bCs/>
                <w:color w:val="auto"/>
                <w:highlight w:val="none"/>
                <w:lang w:val="en-US" w:eastAsia="zh-CN"/>
              </w:rPr>
              <w:t>、</w:t>
            </w:r>
            <w:r>
              <w:rPr>
                <w:rFonts w:hint="eastAsia"/>
                <w:b/>
                <w:bCs/>
                <w:color w:val="auto"/>
                <w:highlight w:val="none"/>
              </w:rPr>
              <w:t>施工扬尘</w:t>
            </w:r>
            <w:r>
              <w:rPr>
                <w:rFonts w:hint="eastAsia"/>
                <w:b/>
                <w:bCs/>
                <w:color w:val="auto"/>
                <w:highlight w:val="none"/>
                <w:lang w:eastAsia="zh-CN"/>
              </w:rPr>
              <w:t>、</w:t>
            </w:r>
            <w:r>
              <w:rPr>
                <w:rFonts w:hint="eastAsia"/>
                <w:b/>
                <w:bCs/>
                <w:color w:val="auto"/>
                <w:highlight w:val="none"/>
              </w:rPr>
              <w:t>焊接烟尘</w:t>
            </w:r>
            <w:r>
              <w:rPr>
                <w:rFonts w:hint="eastAsia"/>
                <w:b/>
                <w:bCs/>
                <w:color w:val="auto"/>
                <w:highlight w:val="none"/>
                <w:lang w:eastAsia="zh-CN"/>
              </w:rPr>
              <w:t>、</w:t>
            </w:r>
            <w:r>
              <w:rPr>
                <w:rFonts w:hint="eastAsia"/>
                <w:b/>
                <w:bCs/>
                <w:color w:val="auto"/>
                <w:highlight w:val="none"/>
              </w:rPr>
              <w:t>施工废水</w:t>
            </w:r>
            <w:r>
              <w:rPr>
                <w:rFonts w:hint="eastAsia"/>
                <w:b/>
                <w:bCs/>
                <w:color w:val="auto"/>
                <w:highlight w:val="none"/>
                <w:lang w:eastAsia="zh-CN"/>
              </w:rPr>
              <w:t>、弃土</w:t>
            </w:r>
            <w:r>
              <w:rPr>
                <w:rFonts w:hint="eastAsia"/>
                <w:b/>
                <w:bCs/>
                <w:color w:val="auto"/>
                <w:highlight w:val="none"/>
              </w:rPr>
              <w:t>。</w:t>
            </w:r>
          </w:p>
          <w:p>
            <w:pPr>
              <w:pStyle w:val="33"/>
              <w:bidi w:val="0"/>
              <w:rPr>
                <w:color w:val="auto"/>
                <w:highlight w:val="none"/>
              </w:rPr>
            </w:pPr>
            <w:r>
              <w:rPr>
                <w:color w:val="auto"/>
                <w:highlight w:val="none"/>
              </w:rPr>
              <w:t>5</w:t>
            </w:r>
            <w:r>
              <w:rPr>
                <w:rFonts w:hint="eastAsia"/>
                <w:color w:val="auto"/>
                <w:highlight w:val="none"/>
              </w:rPr>
              <w:t xml:space="preserve">）路基施工 </w:t>
            </w:r>
          </w:p>
          <w:p>
            <w:pPr>
              <w:pStyle w:val="33"/>
              <w:bidi w:val="0"/>
              <w:rPr>
                <w:rFonts w:hint="eastAsia"/>
                <w:color w:val="auto"/>
                <w:highlight w:val="none"/>
              </w:rPr>
            </w:pPr>
            <w:r>
              <w:rPr>
                <w:rFonts w:hint="eastAsia"/>
                <w:color w:val="auto"/>
                <w:highlight w:val="none"/>
              </w:rPr>
              <w:t>管线敷设完成后进行路基施工，路基施工采用机械化、大型机械作业。</w:t>
            </w:r>
          </w:p>
          <w:p>
            <w:pPr>
              <w:pStyle w:val="33"/>
              <w:bidi w:val="0"/>
              <w:rPr>
                <w:rFonts w:hint="eastAsia"/>
                <w:color w:val="auto"/>
                <w:highlight w:val="none"/>
              </w:rPr>
            </w:pPr>
            <w:r>
              <w:rPr>
                <w:rFonts w:hint="eastAsia"/>
                <w:color w:val="auto"/>
                <w:highlight w:val="none"/>
              </w:rPr>
              <w:t>①排水：工地的临时排水，根据施工现场地形地貌，合理开挖临时排水沟，并长期保持通顺﹐路基施工每层土方填筑时﹐保证留有横坡，确保雨天现场路基不积水、不存水、不冲刷，保证现场路基安全。一切施工、生活污水排入指定的渠道，不可乱排，污染环境。</w:t>
            </w:r>
          </w:p>
          <w:p>
            <w:pPr>
              <w:pStyle w:val="33"/>
              <w:bidi w:val="0"/>
              <w:rPr>
                <w:rFonts w:hint="eastAsia"/>
                <w:color w:val="auto"/>
                <w:highlight w:val="none"/>
              </w:rPr>
            </w:pPr>
            <w:r>
              <w:rPr>
                <w:rFonts w:hint="eastAsia"/>
                <w:color w:val="auto"/>
                <w:highlight w:val="none"/>
              </w:rPr>
              <w:t>②路基开挖：清表、临时排水工序结束后，对计划施工路基段落进行填筑段落中线、开挖段落开挖边线放样，然后对其开挖。</w:t>
            </w:r>
          </w:p>
          <w:p>
            <w:pPr>
              <w:pStyle w:val="33"/>
              <w:bidi w:val="0"/>
              <w:rPr>
                <w:rFonts w:hint="eastAsia"/>
                <w:color w:val="auto"/>
                <w:highlight w:val="none"/>
              </w:rPr>
            </w:pPr>
            <w:r>
              <w:rPr>
                <w:rFonts w:hint="eastAsia"/>
                <w:color w:val="auto"/>
                <w:highlight w:val="none"/>
              </w:rPr>
              <w:t>③碾压：路基清表结束后，先对路基进行填前碾压，压实度要求≥90%，路基填土高度小于路面和路床总厚度时，基底应按设计要求处理。合格后方可进行路基填筑施工。</w:t>
            </w:r>
          </w:p>
          <w:p>
            <w:pPr>
              <w:pStyle w:val="33"/>
              <w:bidi w:val="0"/>
              <w:rPr>
                <w:b/>
                <w:bCs/>
                <w:color w:val="auto"/>
                <w:highlight w:val="none"/>
              </w:rPr>
            </w:pPr>
            <w:r>
              <w:rPr>
                <w:rFonts w:hint="eastAsia"/>
                <w:b/>
                <w:bCs/>
                <w:color w:val="auto"/>
                <w:highlight w:val="none"/>
              </w:rPr>
              <w:t>产污节点：此过程产生施工机械噪声</w:t>
            </w:r>
            <w:r>
              <w:rPr>
                <w:rFonts w:hint="eastAsia"/>
                <w:b/>
                <w:bCs/>
                <w:color w:val="auto"/>
                <w:highlight w:val="none"/>
                <w:lang w:eastAsia="zh-CN"/>
              </w:rPr>
              <w:t>、</w:t>
            </w:r>
            <w:r>
              <w:rPr>
                <w:rFonts w:hint="eastAsia"/>
                <w:b/>
                <w:bCs/>
                <w:color w:val="auto"/>
                <w:highlight w:val="none"/>
              </w:rPr>
              <w:t>施工扬尘</w:t>
            </w:r>
            <w:r>
              <w:rPr>
                <w:rFonts w:hint="eastAsia"/>
                <w:b/>
                <w:bCs/>
                <w:color w:val="auto"/>
                <w:highlight w:val="none"/>
                <w:lang w:eastAsia="zh-CN"/>
              </w:rPr>
              <w:t>、</w:t>
            </w:r>
            <w:r>
              <w:rPr>
                <w:rFonts w:hint="eastAsia"/>
                <w:b/>
                <w:bCs/>
                <w:color w:val="auto"/>
                <w:highlight w:val="none"/>
              </w:rPr>
              <w:t xml:space="preserve">施工废水。 </w:t>
            </w:r>
          </w:p>
          <w:p>
            <w:pPr>
              <w:pStyle w:val="33"/>
              <w:bidi w:val="0"/>
              <w:rPr>
                <w:color w:val="FF0000"/>
                <w:highlight w:val="none"/>
              </w:rPr>
            </w:pPr>
            <w:r>
              <w:rPr>
                <w:color w:val="FF0000"/>
                <w:highlight w:val="none"/>
              </w:rPr>
              <w:t>6</w:t>
            </w:r>
            <w:r>
              <w:rPr>
                <w:rFonts w:hint="eastAsia"/>
                <w:color w:val="FF0000"/>
                <w:highlight w:val="none"/>
              </w:rPr>
              <w:t xml:space="preserve">）路面施工 </w:t>
            </w:r>
          </w:p>
          <w:p>
            <w:pPr>
              <w:pStyle w:val="33"/>
              <w:bidi w:val="0"/>
              <w:rPr>
                <w:rFonts w:hint="eastAsia"/>
                <w:color w:val="FF0000"/>
                <w:highlight w:val="none"/>
              </w:rPr>
            </w:pPr>
            <w:r>
              <w:rPr>
                <w:rFonts w:hint="eastAsia"/>
                <w:color w:val="FF0000"/>
                <w:highlight w:val="none"/>
                <w:lang w:val="en-US" w:eastAsia="zh-CN"/>
              </w:rPr>
              <w:t xml:space="preserve">水泥稳定层施工工艺流程为：混合料运输→摊铺→碾压→接缝→养生。外购水泥稳定层由自卸卡车运至现场由专用摊铺机摊铺，摊铺后采用压路机进行碾压，摊铺中注意接缝处理，碾压后及时进行养护。 </w:t>
            </w:r>
          </w:p>
          <w:p>
            <w:pPr>
              <w:pStyle w:val="33"/>
              <w:bidi w:val="0"/>
              <w:rPr>
                <w:rFonts w:hint="eastAsia"/>
                <w:color w:val="FF0000"/>
                <w:highlight w:val="none"/>
              </w:rPr>
            </w:pPr>
            <w:r>
              <w:rPr>
                <w:rFonts w:hint="eastAsia"/>
                <w:color w:val="FF0000"/>
                <w:highlight w:val="none"/>
                <w:lang w:val="en-US" w:eastAsia="zh-CN"/>
              </w:rPr>
              <w:t>沥青路面施工工艺流程为：测量放线→沥青混合料运输→摊铺→静压（初压）→振动碾压（复压）→静压（终压）→接缝处理→检查验收。外购沥青混合料采用从由自卸卡车运送至施工现场，由沥青摊铺机摊铺，并采用压路机进行碾压。</w:t>
            </w:r>
          </w:p>
          <w:p>
            <w:pPr>
              <w:pStyle w:val="33"/>
              <w:bidi w:val="0"/>
              <w:rPr>
                <w:b/>
                <w:bCs/>
                <w:color w:val="auto"/>
                <w:highlight w:val="none"/>
              </w:rPr>
            </w:pPr>
            <w:r>
              <w:rPr>
                <w:rFonts w:hint="eastAsia"/>
                <w:b/>
                <w:bCs/>
                <w:color w:val="auto"/>
                <w:highlight w:val="none"/>
              </w:rPr>
              <w:t>产污节点：此过程产生施工机械噪声</w:t>
            </w:r>
            <w:r>
              <w:rPr>
                <w:rFonts w:hint="eastAsia"/>
                <w:b/>
                <w:bCs/>
                <w:color w:val="auto"/>
                <w:highlight w:val="none"/>
                <w:lang w:eastAsia="zh-CN"/>
              </w:rPr>
              <w:t>、</w:t>
            </w:r>
            <w:r>
              <w:rPr>
                <w:rFonts w:hint="eastAsia"/>
                <w:b/>
                <w:bCs/>
                <w:color w:val="auto"/>
                <w:highlight w:val="none"/>
              </w:rPr>
              <w:t xml:space="preserve">施工沥青烟。 </w:t>
            </w:r>
          </w:p>
          <w:p>
            <w:pPr>
              <w:pStyle w:val="33"/>
              <w:bidi w:val="0"/>
              <w:rPr>
                <w:color w:val="auto"/>
                <w:highlight w:val="none"/>
              </w:rPr>
            </w:pPr>
            <w:r>
              <w:rPr>
                <w:color w:val="auto"/>
                <w:highlight w:val="none"/>
              </w:rPr>
              <w:t>7</w:t>
            </w:r>
            <w:r>
              <w:rPr>
                <w:rFonts w:hint="eastAsia"/>
                <w:color w:val="auto"/>
                <w:highlight w:val="none"/>
              </w:rPr>
              <w:t xml:space="preserve">）路灯、绿化等配套设施建设 </w:t>
            </w:r>
          </w:p>
          <w:p>
            <w:pPr>
              <w:pStyle w:val="33"/>
              <w:bidi w:val="0"/>
              <w:rPr>
                <w:rFonts w:hint="eastAsia"/>
                <w:color w:val="auto"/>
                <w:highlight w:val="none"/>
                <w:lang w:eastAsia="zh-CN"/>
              </w:rPr>
            </w:pPr>
            <w:r>
              <w:rPr>
                <w:rFonts w:hint="eastAsia"/>
                <w:color w:val="auto"/>
                <w:highlight w:val="none"/>
                <w:lang w:eastAsia="zh-CN"/>
              </w:rPr>
              <w:t>主要</w:t>
            </w:r>
            <w:r>
              <w:rPr>
                <w:rFonts w:hint="eastAsia"/>
                <w:color w:val="auto"/>
                <w:highlight w:val="none"/>
              </w:rPr>
              <w:t>进行</w:t>
            </w:r>
            <w:r>
              <w:rPr>
                <w:rFonts w:hint="eastAsia"/>
                <w:color w:val="auto"/>
                <w:highlight w:val="none"/>
                <w:lang w:eastAsia="zh-CN"/>
              </w:rPr>
              <w:t>绿化用土回填、绿化植物种植，路灯、信号灯、标线</w:t>
            </w:r>
            <w:r>
              <w:rPr>
                <w:rFonts w:hint="eastAsia"/>
                <w:color w:val="auto"/>
                <w:highlight w:val="none"/>
              </w:rPr>
              <w:t>等</w:t>
            </w:r>
            <w:r>
              <w:rPr>
                <w:rFonts w:hint="eastAsia"/>
                <w:color w:val="auto"/>
                <w:highlight w:val="none"/>
                <w:lang w:eastAsia="zh-CN"/>
              </w:rPr>
              <w:t>辅助设施施工。</w:t>
            </w:r>
          </w:p>
          <w:p>
            <w:pPr>
              <w:pStyle w:val="33"/>
              <w:bidi w:val="0"/>
              <w:rPr>
                <w:rFonts w:hint="eastAsia"/>
                <w:b/>
                <w:bCs/>
                <w:color w:val="auto"/>
                <w:highlight w:val="none"/>
              </w:rPr>
            </w:pPr>
            <w:r>
              <w:rPr>
                <w:rFonts w:hint="eastAsia"/>
                <w:b/>
                <w:bCs/>
                <w:color w:val="auto"/>
                <w:highlight w:val="none"/>
                <w:lang w:eastAsia="zh-CN"/>
              </w:rPr>
              <w:t>产污节点：此过程</w:t>
            </w:r>
            <w:r>
              <w:rPr>
                <w:rFonts w:hint="eastAsia"/>
                <w:b/>
                <w:bCs/>
                <w:color w:val="auto"/>
                <w:highlight w:val="none"/>
              </w:rPr>
              <w:t>产生施工机械噪声</w:t>
            </w:r>
            <w:r>
              <w:rPr>
                <w:rFonts w:hint="eastAsia"/>
                <w:b/>
                <w:bCs/>
                <w:color w:val="auto"/>
                <w:highlight w:val="none"/>
                <w:lang w:eastAsia="zh-CN"/>
              </w:rPr>
              <w:t>、</w:t>
            </w:r>
            <w:r>
              <w:rPr>
                <w:rFonts w:hint="eastAsia"/>
                <w:b/>
                <w:bCs/>
                <w:color w:val="auto"/>
                <w:highlight w:val="none"/>
              </w:rPr>
              <w:t>施工扬尘</w:t>
            </w:r>
            <w:r>
              <w:rPr>
                <w:rFonts w:hint="eastAsia"/>
                <w:b/>
                <w:bCs/>
                <w:color w:val="auto"/>
                <w:highlight w:val="none"/>
                <w:lang w:eastAsia="zh-CN"/>
              </w:rPr>
              <w:t>、废包装</w:t>
            </w:r>
            <w:r>
              <w:rPr>
                <w:rFonts w:hint="eastAsia"/>
                <w:b/>
                <w:bCs/>
                <w:color w:val="auto"/>
                <w:highlight w:val="none"/>
              </w:rPr>
              <w:t>。</w:t>
            </w:r>
          </w:p>
          <w:p>
            <w:pPr>
              <w:pStyle w:val="41"/>
              <w:numPr>
                <w:ilvl w:val="0"/>
                <w:numId w:val="9"/>
              </w:numPr>
              <w:tabs>
                <w:tab w:val="left" w:pos="0"/>
                <w:tab w:val="clear" w:pos="420"/>
              </w:tabs>
              <w:bidi w:val="0"/>
              <w:ind w:left="425" w:leftChars="0" w:hanging="425"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pict>
                <v:shape id="Object 2" o:spid="_x0000_s1045" o:spt="75" type="#_x0000_t75" style="position:absolute;left:0pt;margin-left:99pt;margin-top:6.6pt;height:273.95pt;width:237pt;mso-wrap-distance-bottom:0pt;mso-wrap-distance-top:0pt;z-index:251660288;mso-width-relative:page;mso-height-relative:page;" o:ole="t" filled="f" o:preferrelative="t" stroked="f" coordsize="21600,21600">
                  <v:path/>
                  <v:fill on="f" focussize="0,0"/>
                  <v:stroke on="f"/>
                  <v:imagedata r:id="rId17" o:title=""/>
                  <o:lock v:ext="edit" aspectratio="f"/>
                  <w10:wrap type="topAndBottom"/>
                </v:shape>
                <o:OLEObject Type="Embed" ProgID="Visio.Drawing.11" ShapeID="Object 2" DrawAspect="Content" ObjectID="_1468075727" r:id="rId16">
                  <o:LockedField>false</o:LockedField>
                </o:OLEObject>
              </w:pict>
            </w:r>
            <w:r>
              <w:rPr>
                <w:rFonts w:hint="eastAsia" w:ascii="Times New Roman" w:hAnsi="Times New Roman" w:eastAsia="宋体" w:cs="Times New Roman"/>
                <w:color w:val="auto"/>
                <w:highlight w:val="none"/>
                <w:lang w:val="en-US" w:eastAsia="zh-CN"/>
              </w:rPr>
              <w:t>道路工程生产工艺流程及排污节点图</w:t>
            </w:r>
          </w:p>
          <w:p>
            <w:pPr>
              <w:pStyle w:val="33"/>
              <w:bidi w:val="0"/>
              <w:rPr>
                <w:b/>
                <w:bCs/>
                <w:color w:val="auto"/>
                <w:highlight w:val="none"/>
              </w:rPr>
            </w:pPr>
            <w:r>
              <w:rPr>
                <w:rFonts w:hint="eastAsia"/>
                <w:b/>
                <w:bCs/>
                <w:color w:val="auto"/>
                <w:highlight w:val="none"/>
                <w:lang w:eastAsia="zh-CN"/>
              </w:rPr>
              <w:t>（</w:t>
            </w:r>
            <w:r>
              <w:rPr>
                <w:rFonts w:hint="eastAsia"/>
                <w:b/>
                <w:bCs/>
                <w:color w:val="auto"/>
                <w:highlight w:val="none"/>
                <w:lang w:val="en-US" w:eastAsia="zh-CN"/>
              </w:rPr>
              <w:t>3</w:t>
            </w:r>
            <w:r>
              <w:rPr>
                <w:rFonts w:hint="eastAsia"/>
                <w:b/>
                <w:bCs/>
                <w:color w:val="auto"/>
                <w:highlight w:val="none"/>
                <w:lang w:eastAsia="zh-CN"/>
              </w:rPr>
              <w:t>）</w:t>
            </w:r>
            <w:r>
              <w:rPr>
                <w:b/>
                <w:bCs/>
                <w:color w:val="auto"/>
                <w:highlight w:val="none"/>
              </w:rPr>
              <w:t>桥梁工程</w:t>
            </w:r>
          </w:p>
          <w:p>
            <w:pPr>
              <w:pStyle w:val="33"/>
              <w:bidi w:val="0"/>
              <w:rPr>
                <w:rFonts w:hint="eastAsia"/>
                <w:color w:val="auto"/>
                <w:highlight w:val="none"/>
              </w:rPr>
            </w:pPr>
            <w:r>
              <w:rPr>
                <w:rFonts w:hint="eastAsia"/>
                <w:color w:val="auto"/>
                <w:highlight w:val="none"/>
              </w:rPr>
              <w:t>主线跨线桥采用挂篮悬浇施工，挂篮悬浇施工方法是将现浇梁体分段进行施工，并在预应力混凝土施工技术的基础上，利用锚固在梁体上的挂篮系统作为施工操作平台，逐段推进，完成全部梁体施工。</w:t>
            </w:r>
          </w:p>
          <w:p>
            <w:pPr>
              <w:pStyle w:val="33"/>
              <w:bidi w:val="0"/>
              <w:rPr>
                <w:rFonts w:hint="eastAsia"/>
                <w:color w:val="auto"/>
                <w:highlight w:val="none"/>
                <w:lang w:eastAsia="zh-CN"/>
              </w:rPr>
            </w:pPr>
            <w:r>
              <w:rPr>
                <w:rFonts w:hint="eastAsia"/>
                <w:color w:val="auto"/>
                <w:highlight w:val="none"/>
                <w:lang w:eastAsia="zh-CN"/>
              </w:rPr>
              <w:t>挂篮悬浇施工方法的工艺流程为：设计和加工挂篮及模板→墩顶（或边跨）支架现浇段梁体施工（包括预应力筋张拉和孔道压浆）→拼装挂篮及模板→挂篮及模板加载试验→挂篮及模板调整校正→悬浇块段钢筋和预应力管道安装→浇筑悬浇块段混凝土→悬浇块段预应力筋张拉和孔道压浆→前移挂篮及模板至下一块段循环进行施工，直至完成所有悬浇块段梁体→合拢段吊架和模板安装→吊架和模板加载试验→吊架和模板调整校正→合拢段钢筋和预应力管道安装→浇筑合拢段混凝土→剩余部分预应力筋张拉、孔道压浆及封锚。</w:t>
            </w:r>
          </w:p>
          <w:p>
            <w:pPr>
              <w:pStyle w:val="33"/>
              <w:bidi w:val="0"/>
              <w:rPr>
                <w:rFonts w:hint="eastAsia" w:eastAsia="宋体"/>
                <w:color w:val="FF0000"/>
                <w:highlight w:val="none"/>
                <w:lang w:eastAsia="zh-CN"/>
              </w:rPr>
            </w:pPr>
            <w:r>
              <w:rPr>
                <w:rFonts w:hint="eastAsia"/>
                <w:color w:val="FF0000"/>
                <w:highlight w:val="none"/>
                <w:lang w:eastAsia="zh-CN"/>
              </w:rPr>
              <w:t>箱梁由施工单位在加工厂预制，不在本项目施工现场加工制作。</w:t>
            </w:r>
          </w:p>
          <w:p>
            <w:pPr>
              <w:pStyle w:val="33"/>
              <w:bidi w:val="0"/>
              <w:rPr>
                <w:rFonts w:hint="eastAsia"/>
                <w:b/>
                <w:bCs/>
                <w:color w:val="auto"/>
                <w:highlight w:val="none"/>
                <w:lang w:eastAsia="zh-CN"/>
              </w:rPr>
            </w:pPr>
            <w:r>
              <w:rPr>
                <w:rFonts w:hint="eastAsia"/>
                <w:b/>
                <w:bCs/>
                <w:color w:val="auto"/>
                <w:highlight w:val="none"/>
                <w:lang w:eastAsia="zh-CN"/>
              </w:rPr>
              <w:t>产排污节点：此过程主要产生施工机械噪声、施工扬尘、焊接烟尘。</w:t>
            </w:r>
          </w:p>
          <w:p>
            <w:pPr>
              <w:pStyle w:val="33"/>
              <w:bidi w:val="0"/>
              <w:rPr>
                <w:b/>
                <w:bCs/>
                <w:color w:val="auto"/>
                <w:highlight w:val="none"/>
              </w:rPr>
            </w:pPr>
            <w:r>
              <w:rPr>
                <w:rFonts w:hint="eastAsia"/>
                <w:b/>
                <w:bCs/>
                <w:color w:val="auto"/>
                <w:highlight w:val="none"/>
                <w:lang w:val="en-US" w:eastAsia="zh-CN"/>
              </w:rPr>
              <w:t>2</w:t>
            </w:r>
            <w:r>
              <w:rPr>
                <w:b/>
                <w:bCs/>
                <w:color w:val="auto"/>
                <w:highlight w:val="none"/>
              </w:rPr>
              <w:t>、施工周期</w:t>
            </w:r>
          </w:p>
          <w:p>
            <w:pPr>
              <w:pStyle w:val="33"/>
              <w:bidi w:val="0"/>
              <w:rPr>
                <w:rFonts w:hint="eastAsia"/>
                <w:color w:val="FF0000"/>
                <w:highlight w:val="none"/>
              </w:rPr>
            </w:pPr>
            <w:r>
              <w:rPr>
                <w:rFonts w:hint="eastAsia"/>
                <w:color w:val="FF0000"/>
                <w:highlight w:val="none"/>
                <w:lang w:eastAsia="zh-CN"/>
              </w:rPr>
              <w:t>本项目</w:t>
            </w:r>
            <w:r>
              <w:rPr>
                <w:color w:val="FF0000"/>
                <w:highlight w:val="none"/>
              </w:rPr>
              <w:t>拟定</w:t>
            </w:r>
            <w:r>
              <w:rPr>
                <w:rFonts w:hint="eastAsia"/>
                <w:color w:val="FF0000"/>
                <w:highlight w:val="none"/>
                <w:lang w:val="en-US" w:eastAsia="zh-CN"/>
              </w:rPr>
              <w:t>2024年2月开工建设，</w:t>
            </w:r>
            <w:r>
              <w:rPr>
                <w:color w:val="FF0000"/>
                <w:highlight w:val="none"/>
              </w:rPr>
              <w:t>202</w:t>
            </w:r>
            <w:r>
              <w:rPr>
                <w:rFonts w:hint="eastAsia"/>
                <w:color w:val="FF0000"/>
                <w:highlight w:val="none"/>
                <w:lang w:val="en-US" w:eastAsia="zh-CN"/>
              </w:rPr>
              <w:t>4</w:t>
            </w:r>
            <w:r>
              <w:rPr>
                <w:color w:val="FF0000"/>
                <w:highlight w:val="none"/>
              </w:rPr>
              <w:t>年</w:t>
            </w:r>
            <w:r>
              <w:rPr>
                <w:rFonts w:hint="eastAsia"/>
                <w:color w:val="FF0000"/>
                <w:highlight w:val="none"/>
                <w:lang w:val="en-US" w:eastAsia="zh-CN"/>
              </w:rPr>
              <w:t>11</w:t>
            </w:r>
            <w:r>
              <w:rPr>
                <w:color w:val="FF0000"/>
                <w:highlight w:val="none"/>
              </w:rPr>
              <w:t>月建成，工期</w:t>
            </w:r>
            <w:r>
              <w:rPr>
                <w:rFonts w:hint="eastAsia"/>
                <w:color w:val="FF0000"/>
                <w:highlight w:val="none"/>
                <w:lang w:val="en-US" w:eastAsia="zh-CN"/>
              </w:rPr>
              <w:t>10</w:t>
            </w:r>
            <w:r>
              <w:rPr>
                <w:color w:val="FF0000"/>
                <w:highlight w:val="none"/>
              </w:rPr>
              <w:t>个月</w:t>
            </w:r>
            <w:r>
              <w:rPr>
                <w:rFonts w:hint="eastAsia"/>
                <w:color w:val="FF0000"/>
                <w:highlight w:val="none"/>
              </w:rPr>
              <w:t>。</w:t>
            </w:r>
          </w:p>
          <w:p>
            <w:pPr>
              <w:pStyle w:val="33"/>
              <w:bidi w:val="0"/>
              <w:rPr>
                <w:b/>
                <w:bCs/>
                <w:color w:val="auto"/>
                <w:highlight w:val="none"/>
              </w:rPr>
            </w:pPr>
            <w:r>
              <w:rPr>
                <w:rFonts w:hint="eastAsia"/>
                <w:b/>
                <w:bCs/>
                <w:color w:val="auto"/>
                <w:highlight w:val="none"/>
                <w:lang w:val="en-US" w:eastAsia="zh-CN"/>
              </w:rPr>
              <w:t>3</w:t>
            </w:r>
            <w:r>
              <w:rPr>
                <w:b/>
                <w:bCs/>
                <w:color w:val="auto"/>
                <w:highlight w:val="none"/>
              </w:rPr>
              <w:t>、施工时序</w:t>
            </w:r>
          </w:p>
          <w:p>
            <w:pPr>
              <w:pStyle w:val="33"/>
              <w:bidi w:val="0"/>
              <w:rPr>
                <w:color w:val="auto"/>
                <w:highlight w:val="none"/>
              </w:rPr>
            </w:pPr>
            <w:r>
              <w:rPr>
                <w:color w:val="auto"/>
                <w:highlight w:val="none"/>
              </w:rPr>
              <w:t xml:space="preserve">工程施工大体上分四个阶段：工程筹建期、工程准备期、主体工程施工期、工程完建期。 </w:t>
            </w:r>
          </w:p>
          <w:p>
            <w:pPr>
              <w:pStyle w:val="33"/>
              <w:bidi w:val="0"/>
              <w:rPr>
                <w:color w:val="auto"/>
                <w:highlight w:val="none"/>
              </w:rPr>
            </w:pPr>
            <w:r>
              <w:rPr>
                <w:color w:val="auto"/>
                <w:highlight w:val="none"/>
              </w:rPr>
              <w:t>工程筹建期具体内容为：施工临时招标、评标、签约等涉外及对外协作的筹建工作，为施工创造条件，</w:t>
            </w:r>
            <w:r>
              <w:rPr>
                <w:color w:val="FF0000"/>
                <w:highlight w:val="none"/>
              </w:rPr>
              <w:t>于202</w:t>
            </w:r>
            <w:r>
              <w:rPr>
                <w:rFonts w:hint="eastAsia"/>
                <w:color w:val="FF0000"/>
                <w:highlight w:val="none"/>
                <w:lang w:val="en-US" w:eastAsia="zh-CN"/>
              </w:rPr>
              <w:t>4</w:t>
            </w:r>
            <w:r>
              <w:rPr>
                <w:color w:val="FF0000"/>
                <w:highlight w:val="none"/>
              </w:rPr>
              <w:t>年</w:t>
            </w:r>
            <w:r>
              <w:rPr>
                <w:rFonts w:hint="eastAsia"/>
                <w:color w:val="FF0000"/>
                <w:highlight w:val="none"/>
                <w:lang w:val="en-US" w:eastAsia="zh-CN"/>
              </w:rPr>
              <w:t>2</w:t>
            </w:r>
            <w:r>
              <w:rPr>
                <w:color w:val="FF0000"/>
                <w:highlight w:val="none"/>
              </w:rPr>
              <w:t>月</w:t>
            </w:r>
            <w:r>
              <w:rPr>
                <w:rFonts w:hint="eastAsia"/>
                <w:color w:val="FF0000"/>
                <w:highlight w:val="none"/>
                <w:lang w:eastAsia="zh-CN"/>
              </w:rPr>
              <w:t>初</w:t>
            </w:r>
            <w:r>
              <w:rPr>
                <w:color w:val="FF0000"/>
                <w:highlight w:val="none"/>
              </w:rPr>
              <w:t>完成</w:t>
            </w:r>
            <w:r>
              <w:rPr>
                <w:color w:val="auto"/>
                <w:highlight w:val="none"/>
              </w:rPr>
              <w:t xml:space="preserve">。 </w:t>
            </w:r>
          </w:p>
          <w:p>
            <w:pPr>
              <w:pStyle w:val="33"/>
              <w:bidi w:val="0"/>
              <w:rPr>
                <w:color w:val="auto"/>
                <w:highlight w:val="none"/>
              </w:rPr>
            </w:pPr>
            <w:r>
              <w:rPr>
                <w:color w:val="auto"/>
                <w:highlight w:val="none"/>
              </w:rPr>
              <w:t>工程准备期具体内容为：定位放样、施工场地布置，包括场地清理、供电及通讯设备等，由施工单位负责进行，</w:t>
            </w:r>
            <w:r>
              <w:rPr>
                <w:color w:val="FF0000"/>
                <w:highlight w:val="none"/>
              </w:rPr>
              <w:t>202</w:t>
            </w:r>
            <w:r>
              <w:rPr>
                <w:rFonts w:hint="eastAsia"/>
                <w:color w:val="FF0000"/>
                <w:highlight w:val="none"/>
                <w:lang w:val="en-US" w:eastAsia="zh-CN"/>
              </w:rPr>
              <w:t>4</w:t>
            </w:r>
            <w:r>
              <w:rPr>
                <w:rFonts w:hint="eastAsia"/>
                <w:color w:val="FF0000"/>
                <w:highlight w:val="none"/>
              </w:rPr>
              <w:t>年</w:t>
            </w:r>
            <w:r>
              <w:rPr>
                <w:rFonts w:hint="eastAsia"/>
                <w:color w:val="FF0000"/>
                <w:highlight w:val="none"/>
                <w:lang w:val="en-US" w:eastAsia="zh-CN"/>
              </w:rPr>
              <w:t>2</w:t>
            </w:r>
            <w:r>
              <w:rPr>
                <w:color w:val="FF0000"/>
                <w:highlight w:val="none"/>
              </w:rPr>
              <w:t>月底完成</w:t>
            </w:r>
            <w:r>
              <w:rPr>
                <w:color w:val="auto"/>
                <w:highlight w:val="none"/>
              </w:rPr>
              <w:t xml:space="preserve">。 </w:t>
            </w:r>
          </w:p>
          <w:p>
            <w:pPr>
              <w:pStyle w:val="33"/>
              <w:bidi w:val="0"/>
              <w:rPr>
                <w:color w:val="auto"/>
                <w:highlight w:val="none"/>
              </w:rPr>
            </w:pPr>
            <w:r>
              <w:rPr>
                <w:color w:val="auto"/>
                <w:highlight w:val="none"/>
              </w:rPr>
              <w:t>主体工程施工期具体内容为：道路工程、桥梁工程、绿化、交通标志、标线施工等，由施工单位负责进行，于</w:t>
            </w:r>
            <w:r>
              <w:rPr>
                <w:rFonts w:hint="eastAsia"/>
                <w:color w:val="auto"/>
                <w:highlight w:val="none"/>
              </w:rPr>
              <w:t>2</w:t>
            </w:r>
            <w:r>
              <w:rPr>
                <w:color w:val="auto"/>
                <w:highlight w:val="none"/>
              </w:rPr>
              <w:t>02</w:t>
            </w:r>
            <w:r>
              <w:rPr>
                <w:rFonts w:hint="eastAsia"/>
                <w:color w:val="auto"/>
                <w:highlight w:val="none"/>
                <w:lang w:val="en-US" w:eastAsia="zh-CN"/>
              </w:rPr>
              <w:t>4</w:t>
            </w:r>
            <w:r>
              <w:rPr>
                <w:color w:val="auto"/>
                <w:highlight w:val="none"/>
              </w:rPr>
              <w:t>年</w:t>
            </w:r>
            <w:r>
              <w:rPr>
                <w:rFonts w:hint="eastAsia"/>
                <w:color w:val="auto"/>
                <w:highlight w:val="none"/>
                <w:lang w:val="en-US" w:eastAsia="zh-CN"/>
              </w:rPr>
              <w:t>10</w:t>
            </w:r>
            <w:r>
              <w:rPr>
                <w:color w:val="auto"/>
                <w:highlight w:val="none"/>
              </w:rPr>
              <w:t xml:space="preserve">月底完成。 </w:t>
            </w:r>
          </w:p>
          <w:p>
            <w:pPr>
              <w:pStyle w:val="33"/>
              <w:bidi w:val="0"/>
              <w:rPr>
                <w:color w:val="auto"/>
                <w:highlight w:val="none"/>
              </w:rPr>
            </w:pPr>
            <w:r>
              <w:rPr>
                <w:color w:val="auto"/>
                <w:highlight w:val="none"/>
              </w:rPr>
              <w:t>工程完建期具体内容：场地清理、竣工验收，于202</w:t>
            </w:r>
            <w:r>
              <w:rPr>
                <w:rFonts w:hint="eastAsia"/>
                <w:color w:val="auto"/>
                <w:highlight w:val="none"/>
                <w:lang w:val="en-US" w:eastAsia="zh-CN"/>
              </w:rPr>
              <w:t>4</w:t>
            </w:r>
            <w:r>
              <w:rPr>
                <w:color w:val="auto"/>
                <w:highlight w:val="none"/>
              </w:rPr>
              <w:t>年</w:t>
            </w:r>
            <w:r>
              <w:rPr>
                <w:rFonts w:hint="eastAsia"/>
                <w:color w:val="auto"/>
                <w:highlight w:val="none"/>
                <w:lang w:val="en-US" w:eastAsia="zh-CN"/>
              </w:rPr>
              <w:t>11</w:t>
            </w:r>
            <w:r>
              <w:rPr>
                <w:color w:val="auto"/>
                <w:highlight w:val="none"/>
              </w:rPr>
              <w:t>月底完成。</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83" w:hRule="atLeast"/>
          <w:jc w:val="center"/>
        </w:trPr>
        <w:tc>
          <w:tcPr>
            <w:tcW w:w="233" w:type="pct"/>
            <w:noWrap w:val="0"/>
            <w:vAlign w:val="center"/>
          </w:tcPr>
          <w:p>
            <w:pPr>
              <w:keepNext w:val="0"/>
              <w:keepLines w:val="0"/>
              <w:pageBreakBefore w:val="0"/>
              <w:widowControl w:val="0"/>
              <w:kinsoku/>
              <w:wordWrap/>
              <w:overflowPunct/>
              <w:topLinePunct w:val="0"/>
              <w:bidi w:val="0"/>
              <w:adjustRightInd w:val="0"/>
              <w:snapToGrid w:val="0"/>
              <w:spacing w:line="300" w:lineRule="exact"/>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其他</w:t>
            </w:r>
          </w:p>
        </w:tc>
        <w:tc>
          <w:tcPr>
            <w:tcW w:w="4766" w:type="pct"/>
            <w:noWrap w:val="0"/>
            <w:vAlign w:val="bottom"/>
          </w:tcPr>
          <w:p>
            <w:pPr>
              <w:pStyle w:val="33"/>
              <w:bidi w:val="0"/>
              <w:rPr>
                <w:rFonts w:hint="eastAsia"/>
                <w:b/>
                <w:bCs/>
                <w:color w:val="FF0000"/>
                <w:highlight w:val="none"/>
                <w:lang w:val="en-US" w:eastAsia="zh-CN"/>
              </w:rPr>
            </w:pPr>
            <w:r>
              <w:rPr>
                <w:rFonts w:hint="eastAsia"/>
                <w:b/>
                <w:bCs/>
                <w:color w:val="FF0000"/>
                <w:highlight w:val="none"/>
                <w:lang w:val="en-US" w:eastAsia="zh-CN"/>
              </w:rPr>
              <w:t>1.方案比选</w:t>
            </w:r>
          </w:p>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FF0000"/>
                <w:highlight w:val="none"/>
                <w:lang w:val="en-US" w:eastAsia="zh-CN"/>
              </w:rPr>
            </w:pPr>
            <w:r>
              <w:rPr>
                <w:rFonts w:hint="eastAsia" w:ascii="Times New Roman" w:hAnsi="Times New Roman" w:eastAsia="宋体" w:cs="Times New Roman"/>
                <w:color w:val="FF0000"/>
                <w:highlight w:val="none"/>
                <w:lang w:val="en-US" w:eastAsia="zh-CN"/>
              </w:rPr>
              <w:t>选线方案的比选</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85"/>
              <w:gridCol w:w="3913"/>
              <w:gridCol w:w="39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47"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方案</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方案一：全互通方案</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方案二：跨线桥+两侧辅道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47"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图例</w:t>
                  </w:r>
                </w:p>
              </w:tc>
              <w:tc>
                <w:tcPr>
                  <w:tcW w:w="2326" w:type="pct"/>
                  <w:vAlign w:val="center"/>
                </w:tcPr>
                <w:p>
                  <w:pPr>
                    <w:pStyle w:val="3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color w:val="FF0000"/>
                      <w:highlight w:val="none"/>
                      <w:lang w:val="en-US" w:eastAsia="zh-CN"/>
                    </w:rPr>
                  </w:pPr>
                  <w:r>
                    <w:rPr>
                      <w:color w:val="FF0000"/>
                      <w:highlight w:val="none"/>
                    </w:rPr>
                    <w:drawing>
                      <wp:inline distT="0" distB="0" distL="114300" distR="114300">
                        <wp:extent cx="2430145" cy="1486535"/>
                        <wp:effectExtent l="0" t="0" r="8255" b="18415"/>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pic:cNvPicPr>
                                  <a:picLocks noChangeAspect="1"/>
                                </pic:cNvPicPr>
                              </pic:nvPicPr>
                              <pic:blipFill>
                                <a:blip r:embed="rId18"/>
                                <a:stretch>
                                  <a:fillRect/>
                                </a:stretch>
                              </pic:blipFill>
                              <pic:spPr>
                                <a:xfrm>
                                  <a:off x="0" y="0"/>
                                  <a:ext cx="2430145" cy="1486535"/>
                                </a:xfrm>
                                <a:prstGeom prst="rect">
                                  <a:avLst/>
                                </a:prstGeom>
                                <a:noFill/>
                                <a:ln>
                                  <a:noFill/>
                                </a:ln>
                              </pic:spPr>
                            </pic:pic>
                          </a:graphicData>
                        </a:graphic>
                      </wp:inline>
                    </w:drawing>
                  </w:r>
                </w:p>
              </w:tc>
              <w:tc>
                <w:tcPr>
                  <w:tcW w:w="2326" w:type="pct"/>
                  <w:vAlign w:val="center"/>
                </w:tcPr>
                <w:p>
                  <w:pPr>
                    <w:pStyle w:val="32"/>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FF0000"/>
                      <w:highlight w:val="none"/>
                      <w:lang w:val="en-US" w:eastAsia="zh-CN"/>
                    </w:rPr>
                  </w:pPr>
                  <w:r>
                    <w:rPr>
                      <w:color w:val="FF0000"/>
                      <w:highlight w:val="none"/>
                    </w:rPr>
                    <w:drawing>
                      <wp:inline distT="0" distB="0" distL="114300" distR="114300">
                        <wp:extent cx="2417445" cy="1525905"/>
                        <wp:effectExtent l="0" t="0" r="1905" b="17145"/>
                        <wp:docPr id="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
                                <pic:cNvPicPr>
                                  <a:picLocks noChangeAspect="1"/>
                                </pic:cNvPicPr>
                              </pic:nvPicPr>
                              <pic:blipFill>
                                <a:blip r:embed="rId19"/>
                                <a:srcRect t="1602" b="1457"/>
                                <a:stretch>
                                  <a:fillRect/>
                                </a:stretch>
                              </pic:blipFill>
                              <pic:spPr>
                                <a:xfrm>
                                  <a:off x="0" y="0"/>
                                  <a:ext cx="2417445" cy="152590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47"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内容</w:t>
                  </w:r>
                </w:p>
              </w:tc>
              <w:tc>
                <w:tcPr>
                  <w:tcW w:w="2326" w:type="pct"/>
                  <w:vAlign w:val="center"/>
                </w:tcPr>
                <w:p>
                  <w:pPr>
                    <w:pStyle w:val="32"/>
                    <w:bidi w:val="0"/>
                    <w:jc w:val="left"/>
                    <w:rPr>
                      <w:rFonts w:hint="eastAsia"/>
                      <w:color w:val="FF0000"/>
                      <w:highlight w:val="none"/>
                      <w:lang w:val="en-US" w:eastAsia="zh-CN"/>
                    </w:rPr>
                  </w:pPr>
                  <w:r>
                    <w:rPr>
                      <w:rFonts w:hint="eastAsia"/>
                      <w:color w:val="FF0000"/>
                      <w:highlight w:val="none"/>
                      <w:lang w:val="en-US" w:eastAsia="zh-CN"/>
                    </w:rPr>
                    <w:t>在G509与G228交叉口设置全互通苜蓿叶立交，减少交叉口的车流相互干扰，提高通行能力，保证交通安全与快速通行。方案一新建匝道8条，设置主线桥一座，形成上下两层立交方案。主线桥设置于G509上，跨越G228。互通区范围内国道G509由双向4车道向外侧拓宽为双向8车道，主线跨线桥为双向8车道。上跨桥梁长度为400米。</w:t>
                  </w:r>
                </w:p>
              </w:tc>
              <w:tc>
                <w:tcPr>
                  <w:tcW w:w="2326" w:type="pct"/>
                  <w:vAlign w:val="center"/>
                </w:tcPr>
                <w:p>
                  <w:pPr>
                    <w:pStyle w:val="32"/>
                    <w:bidi w:val="0"/>
                    <w:jc w:val="left"/>
                    <w:rPr>
                      <w:rFonts w:hint="eastAsia"/>
                      <w:color w:val="FF0000"/>
                      <w:highlight w:val="none"/>
                      <w:lang w:val="en-US" w:eastAsia="zh-CN"/>
                    </w:rPr>
                  </w:pPr>
                  <w:r>
                    <w:rPr>
                      <w:rFonts w:hint="eastAsia"/>
                      <w:color w:val="FF0000"/>
                      <w:highlight w:val="none"/>
                      <w:lang w:val="en-US" w:eastAsia="zh-CN"/>
                    </w:rPr>
                    <w:t>在G509与G228交叉口设置跨线桥+两侧辅道，直行方向设置跨线桥，其他方向交通均利用地面交通系统进行交通转换，形成地上和地面两层立交方案，通过交通信号灯控制交通流。立交区范围内国道G509由双向4车道向外侧拓宽为双向8车道，主线跨线桥为双向4车道，两侧辅路各2车道。上跨桥梁长度为356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47"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投资</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总造价 40055.8 万元</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总造价 14748.7 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47"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占地</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新增占地212.1亩，需要占用基本农田，涉及生态红线</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新增占地42.25亩，不占用基本农田，不涉及生态红线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495" w:hRule="atLeast"/>
              </w:trPr>
              <w:tc>
                <w:tcPr>
                  <w:tcW w:w="347"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拆迁</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需要拆迁加油站一座、G228 养护工区以及养殖厂一处</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拆迁量少，仅涉及道路两侧绿化。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347"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结论</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不推荐</w:t>
                  </w:r>
                </w:p>
              </w:tc>
              <w:tc>
                <w:tcPr>
                  <w:tcW w:w="2326" w:type="pct"/>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推荐</w:t>
                  </w:r>
                </w:p>
              </w:tc>
            </w:tr>
          </w:tbl>
          <w:p>
            <w:pPr>
              <w:pStyle w:val="33"/>
              <w:bidi w:val="0"/>
              <w:rPr>
                <w:rFonts w:hint="eastAsia"/>
                <w:color w:val="FF0000"/>
                <w:highlight w:val="none"/>
                <w:lang w:val="en-US" w:eastAsia="zh-CN"/>
              </w:rPr>
            </w:pPr>
            <w:r>
              <w:rPr>
                <w:rFonts w:hint="eastAsia"/>
                <w:color w:val="FF0000"/>
                <w:highlight w:val="none"/>
                <w:lang w:val="en-US" w:eastAsia="zh-CN"/>
              </w:rPr>
              <w:t>综上分析，从环保角度分析，方案二“跨线桥+两侧辅道”新增占地较少，且不占用基本农田，不涉及生态红线，拆迁量较少，可选为推荐方案。</w:t>
            </w:r>
          </w:p>
          <w:p>
            <w:pPr>
              <w:pStyle w:val="36"/>
              <w:numPr>
                <w:ilvl w:val="0"/>
                <w:numId w:val="2"/>
              </w:numPr>
              <w:tabs>
                <w:tab w:val="left" w:pos="0"/>
                <w:tab w:val="clear" w:pos="420"/>
              </w:tabs>
              <w:bidi w:val="0"/>
              <w:ind w:left="0" w:leftChars="0" w:firstLine="0" w:firstLineChars="0"/>
              <w:rPr>
                <w:rFonts w:hint="eastAsia" w:ascii="Times New Roman" w:hAnsi="Times New Roman" w:eastAsia="宋体" w:cs="Times New Roman"/>
                <w:color w:val="FF0000"/>
                <w:highlight w:val="none"/>
                <w:lang w:val="en-US" w:eastAsia="zh-CN"/>
              </w:rPr>
            </w:pPr>
            <w:r>
              <w:rPr>
                <w:rFonts w:hint="eastAsia" w:ascii="Times New Roman" w:hAnsi="Times New Roman" w:eastAsia="宋体" w:cs="Times New Roman"/>
                <w:color w:val="FF0000"/>
                <w:highlight w:val="none"/>
                <w:lang w:val="en-US" w:eastAsia="zh-CN"/>
              </w:rPr>
              <w:t>跨线桥</w:t>
            </w:r>
            <w:r>
              <w:rPr>
                <w:rFonts w:hint="eastAsia" w:cs="Times New Roman"/>
                <w:color w:val="FF0000"/>
                <w:highlight w:val="none"/>
                <w:lang w:val="en-US" w:eastAsia="zh-CN"/>
              </w:rPr>
              <w:t>位置</w:t>
            </w:r>
            <w:r>
              <w:rPr>
                <w:rFonts w:hint="eastAsia" w:ascii="Times New Roman" w:hAnsi="Times New Roman" w:eastAsia="宋体" w:cs="Times New Roman"/>
                <w:color w:val="FF0000"/>
                <w:highlight w:val="none"/>
                <w:lang w:val="en-US" w:eastAsia="zh-CN"/>
              </w:rPr>
              <w:t>的比选</w:t>
            </w:r>
          </w:p>
          <w:tbl>
            <w:tblPr>
              <w:tblStyle w:val="23"/>
              <w:tblW w:w="84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70"/>
              <w:gridCol w:w="3720"/>
              <w:gridCol w:w="4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57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方案</w:t>
                  </w:r>
                </w:p>
              </w:tc>
              <w:tc>
                <w:tcPr>
                  <w:tcW w:w="372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方案一：主线跨线桥设置于G509上</w:t>
                  </w:r>
                </w:p>
              </w:tc>
              <w:tc>
                <w:tcPr>
                  <w:tcW w:w="4131"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方案二：主线跨线桥设置于G228上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57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占地</w:t>
                  </w:r>
                </w:p>
              </w:tc>
              <w:tc>
                <w:tcPr>
                  <w:tcW w:w="372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G509占地宽度为50m，路基宽32m，中间设有7m宽中央分隔带，可充分利用分隔带空间布设主线跨线桥及其引道，占地相对较少</w:t>
                  </w:r>
                </w:p>
              </w:tc>
              <w:tc>
                <w:tcPr>
                  <w:tcW w:w="4131"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G228占地宽度约为35m，路基宽24.5m，中间设有2m宽中央分隔带，布设主线跨线桥及其引道基本占据了目前路基全宽，需向外征地用于布设辅道，占地相对较多，涉及占用基本农田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57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拆迁</w:t>
                  </w:r>
                </w:p>
              </w:tc>
              <w:tc>
                <w:tcPr>
                  <w:tcW w:w="372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G509两侧场地简单，拆迁主要为两侧绿化</w:t>
                  </w:r>
                </w:p>
              </w:tc>
              <w:tc>
                <w:tcPr>
                  <w:tcW w:w="4131"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辅道设置需拆迁北侧现有养护工区院落及南侧加油站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57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结论</w:t>
                  </w:r>
                </w:p>
              </w:tc>
              <w:tc>
                <w:tcPr>
                  <w:tcW w:w="3720"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推荐</w:t>
                  </w:r>
                </w:p>
              </w:tc>
              <w:tc>
                <w:tcPr>
                  <w:tcW w:w="4131" w:type="dxa"/>
                  <w:vAlign w:val="center"/>
                </w:tcPr>
                <w:p>
                  <w:pPr>
                    <w:pStyle w:val="32"/>
                    <w:bidi w:val="0"/>
                    <w:jc w:val="center"/>
                    <w:rPr>
                      <w:rFonts w:hint="eastAsia"/>
                      <w:color w:val="FF0000"/>
                      <w:highlight w:val="none"/>
                      <w:lang w:val="en-US" w:eastAsia="zh-CN"/>
                    </w:rPr>
                  </w:pPr>
                  <w:r>
                    <w:rPr>
                      <w:rFonts w:hint="eastAsia"/>
                      <w:color w:val="FF0000"/>
                      <w:highlight w:val="none"/>
                      <w:lang w:val="en-US" w:eastAsia="zh-CN"/>
                    </w:rPr>
                    <w:t>不推荐</w:t>
                  </w:r>
                </w:p>
              </w:tc>
            </w:tr>
          </w:tbl>
          <w:p>
            <w:pPr>
              <w:pStyle w:val="33"/>
              <w:bidi w:val="0"/>
              <w:rPr>
                <w:rFonts w:hint="eastAsia"/>
                <w:color w:val="FF0000"/>
                <w:highlight w:val="none"/>
                <w:lang w:val="en-US" w:eastAsia="zh-CN"/>
              </w:rPr>
            </w:pPr>
            <w:r>
              <w:rPr>
                <w:rFonts w:hint="eastAsia"/>
                <w:color w:val="FF0000"/>
                <w:highlight w:val="none"/>
                <w:lang w:val="en-US" w:eastAsia="zh-CN"/>
              </w:rPr>
              <w:t>综上分析，从环保角度分析，方案一“主线跨线桥设置于G509上”相对新增占地较少，不涉及占用基本农田，且道路两侧场地现状简单，拆迁主要为绿化，可选为推荐方案。</w:t>
            </w: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lang w:val="en-US" w:eastAsia="zh-CN"/>
              </w:rPr>
            </w:pPr>
          </w:p>
          <w:p>
            <w:pPr>
              <w:pStyle w:val="33"/>
              <w:bidi w:val="0"/>
              <w:rPr>
                <w:rFonts w:hint="eastAsia"/>
                <w:b/>
                <w:bCs/>
                <w:color w:val="auto"/>
                <w:highlight w:val="none"/>
              </w:rPr>
            </w:pPr>
          </w:p>
          <w:p>
            <w:pPr>
              <w:pStyle w:val="4"/>
              <w:rPr>
                <w:color w:val="auto"/>
                <w:highlight w:val="none"/>
                <w:lang w:bidi="ar"/>
              </w:rPr>
            </w:pPr>
          </w:p>
        </w:tc>
      </w:tr>
    </w:tbl>
    <w:p>
      <w:pPr>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jc w:val="center"/>
        <w:textAlignment w:val="auto"/>
        <w:outlineLvl w:val="0"/>
        <w:rPr>
          <w:rFonts w:ascii="Times New Roman" w:hAnsi="Times New Roman" w:eastAsia="黑体"/>
          <w:snapToGrid w:val="0"/>
          <w:color w:val="auto"/>
          <w:sz w:val="30"/>
          <w:szCs w:val="30"/>
          <w:highlight w:val="none"/>
        </w:rPr>
      </w:pPr>
      <w:r>
        <w:rPr>
          <w:rFonts w:ascii="Times New Roman" w:hAnsi="Times New Roman" w:eastAsia="仿宋_GB2312"/>
          <w:b/>
          <w:bCs/>
          <w:color w:val="auto"/>
          <w:highlight w:val="none"/>
        </w:rPr>
        <w:br w:type="page"/>
      </w:r>
      <w:r>
        <w:rPr>
          <w:rFonts w:ascii="Times New Roman" w:hAnsi="Times New Roman" w:eastAsia="黑体" w:cs="Times New Roman"/>
          <w:snapToGrid w:val="0"/>
          <w:color w:val="auto"/>
          <w:sz w:val="30"/>
          <w:szCs w:val="30"/>
          <w:highlight w:val="none"/>
        </w:rPr>
        <w:t>三、生态环境现状、保护目标及评价标准</w:t>
      </w:r>
    </w:p>
    <w:tbl>
      <w:tblPr>
        <w:tblStyle w:val="22"/>
        <w:tblW w:w="499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51" w:type="dxa"/>
          <w:bottom w:w="0" w:type="dxa"/>
          <w:right w:w="51" w:type="dxa"/>
        </w:tblCellMar>
      </w:tblPr>
      <w:tblGrid>
        <w:gridCol w:w="880"/>
        <w:gridCol w:w="806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1397" w:hRule="atLeast"/>
          <w:jc w:val="center"/>
        </w:trPr>
        <w:tc>
          <w:tcPr>
            <w:tcW w:w="492" w:type="pct"/>
            <w:noWrap w:val="0"/>
            <w:vAlign w:val="center"/>
          </w:tcPr>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生态环境现状</w:t>
            </w:r>
          </w:p>
        </w:tc>
        <w:tc>
          <w:tcPr>
            <w:tcW w:w="4507" w:type="pct"/>
            <w:noWrap w:val="0"/>
            <w:vAlign w:val="center"/>
          </w:tcPr>
          <w:p>
            <w:pPr>
              <w:pStyle w:val="33"/>
              <w:bidi w:val="0"/>
              <w:rPr>
                <w:color w:val="auto"/>
                <w:highlight w:val="none"/>
              </w:rPr>
            </w:pPr>
            <w:r>
              <w:rPr>
                <w:b/>
                <w:bCs/>
                <w:color w:val="auto"/>
                <w:highlight w:val="none"/>
              </w:rPr>
              <w:t>1、生态环境现状</w:t>
            </w:r>
            <w:r>
              <w:rPr>
                <w:color w:val="auto"/>
                <w:highlight w:val="none"/>
              </w:rPr>
              <w:tab/>
            </w:r>
          </w:p>
          <w:p>
            <w:pPr>
              <w:pStyle w:val="33"/>
              <w:bidi w:val="0"/>
              <w:rPr>
                <w:color w:val="auto"/>
                <w:highlight w:val="none"/>
              </w:rPr>
            </w:pPr>
            <w:r>
              <w:rPr>
                <w:color w:val="auto"/>
                <w:highlight w:val="none"/>
              </w:rPr>
              <w:t>（1）主体功能区划</w:t>
            </w:r>
          </w:p>
          <w:p>
            <w:pPr>
              <w:pStyle w:val="33"/>
              <w:bidi w:val="0"/>
              <w:rPr>
                <w:color w:val="auto"/>
                <w:highlight w:val="none"/>
              </w:rPr>
            </w:pPr>
            <w:r>
              <w:rPr>
                <w:color w:val="auto"/>
                <w:highlight w:val="none"/>
              </w:rPr>
              <w:t>河北省重点生态功能区分为国家重点生态功能区和省级重点生态功能区。国家重点生态功能区为坝上高原山地区，省级重点生态功能区包括冀北燕山山区和冀西太行山山区。该区域生态功能重要，关系京津冀地区水资源和生态安全，必须加强保护和建设。本项目为</w:t>
            </w:r>
            <w:r>
              <w:rPr>
                <w:rFonts w:hint="eastAsia"/>
                <w:color w:val="auto"/>
                <w:highlight w:val="none"/>
                <w:lang w:eastAsia="zh-CN"/>
              </w:rPr>
              <w:t>新建</w:t>
            </w:r>
            <w:r>
              <w:rPr>
                <w:color w:val="auto"/>
                <w:highlight w:val="none"/>
              </w:rPr>
              <w:t>工程，</w:t>
            </w:r>
            <w:r>
              <w:rPr>
                <w:rFonts w:hint="eastAsia"/>
                <w:color w:val="auto"/>
                <w:highlight w:val="none"/>
              </w:rPr>
              <w:t>位于唐山市</w:t>
            </w:r>
            <w:r>
              <w:rPr>
                <w:rFonts w:hint="eastAsia"/>
                <w:color w:val="auto"/>
                <w:highlight w:val="none"/>
                <w:lang w:eastAsia="zh-CN"/>
              </w:rPr>
              <w:t>海港经济开发区北部</w:t>
            </w:r>
            <w:r>
              <w:rPr>
                <w:color w:val="auto"/>
                <w:highlight w:val="none"/>
              </w:rPr>
              <w:t>，根据《河北省主体功能区规划》</w:t>
            </w:r>
            <w:r>
              <w:rPr>
                <w:rFonts w:hint="eastAsia"/>
                <w:color w:val="auto"/>
                <w:highlight w:val="none"/>
                <w:lang w:eastAsia="zh-CN"/>
              </w:rPr>
              <w:t>，</w:t>
            </w:r>
            <w:r>
              <w:rPr>
                <w:color w:val="auto"/>
                <w:highlight w:val="none"/>
              </w:rPr>
              <w:t>本项目不属于限制开发区域和禁止开发区域。同时根据《河北省建设京津冀生态环境支撑区“十四五”规划的通知》</w:t>
            </w:r>
            <w:r>
              <w:rPr>
                <w:rFonts w:hint="eastAsia"/>
                <w:color w:val="auto"/>
                <w:highlight w:val="none"/>
                <w:lang w:eastAsia="zh-CN"/>
              </w:rPr>
              <w:t>，</w:t>
            </w:r>
            <w:r>
              <w:rPr>
                <w:color w:val="auto"/>
                <w:highlight w:val="none"/>
              </w:rPr>
              <w:t>项目所在地属于燕山-太行山生态涵养区，主体生态功能是涵养水源、保持水土、生态休闲。</w:t>
            </w:r>
          </w:p>
          <w:p>
            <w:pPr>
              <w:pStyle w:val="33"/>
              <w:bidi w:val="0"/>
              <w:rPr>
                <w:color w:val="auto"/>
                <w:highlight w:val="none"/>
              </w:rPr>
            </w:pPr>
            <w:r>
              <w:rPr>
                <w:color w:val="auto"/>
                <w:highlight w:val="none"/>
              </w:rPr>
              <w:t>本工程不在生态保护红线区范围内，符合生态环境功能区划要求。</w:t>
            </w:r>
          </w:p>
          <w:p>
            <w:pPr>
              <w:pStyle w:val="33"/>
              <w:numPr>
                <w:ilvl w:val="0"/>
                <w:numId w:val="10"/>
              </w:numPr>
              <w:bidi w:val="0"/>
              <w:rPr>
                <w:rFonts w:hint="eastAsia"/>
                <w:color w:val="auto"/>
                <w:highlight w:val="none"/>
                <w:lang w:eastAsia="zh-CN"/>
              </w:rPr>
            </w:pPr>
            <w:r>
              <w:rPr>
                <w:rFonts w:hint="eastAsia"/>
                <w:color w:val="auto"/>
                <w:highlight w:val="none"/>
                <w:lang w:eastAsia="zh-CN"/>
              </w:rPr>
              <w:t>生态功能区划</w:t>
            </w:r>
          </w:p>
          <w:p>
            <w:pPr>
              <w:pStyle w:val="33"/>
              <w:bidi w:val="0"/>
              <w:rPr>
                <w:rFonts w:hint="eastAsia"/>
                <w:color w:val="auto"/>
                <w:highlight w:val="none"/>
                <w:lang w:eastAsia="zh-CN"/>
              </w:rPr>
            </w:pPr>
            <w:r>
              <w:rPr>
                <w:rFonts w:hint="eastAsia"/>
                <w:color w:val="auto"/>
                <w:highlight w:val="none"/>
                <w:lang w:eastAsia="zh-CN"/>
              </w:rPr>
              <w:t>根据《河北省生态功能区划》，唐山市生态功能区分为北部燕山山地生态区、中部冲积平原生态区和南部滨海低平原－海域生态区，分属《河北省生态功能区划》的山地、平原和海岸海域生态区。北部燕山山地生态区是水源涵养和森林生态保护区，是唐山市的生态屏障。潘家口、大黑汀、般若院、丘庄等水库，清东陵以及多处风景名胜区和森林公园位于该区。中部冲积平原生态区是主要的农业生态区，工业发展迅猛，城市化进程快，节能减排任务艰巨。南部滨海低平原－海域生态区是滨海湿地保护、沿海生态旅游、港口开发和沿海城市群主要建设区。</w:t>
            </w:r>
          </w:p>
          <w:p>
            <w:pPr>
              <w:pStyle w:val="33"/>
              <w:bidi w:val="0"/>
              <w:rPr>
                <w:rFonts w:hint="eastAsia"/>
                <w:color w:val="auto"/>
                <w:highlight w:val="none"/>
                <w:lang w:eastAsia="zh-CN"/>
              </w:rPr>
            </w:pPr>
            <w:r>
              <w:rPr>
                <w:rFonts w:hint="eastAsia"/>
                <w:color w:val="auto"/>
                <w:highlight w:val="none"/>
                <w:lang w:eastAsia="zh-CN"/>
              </w:rPr>
              <w:t>本项目位于海港经济开发区北部，属于南部滨海低平原－海域生态区中的沿海城市群主要建设区。</w:t>
            </w:r>
          </w:p>
          <w:p>
            <w:pPr>
              <w:pStyle w:val="33"/>
              <w:bidi w:val="0"/>
              <w:rPr>
                <w:color w:val="auto"/>
                <w:highlight w:val="none"/>
              </w:rPr>
            </w:pPr>
            <w:r>
              <w:rPr>
                <w:color w:val="auto"/>
                <w:highlight w:val="none"/>
              </w:rPr>
              <w:t>（</w:t>
            </w:r>
            <w:r>
              <w:rPr>
                <w:rFonts w:hint="eastAsia"/>
                <w:color w:val="auto"/>
                <w:highlight w:val="none"/>
                <w:lang w:val="en-US" w:eastAsia="zh-CN"/>
              </w:rPr>
              <w:t>3</w:t>
            </w:r>
            <w:r>
              <w:rPr>
                <w:color w:val="auto"/>
                <w:highlight w:val="none"/>
              </w:rPr>
              <w:t>）生态环境现状</w:t>
            </w:r>
          </w:p>
          <w:p>
            <w:pPr>
              <w:pStyle w:val="33"/>
              <w:bidi w:val="0"/>
              <w:rPr>
                <w:rFonts w:hint="eastAsia"/>
                <w:color w:val="FF0000"/>
                <w:highlight w:val="none"/>
                <w:lang w:val="en-US" w:eastAsia="zh-CN"/>
              </w:rPr>
            </w:pPr>
            <w:r>
              <w:rPr>
                <w:rFonts w:hint="eastAsia"/>
                <w:color w:val="FF0000"/>
                <w:highlight w:val="none"/>
                <w:lang w:val="en-US" w:eastAsia="zh-CN"/>
              </w:rPr>
              <w:t>本项目生态环境现状调查包括工程临时占地及永久占地区域及其周边影响区域的土地利用类型、植被类型，调查方法主要采用现场勘查。</w:t>
            </w:r>
          </w:p>
          <w:p>
            <w:pPr>
              <w:pStyle w:val="33"/>
              <w:bidi w:val="0"/>
              <w:rPr>
                <w:rFonts w:hint="eastAsia"/>
                <w:color w:val="FF0000"/>
                <w:highlight w:val="none"/>
                <w:lang w:val="en-US" w:eastAsia="zh-CN"/>
              </w:rPr>
            </w:pPr>
            <w:r>
              <w:rPr>
                <w:rFonts w:hint="eastAsia"/>
                <w:color w:val="FF0000"/>
                <w:highlight w:val="none"/>
                <w:lang w:val="en-US" w:eastAsia="zh-CN"/>
              </w:rPr>
              <w:t>本项目永久占地、临时占地均位于项目占地红线范围内，位于海港经济开发区北部，土地利用类型为道路与交通设施用地，土地现状为国道及绿化，道路两侧主要地表植被类型为落叶阔叶林植被和林间草地。本项目占地红线范围内野生动物主要为鼠、麻雀、青蛙等小型啮齿类及小型昆虫类。</w:t>
            </w:r>
          </w:p>
          <w:p>
            <w:pPr>
              <w:pStyle w:val="33"/>
              <w:bidi w:val="0"/>
              <w:rPr>
                <w:rFonts w:hint="eastAsia"/>
                <w:color w:val="FF0000"/>
                <w:highlight w:val="none"/>
                <w:lang w:val="en-US" w:eastAsia="zh-CN"/>
              </w:rPr>
            </w:pPr>
            <w:r>
              <w:rPr>
                <w:rFonts w:hint="eastAsia"/>
                <w:color w:val="FF0000"/>
                <w:highlight w:val="none"/>
                <w:lang w:val="en-US" w:eastAsia="zh-CN"/>
              </w:rPr>
              <w:t>通过资料收集，结合现场调查，本项目评价区域</w:t>
            </w:r>
            <w:r>
              <w:rPr>
                <w:rFonts w:hint="eastAsia"/>
                <w:color w:val="FF0000"/>
                <w:highlight w:val="none"/>
                <w:lang w:eastAsia="zh-CN"/>
              </w:rPr>
              <w:t>（线性工程外扩300m范围区域）</w:t>
            </w:r>
            <w:r>
              <w:rPr>
                <w:rFonts w:hint="eastAsia"/>
                <w:color w:val="FF0000"/>
                <w:highlight w:val="none"/>
                <w:lang w:val="en-US" w:eastAsia="zh-CN"/>
              </w:rPr>
              <w:t>内动物生境条件较为恶劣，区域内野生动物的种类不多，数量也较少。根据现场调查和走访相关单位，评价区内不涉及重点保护野生动植物、名胜古迹、重点文物、基本农田和耕地。</w:t>
            </w:r>
          </w:p>
          <w:p>
            <w:pPr>
              <w:pStyle w:val="33"/>
              <w:bidi w:val="0"/>
              <w:rPr>
                <w:rFonts w:hint="eastAsia"/>
                <w:b/>
                <w:bCs/>
                <w:color w:val="auto"/>
                <w:highlight w:val="none"/>
                <w:lang w:val="en-US" w:eastAsia="zh-CN"/>
              </w:rPr>
            </w:pPr>
            <w:r>
              <w:rPr>
                <w:rFonts w:hint="eastAsia"/>
                <w:b/>
                <w:bCs/>
                <w:color w:val="auto"/>
                <w:highlight w:val="none"/>
                <w:lang w:val="en-US" w:eastAsia="zh-CN"/>
              </w:rPr>
              <w:t>2、其他环境质量现状</w:t>
            </w:r>
          </w:p>
          <w:p>
            <w:pPr>
              <w:pStyle w:val="33"/>
              <w:bidi w:val="0"/>
              <w:rPr>
                <w:color w:val="auto"/>
                <w:highlight w:val="none"/>
              </w:rPr>
            </w:pPr>
            <w:r>
              <w:rPr>
                <w:color w:val="auto"/>
                <w:highlight w:val="none"/>
              </w:rPr>
              <w:t>（1）环境空气</w:t>
            </w:r>
          </w:p>
          <w:p>
            <w:pPr>
              <w:pStyle w:val="33"/>
              <w:bidi w:val="0"/>
              <w:rPr>
                <w:color w:val="auto"/>
                <w:highlight w:val="none"/>
              </w:rPr>
            </w:pPr>
            <w:r>
              <w:rPr>
                <w:rFonts w:hint="eastAsia"/>
                <w:color w:val="auto"/>
                <w:highlight w:val="none"/>
              </w:rPr>
              <w:t>①区域环境质量评价</w:t>
            </w:r>
          </w:p>
          <w:p>
            <w:pPr>
              <w:pStyle w:val="33"/>
              <w:bidi w:val="0"/>
              <w:rPr>
                <w:color w:val="auto"/>
                <w:highlight w:val="none"/>
              </w:rPr>
            </w:pPr>
            <w:r>
              <w:rPr>
                <w:rFonts w:hint="eastAsia"/>
                <w:color w:val="auto"/>
                <w:highlight w:val="none"/>
              </w:rPr>
              <w:t>根据2023年6月唐山市生态环境局发布的《2022年唐山市生态环境状况公报》，2022全年监测365天，优良天数275天（优83天，良192天），其中：轻度污染天数71天，中度污染天气16天，重度污染天气2天，严重污染天数1天。2022年全市空气质量综合指数4.47，与上年相比下降10.6%。</w:t>
            </w:r>
          </w:p>
          <w:p>
            <w:pPr>
              <w:pStyle w:val="33"/>
              <w:bidi w:val="0"/>
              <w:rPr>
                <w:color w:val="auto"/>
                <w:highlight w:val="none"/>
              </w:rPr>
            </w:pPr>
            <w:r>
              <w:rPr>
                <w:rFonts w:hint="eastAsia"/>
                <w:color w:val="auto"/>
                <w:highlight w:val="none"/>
              </w:rPr>
              <w:t>②基本污染物环境质量现状评价</w:t>
            </w:r>
          </w:p>
          <w:p>
            <w:pPr>
              <w:pStyle w:val="33"/>
              <w:bidi w:val="0"/>
              <w:rPr>
                <w:color w:val="auto"/>
                <w:highlight w:val="none"/>
              </w:rPr>
            </w:pPr>
            <w:r>
              <w:rPr>
                <w:rFonts w:hint="eastAsia"/>
                <w:color w:val="auto"/>
                <w:highlight w:val="none"/>
              </w:rPr>
              <w:t>2022年，全市细颗粒物（PM</w:t>
            </w:r>
            <w:r>
              <w:rPr>
                <w:rFonts w:hint="eastAsia"/>
                <w:color w:val="auto"/>
                <w:highlight w:val="none"/>
                <w:vertAlign w:val="subscript"/>
              </w:rPr>
              <w:t>2.5</w:t>
            </w:r>
            <w:r>
              <w:rPr>
                <w:rFonts w:hint="eastAsia"/>
                <w:color w:val="auto"/>
                <w:highlight w:val="none"/>
              </w:rPr>
              <w:t>）年均浓度为37微克/立方米，可吸入颗粒物（PM</w:t>
            </w:r>
            <w:r>
              <w:rPr>
                <w:rFonts w:hint="eastAsia"/>
                <w:color w:val="auto"/>
                <w:highlight w:val="none"/>
                <w:vertAlign w:val="subscript"/>
              </w:rPr>
              <w:t>10</w:t>
            </w:r>
            <w:r>
              <w:rPr>
                <w:rFonts w:hint="eastAsia"/>
                <w:color w:val="auto"/>
                <w:highlight w:val="none"/>
              </w:rPr>
              <w:t>）年均浓度为67微克/立方米，二氧化硫（SO</w:t>
            </w:r>
            <w:r>
              <w:rPr>
                <w:rFonts w:hint="eastAsia"/>
                <w:color w:val="auto"/>
                <w:highlight w:val="none"/>
                <w:vertAlign w:val="subscript"/>
              </w:rPr>
              <w:t>2</w:t>
            </w:r>
            <w:r>
              <w:rPr>
                <w:rFonts w:hint="eastAsia"/>
                <w:color w:val="auto"/>
                <w:highlight w:val="none"/>
              </w:rPr>
              <w:t>）年均浓度为8微克/立方米，二氧化氮（NO</w:t>
            </w:r>
            <w:r>
              <w:rPr>
                <w:rFonts w:hint="eastAsia"/>
                <w:color w:val="auto"/>
                <w:highlight w:val="none"/>
                <w:vertAlign w:val="subscript"/>
              </w:rPr>
              <w:t>2</w:t>
            </w:r>
            <w:r>
              <w:rPr>
                <w:rFonts w:hint="eastAsia"/>
                <w:color w:val="auto"/>
                <w:highlight w:val="none"/>
              </w:rPr>
              <w:t>）年均浓度为32微克/立方米，一氧化碳（CO）日均值第95百分位浓度平均为1.5毫克/立方米，臭氧（O</w:t>
            </w:r>
            <w:r>
              <w:rPr>
                <w:rFonts w:hint="eastAsia"/>
                <w:color w:val="auto"/>
                <w:highlight w:val="none"/>
                <w:vertAlign w:val="subscript"/>
              </w:rPr>
              <w:t>3</w:t>
            </w:r>
            <w:r>
              <w:rPr>
                <w:rFonts w:hint="eastAsia"/>
                <w:color w:val="auto"/>
                <w:highlight w:val="none"/>
              </w:rPr>
              <w:t>）日最大8小时平均第90百分位浓度平均为182微克/立方米。</w:t>
            </w: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基本污染物环境质量现状</w:t>
            </w:r>
          </w:p>
          <w:tbl>
            <w:tblPr>
              <w:tblStyle w:val="22"/>
              <w:tblW w:w="499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793"/>
              <w:gridCol w:w="2295"/>
              <w:gridCol w:w="1062"/>
              <w:gridCol w:w="952"/>
              <w:gridCol w:w="920"/>
              <w:gridCol w:w="960"/>
              <w:gridCol w:w="96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1" w:type="pct"/>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污染物</w:t>
                  </w:r>
                </w:p>
              </w:tc>
              <w:tc>
                <w:tcPr>
                  <w:tcW w:w="1446" w:type="pct"/>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年评价指标</w:t>
                  </w:r>
                </w:p>
              </w:tc>
              <w:tc>
                <w:tcPr>
                  <w:tcW w:w="670" w:type="pct"/>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现状浓度/（µg/m3）</w:t>
                  </w:r>
                </w:p>
              </w:tc>
              <w:tc>
                <w:tcPr>
                  <w:tcW w:w="587" w:type="pct"/>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标准值/（µg/m3）</w:t>
                  </w:r>
                </w:p>
              </w:tc>
              <w:tc>
                <w:tcPr>
                  <w:tcW w:w="581" w:type="pct"/>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占标率</w:t>
                  </w:r>
                </w:p>
              </w:tc>
              <w:tc>
                <w:tcPr>
                  <w:tcW w:w="606" w:type="pct"/>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超标倍数</w:t>
                  </w:r>
                </w:p>
              </w:tc>
              <w:tc>
                <w:tcPr>
                  <w:tcW w:w="606" w:type="pct"/>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达标情况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795"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SO</w:t>
                  </w:r>
                  <w:r>
                    <w:rPr>
                      <w:color w:val="auto"/>
                      <w:highlight w:val="none"/>
                      <w:vertAlign w:val="subscript"/>
                    </w:rPr>
                    <w:t>2</w:t>
                  </w:r>
                </w:p>
              </w:tc>
              <w:tc>
                <w:tcPr>
                  <w:tcW w:w="2297"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年平均质量浓度</w:t>
                  </w:r>
                </w:p>
              </w:tc>
              <w:tc>
                <w:tcPr>
                  <w:tcW w:w="1064"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8</w:t>
                  </w:r>
                </w:p>
              </w:tc>
              <w:tc>
                <w:tcPr>
                  <w:tcW w:w="93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60</w:t>
                  </w:r>
                </w:p>
              </w:tc>
              <w:tc>
                <w:tcPr>
                  <w:tcW w:w="92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13.3%</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795"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NO</w:t>
                  </w:r>
                  <w:r>
                    <w:rPr>
                      <w:color w:val="auto"/>
                      <w:highlight w:val="none"/>
                      <w:vertAlign w:val="subscript"/>
                    </w:rPr>
                    <w:t>2</w:t>
                  </w:r>
                </w:p>
              </w:tc>
              <w:tc>
                <w:tcPr>
                  <w:tcW w:w="2297"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年平均质量浓度</w:t>
                  </w:r>
                </w:p>
              </w:tc>
              <w:tc>
                <w:tcPr>
                  <w:tcW w:w="1064"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32</w:t>
                  </w:r>
                </w:p>
              </w:tc>
              <w:tc>
                <w:tcPr>
                  <w:tcW w:w="93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40</w:t>
                  </w:r>
                </w:p>
              </w:tc>
              <w:tc>
                <w:tcPr>
                  <w:tcW w:w="92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80%</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795"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PM</w:t>
                  </w:r>
                  <w:r>
                    <w:rPr>
                      <w:color w:val="auto"/>
                      <w:highlight w:val="none"/>
                      <w:vertAlign w:val="subscript"/>
                    </w:rPr>
                    <w:t>10</w:t>
                  </w:r>
                </w:p>
              </w:tc>
              <w:tc>
                <w:tcPr>
                  <w:tcW w:w="2297"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年平均质量浓度</w:t>
                  </w:r>
                </w:p>
              </w:tc>
              <w:tc>
                <w:tcPr>
                  <w:tcW w:w="1064"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67</w:t>
                  </w:r>
                </w:p>
              </w:tc>
              <w:tc>
                <w:tcPr>
                  <w:tcW w:w="93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70</w:t>
                  </w:r>
                </w:p>
              </w:tc>
              <w:tc>
                <w:tcPr>
                  <w:tcW w:w="92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95.7%</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795"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PM</w:t>
                  </w:r>
                  <w:r>
                    <w:rPr>
                      <w:color w:val="auto"/>
                      <w:highlight w:val="none"/>
                      <w:vertAlign w:val="subscript"/>
                    </w:rPr>
                    <w:t>2.5</w:t>
                  </w:r>
                </w:p>
              </w:tc>
              <w:tc>
                <w:tcPr>
                  <w:tcW w:w="2297"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年平均质量浓度</w:t>
                  </w:r>
                </w:p>
              </w:tc>
              <w:tc>
                <w:tcPr>
                  <w:tcW w:w="1064"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37</w:t>
                  </w:r>
                </w:p>
              </w:tc>
              <w:tc>
                <w:tcPr>
                  <w:tcW w:w="93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35</w:t>
                  </w:r>
                </w:p>
              </w:tc>
              <w:tc>
                <w:tcPr>
                  <w:tcW w:w="92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105.7%</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0.057</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不达标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795"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CO</w:t>
                  </w:r>
                </w:p>
              </w:tc>
              <w:tc>
                <w:tcPr>
                  <w:tcW w:w="2297"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日均值第95百分位</w:t>
                  </w:r>
                  <w:r>
                    <w:rPr>
                      <w:rFonts w:hint="eastAsia"/>
                      <w:color w:val="auto"/>
                      <w:highlight w:val="none"/>
                    </w:rPr>
                    <w:t>浓度</w:t>
                  </w:r>
                </w:p>
              </w:tc>
              <w:tc>
                <w:tcPr>
                  <w:tcW w:w="1064"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1500</w:t>
                  </w:r>
                </w:p>
              </w:tc>
              <w:tc>
                <w:tcPr>
                  <w:tcW w:w="93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4000</w:t>
                  </w:r>
                </w:p>
              </w:tc>
              <w:tc>
                <w:tcPr>
                  <w:tcW w:w="92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37.5%</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795"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O</w:t>
                  </w:r>
                  <w:r>
                    <w:rPr>
                      <w:color w:val="auto"/>
                      <w:highlight w:val="none"/>
                      <w:vertAlign w:val="subscript"/>
                    </w:rPr>
                    <w:t>3</w:t>
                  </w:r>
                </w:p>
              </w:tc>
              <w:tc>
                <w:tcPr>
                  <w:tcW w:w="2297"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日最大8小时平均</w:t>
                  </w:r>
                </w:p>
                <w:p>
                  <w:pPr>
                    <w:pStyle w:val="32"/>
                    <w:bidi w:val="0"/>
                    <w:rPr>
                      <w:color w:val="auto"/>
                      <w:highlight w:val="none"/>
                    </w:rPr>
                  </w:pPr>
                  <w:r>
                    <w:rPr>
                      <w:color w:val="auto"/>
                      <w:highlight w:val="none"/>
                    </w:rPr>
                    <w:t>第90百分位浓度</w:t>
                  </w:r>
                </w:p>
              </w:tc>
              <w:tc>
                <w:tcPr>
                  <w:tcW w:w="1064"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182</w:t>
                  </w:r>
                </w:p>
              </w:tc>
              <w:tc>
                <w:tcPr>
                  <w:tcW w:w="93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160</w:t>
                  </w:r>
                </w:p>
              </w:tc>
              <w:tc>
                <w:tcPr>
                  <w:tcW w:w="92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113.75%</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rFonts w:hint="eastAsia"/>
                      <w:color w:val="auto"/>
                      <w:highlight w:val="none"/>
                    </w:rPr>
                    <w:t>0.1375</w:t>
                  </w:r>
                </w:p>
              </w:tc>
              <w:tc>
                <w:tcPr>
                  <w:tcW w:w="963" w:type="dxa"/>
                  <w:tcBorders>
                    <w:tl2br w:val="nil"/>
                    <w:tr2bl w:val="nil"/>
                  </w:tcBorders>
                  <w:noWrap w:val="0"/>
                  <w:tcMar>
                    <w:top w:w="15" w:type="dxa"/>
                    <w:left w:w="15" w:type="dxa"/>
                    <w:bottom w:w="15" w:type="dxa"/>
                    <w:right w:w="15" w:type="dxa"/>
                  </w:tcMar>
                  <w:vAlign w:val="center"/>
                </w:tcPr>
                <w:p>
                  <w:pPr>
                    <w:pStyle w:val="32"/>
                    <w:bidi w:val="0"/>
                    <w:rPr>
                      <w:color w:val="auto"/>
                      <w:highlight w:val="none"/>
                    </w:rPr>
                  </w:pPr>
                  <w:r>
                    <w:rPr>
                      <w:color w:val="auto"/>
                      <w:highlight w:val="none"/>
                    </w:rPr>
                    <w:t>不达标</w:t>
                  </w:r>
                </w:p>
              </w:tc>
            </w:tr>
          </w:tbl>
          <w:p>
            <w:pPr>
              <w:pStyle w:val="33"/>
              <w:bidi w:val="0"/>
              <w:rPr>
                <w:color w:val="auto"/>
                <w:highlight w:val="none"/>
              </w:rPr>
            </w:pPr>
            <w:r>
              <w:rPr>
                <w:rFonts w:hint="eastAsia"/>
                <w:color w:val="auto"/>
                <w:highlight w:val="none"/>
              </w:rPr>
              <w:t>根据上表分析可知，唐山市PM</w:t>
            </w:r>
            <w:r>
              <w:rPr>
                <w:rFonts w:hint="eastAsia"/>
                <w:color w:val="auto"/>
                <w:highlight w:val="none"/>
                <w:vertAlign w:val="subscript"/>
              </w:rPr>
              <w:t>2.5</w:t>
            </w:r>
            <w:r>
              <w:rPr>
                <w:rFonts w:hint="eastAsia"/>
                <w:color w:val="auto"/>
                <w:highlight w:val="none"/>
              </w:rPr>
              <w:t>年均浓度值及O</w:t>
            </w:r>
            <w:r>
              <w:rPr>
                <w:rFonts w:hint="eastAsia"/>
                <w:color w:val="auto"/>
                <w:highlight w:val="none"/>
                <w:vertAlign w:val="subscript"/>
              </w:rPr>
              <w:t>3</w:t>
            </w:r>
            <w:r>
              <w:rPr>
                <w:rFonts w:hint="eastAsia"/>
                <w:color w:val="auto"/>
                <w:highlight w:val="none"/>
              </w:rPr>
              <w:t>日最大8小时平均第90百分位浓度均超过《环境空气质量标准》（GB3095-2012）及修改单中二级标准限值；SO</w:t>
            </w:r>
            <w:r>
              <w:rPr>
                <w:rFonts w:hint="eastAsia"/>
                <w:color w:val="auto"/>
                <w:highlight w:val="none"/>
                <w:vertAlign w:val="subscript"/>
              </w:rPr>
              <w:t>2</w:t>
            </w:r>
            <w:r>
              <w:rPr>
                <w:rFonts w:hint="eastAsia"/>
                <w:color w:val="auto"/>
                <w:highlight w:val="none"/>
              </w:rPr>
              <w:t>年均浓度、PM</w:t>
            </w:r>
            <w:r>
              <w:rPr>
                <w:rFonts w:hint="eastAsia"/>
                <w:color w:val="auto"/>
                <w:highlight w:val="none"/>
                <w:vertAlign w:val="subscript"/>
              </w:rPr>
              <w:t>10</w:t>
            </w:r>
            <w:r>
              <w:rPr>
                <w:rFonts w:hint="eastAsia"/>
                <w:color w:val="auto"/>
                <w:highlight w:val="none"/>
              </w:rPr>
              <w:t>年均浓度、NO</w:t>
            </w:r>
            <w:r>
              <w:rPr>
                <w:rFonts w:hint="eastAsia"/>
                <w:color w:val="auto"/>
                <w:highlight w:val="none"/>
                <w:vertAlign w:val="subscript"/>
              </w:rPr>
              <w:t>2</w:t>
            </w:r>
            <w:r>
              <w:rPr>
                <w:rFonts w:hint="eastAsia"/>
                <w:color w:val="auto"/>
                <w:highlight w:val="none"/>
              </w:rPr>
              <w:t>年均浓度、CO日均值第95百分位浓度均满足《环境空气质量标准》（GB3095-2012）及修改单中二级标准限值。根据《环境影响评价技术导则 大气环境》 （HJ2.2-2018）“城市环境空气质量达标情况评价指标为SO</w:t>
            </w:r>
            <w:r>
              <w:rPr>
                <w:rFonts w:hint="eastAsia"/>
                <w:color w:val="auto"/>
                <w:highlight w:val="none"/>
                <w:vertAlign w:val="subscript"/>
              </w:rPr>
              <w:t>2</w:t>
            </w:r>
            <w:r>
              <w:rPr>
                <w:rFonts w:hint="eastAsia"/>
                <w:color w:val="auto"/>
                <w:highlight w:val="none"/>
              </w:rPr>
              <w:t>、NO</w:t>
            </w:r>
            <w:r>
              <w:rPr>
                <w:rFonts w:hint="eastAsia"/>
                <w:color w:val="auto"/>
                <w:highlight w:val="none"/>
                <w:vertAlign w:val="subscript"/>
              </w:rPr>
              <w:t>2</w:t>
            </w:r>
            <w:r>
              <w:rPr>
                <w:rFonts w:hint="eastAsia"/>
                <w:color w:val="auto"/>
                <w:highlight w:val="none"/>
              </w:rPr>
              <w:t>、PM</w:t>
            </w:r>
            <w:r>
              <w:rPr>
                <w:rFonts w:hint="eastAsia"/>
                <w:color w:val="auto"/>
                <w:highlight w:val="none"/>
                <w:vertAlign w:val="subscript"/>
              </w:rPr>
              <w:t>10</w:t>
            </w:r>
            <w:r>
              <w:rPr>
                <w:rFonts w:hint="eastAsia"/>
                <w:color w:val="auto"/>
                <w:highlight w:val="none"/>
              </w:rPr>
              <w:t>、PM</w:t>
            </w:r>
            <w:r>
              <w:rPr>
                <w:rFonts w:hint="eastAsia"/>
                <w:color w:val="auto"/>
                <w:highlight w:val="none"/>
                <w:vertAlign w:val="subscript"/>
              </w:rPr>
              <w:t>2.5</w:t>
            </w:r>
            <w:r>
              <w:rPr>
                <w:rFonts w:hint="eastAsia"/>
                <w:color w:val="auto"/>
                <w:highlight w:val="none"/>
              </w:rPr>
              <w:t>、CO、O</w:t>
            </w:r>
            <w:r>
              <w:rPr>
                <w:rFonts w:hint="eastAsia"/>
                <w:color w:val="auto"/>
                <w:highlight w:val="none"/>
                <w:vertAlign w:val="subscript"/>
              </w:rPr>
              <w:t>3</w:t>
            </w:r>
            <w:r>
              <w:rPr>
                <w:rFonts w:hint="eastAsia"/>
                <w:color w:val="auto"/>
                <w:highlight w:val="none"/>
              </w:rPr>
              <w:t>六项污染物年评价指标全部达标即为城市环境空气质量达标”。因此，唐山市区域为不达标区域。</w:t>
            </w:r>
          </w:p>
          <w:p>
            <w:pPr>
              <w:pStyle w:val="33"/>
              <w:bidi w:val="0"/>
              <w:rPr>
                <w:highlight w:val="none"/>
              </w:rPr>
            </w:pPr>
            <w:r>
              <w:rPr>
                <w:highlight w:val="none"/>
              </w:rPr>
              <w:t>③</w:t>
            </w:r>
            <w:r>
              <w:rPr>
                <w:rFonts w:hint="eastAsia"/>
                <w:highlight w:val="none"/>
              </w:rPr>
              <w:t>海港经济开发区</w:t>
            </w:r>
            <w:r>
              <w:rPr>
                <w:highlight w:val="none"/>
              </w:rPr>
              <w:t>基本污染物环境质量现状评价</w:t>
            </w: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en-US" w:eastAsia="zh-CN"/>
              </w:rPr>
              <w:t>海港经济开发区2022年</w:t>
            </w:r>
            <w:r>
              <w:rPr>
                <w:rFonts w:hint="eastAsia" w:ascii="Times New Roman" w:hAnsi="Times New Roman" w:eastAsia="宋体" w:cs="Times New Roman"/>
                <w:color w:val="auto"/>
                <w:highlight w:val="none"/>
                <w:lang w:val="zh-CN" w:eastAsia="zh-CN"/>
              </w:rPr>
              <w:t>空气质量现状评价表</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788"/>
              <w:gridCol w:w="2123"/>
              <w:gridCol w:w="1282"/>
              <w:gridCol w:w="1094"/>
              <w:gridCol w:w="921"/>
              <w:gridCol w:w="859"/>
              <w:gridCol w:w="8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496" w:type="pct"/>
                  <w:tcBorders>
                    <w:tl2br w:val="nil"/>
                    <w:tr2bl w:val="nil"/>
                  </w:tcBorders>
                  <w:noWrap w:val="0"/>
                  <w:vAlign w:val="center"/>
                </w:tcPr>
                <w:p>
                  <w:pPr>
                    <w:pStyle w:val="32"/>
                    <w:bidi w:val="0"/>
                    <w:rPr>
                      <w:color w:val="auto"/>
                      <w:highlight w:val="none"/>
                    </w:rPr>
                  </w:pPr>
                  <w:r>
                    <w:rPr>
                      <w:color w:val="auto"/>
                      <w:highlight w:val="none"/>
                    </w:rPr>
                    <w:t>污染物</w:t>
                  </w:r>
                </w:p>
              </w:tc>
              <w:tc>
                <w:tcPr>
                  <w:tcW w:w="1335" w:type="pct"/>
                  <w:tcBorders>
                    <w:tl2br w:val="nil"/>
                    <w:tr2bl w:val="nil"/>
                  </w:tcBorders>
                  <w:noWrap w:val="0"/>
                  <w:vAlign w:val="center"/>
                </w:tcPr>
                <w:p>
                  <w:pPr>
                    <w:pStyle w:val="32"/>
                    <w:bidi w:val="0"/>
                    <w:rPr>
                      <w:color w:val="auto"/>
                      <w:highlight w:val="none"/>
                    </w:rPr>
                  </w:pPr>
                  <w:r>
                    <w:rPr>
                      <w:color w:val="auto"/>
                      <w:highlight w:val="none"/>
                    </w:rPr>
                    <w:t>年评价指标</w:t>
                  </w:r>
                </w:p>
              </w:tc>
              <w:tc>
                <w:tcPr>
                  <w:tcW w:w="806" w:type="pct"/>
                  <w:tcBorders>
                    <w:tl2br w:val="nil"/>
                    <w:tr2bl w:val="nil"/>
                  </w:tcBorders>
                  <w:noWrap w:val="0"/>
                  <w:vAlign w:val="center"/>
                </w:tcPr>
                <w:p>
                  <w:pPr>
                    <w:pStyle w:val="32"/>
                    <w:bidi w:val="0"/>
                    <w:rPr>
                      <w:color w:val="auto"/>
                      <w:highlight w:val="none"/>
                    </w:rPr>
                  </w:pPr>
                  <w:r>
                    <w:rPr>
                      <w:color w:val="auto"/>
                      <w:highlight w:val="none"/>
                    </w:rPr>
                    <w:t>现状浓度μg/m3</w:t>
                  </w:r>
                </w:p>
              </w:tc>
              <w:tc>
                <w:tcPr>
                  <w:tcW w:w="688" w:type="pct"/>
                  <w:tcBorders>
                    <w:tl2br w:val="nil"/>
                    <w:tr2bl w:val="nil"/>
                  </w:tcBorders>
                  <w:noWrap w:val="0"/>
                  <w:vAlign w:val="center"/>
                </w:tcPr>
                <w:p>
                  <w:pPr>
                    <w:pStyle w:val="32"/>
                    <w:bidi w:val="0"/>
                    <w:rPr>
                      <w:color w:val="auto"/>
                      <w:highlight w:val="none"/>
                    </w:rPr>
                  </w:pPr>
                  <w:r>
                    <w:rPr>
                      <w:color w:val="auto"/>
                      <w:highlight w:val="none"/>
                    </w:rPr>
                    <w:t>标准值μg/m3</w:t>
                  </w:r>
                </w:p>
              </w:tc>
              <w:tc>
                <w:tcPr>
                  <w:tcW w:w="579" w:type="pct"/>
                  <w:tcBorders>
                    <w:tl2br w:val="nil"/>
                    <w:tr2bl w:val="nil"/>
                  </w:tcBorders>
                  <w:noWrap w:val="0"/>
                  <w:vAlign w:val="center"/>
                </w:tcPr>
                <w:p>
                  <w:pPr>
                    <w:pStyle w:val="32"/>
                    <w:bidi w:val="0"/>
                    <w:rPr>
                      <w:color w:val="auto"/>
                      <w:highlight w:val="none"/>
                    </w:rPr>
                  </w:pPr>
                  <w:r>
                    <w:rPr>
                      <w:color w:val="auto"/>
                      <w:highlight w:val="none"/>
                    </w:rPr>
                    <w:t>占标率/%</w:t>
                  </w:r>
                </w:p>
              </w:tc>
              <w:tc>
                <w:tcPr>
                  <w:tcW w:w="540" w:type="pct"/>
                  <w:tcBorders>
                    <w:tl2br w:val="nil"/>
                    <w:tr2bl w:val="nil"/>
                  </w:tcBorders>
                  <w:noWrap w:val="0"/>
                  <w:vAlign w:val="center"/>
                </w:tcPr>
                <w:p>
                  <w:pPr>
                    <w:pStyle w:val="32"/>
                    <w:bidi w:val="0"/>
                    <w:rPr>
                      <w:color w:val="auto"/>
                      <w:highlight w:val="none"/>
                    </w:rPr>
                  </w:pPr>
                  <w:r>
                    <w:rPr>
                      <w:color w:val="auto"/>
                      <w:highlight w:val="none"/>
                    </w:rPr>
                    <w:t>超标倍数</w:t>
                  </w:r>
                </w:p>
              </w:tc>
              <w:tc>
                <w:tcPr>
                  <w:tcW w:w="552" w:type="pct"/>
                  <w:tcBorders>
                    <w:tl2br w:val="nil"/>
                    <w:tr2bl w:val="nil"/>
                  </w:tcBorders>
                  <w:noWrap w:val="0"/>
                  <w:vAlign w:val="center"/>
                </w:tcPr>
                <w:p>
                  <w:pPr>
                    <w:pStyle w:val="32"/>
                    <w:bidi w:val="0"/>
                    <w:rPr>
                      <w:color w:val="auto"/>
                      <w:highlight w:val="none"/>
                    </w:rPr>
                  </w:pPr>
                  <w:r>
                    <w:rPr>
                      <w:color w:val="auto"/>
                      <w:highlight w:val="none"/>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496" w:type="pct"/>
                  <w:tcBorders>
                    <w:tl2br w:val="nil"/>
                    <w:tr2bl w:val="nil"/>
                  </w:tcBorders>
                  <w:noWrap w:val="0"/>
                  <w:vAlign w:val="center"/>
                </w:tcPr>
                <w:p>
                  <w:pPr>
                    <w:pStyle w:val="32"/>
                    <w:bidi w:val="0"/>
                    <w:rPr>
                      <w:color w:val="auto"/>
                      <w:highlight w:val="none"/>
                    </w:rPr>
                  </w:pPr>
                  <w:r>
                    <w:rPr>
                      <w:color w:val="auto"/>
                      <w:highlight w:val="none"/>
                    </w:rPr>
                    <w:t>SO</w:t>
                  </w:r>
                  <w:r>
                    <w:rPr>
                      <w:color w:val="auto"/>
                      <w:highlight w:val="none"/>
                      <w:vertAlign w:val="subscript"/>
                    </w:rPr>
                    <w:t>2</w:t>
                  </w:r>
                </w:p>
              </w:tc>
              <w:tc>
                <w:tcPr>
                  <w:tcW w:w="1335" w:type="pct"/>
                  <w:tcBorders>
                    <w:tl2br w:val="nil"/>
                    <w:tr2bl w:val="nil"/>
                  </w:tcBorders>
                  <w:noWrap w:val="0"/>
                  <w:vAlign w:val="center"/>
                </w:tcPr>
                <w:p>
                  <w:pPr>
                    <w:pStyle w:val="32"/>
                    <w:bidi w:val="0"/>
                    <w:rPr>
                      <w:color w:val="auto"/>
                      <w:highlight w:val="none"/>
                    </w:rPr>
                  </w:pPr>
                  <w:r>
                    <w:rPr>
                      <w:color w:val="auto"/>
                      <w:highlight w:val="none"/>
                    </w:rPr>
                    <w:t>年平均质量浓度</w:t>
                  </w:r>
                </w:p>
              </w:tc>
              <w:tc>
                <w:tcPr>
                  <w:tcW w:w="806" w:type="pct"/>
                  <w:tcBorders>
                    <w:tl2br w:val="nil"/>
                    <w:tr2bl w:val="nil"/>
                  </w:tcBorders>
                  <w:noWrap w:val="0"/>
                  <w:vAlign w:val="center"/>
                </w:tcPr>
                <w:p>
                  <w:pPr>
                    <w:pStyle w:val="32"/>
                    <w:bidi w:val="0"/>
                    <w:rPr>
                      <w:color w:val="auto"/>
                      <w:highlight w:val="none"/>
                    </w:rPr>
                  </w:pPr>
                  <w:r>
                    <w:rPr>
                      <w:rFonts w:hint="eastAsia"/>
                      <w:color w:val="auto"/>
                      <w:highlight w:val="none"/>
                    </w:rPr>
                    <w:t>13</w:t>
                  </w:r>
                </w:p>
              </w:tc>
              <w:tc>
                <w:tcPr>
                  <w:tcW w:w="688" w:type="pct"/>
                  <w:tcBorders>
                    <w:tl2br w:val="nil"/>
                    <w:tr2bl w:val="nil"/>
                  </w:tcBorders>
                  <w:noWrap w:val="0"/>
                  <w:vAlign w:val="center"/>
                </w:tcPr>
                <w:p>
                  <w:pPr>
                    <w:pStyle w:val="32"/>
                    <w:bidi w:val="0"/>
                    <w:rPr>
                      <w:color w:val="auto"/>
                      <w:highlight w:val="none"/>
                    </w:rPr>
                  </w:pPr>
                  <w:r>
                    <w:rPr>
                      <w:color w:val="auto"/>
                      <w:highlight w:val="none"/>
                    </w:rPr>
                    <w:t>60</w:t>
                  </w:r>
                </w:p>
              </w:tc>
              <w:tc>
                <w:tcPr>
                  <w:tcW w:w="579" w:type="pct"/>
                  <w:tcBorders>
                    <w:tl2br w:val="nil"/>
                    <w:tr2bl w:val="nil"/>
                  </w:tcBorders>
                  <w:noWrap w:val="0"/>
                  <w:vAlign w:val="center"/>
                </w:tcPr>
                <w:p>
                  <w:pPr>
                    <w:pStyle w:val="32"/>
                    <w:bidi w:val="0"/>
                    <w:rPr>
                      <w:color w:val="auto"/>
                      <w:highlight w:val="none"/>
                    </w:rPr>
                  </w:pPr>
                  <w:r>
                    <w:rPr>
                      <w:rFonts w:hint="eastAsia"/>
                      <w:color w:val="auto"/>
                      <w:highlight w:val="none"/>
                    </w:rPr>
                    <w:t>21.67</w:t>
                  </w:r>
                  <w:r>
                    <w:rPr>
                      <w:color w:val="auto"/>
                      <w:highlight w:val="none"/>
                    </w:rPr>
                    <w:t>%</w:t>
                  </w:r>
                </w:p>
              </w:tc>
              <w:tc>
                <w:tcPr>
                  <w:tcW w:w="540" w:type="pct"/>
                  <w:tcBorders>
                    <w:tl2br w:val="nil"/>
                    <w:tr2bl w:val="nil"/>
                  </w:tcBorders>
                  <w:noWrap w:val="0"/>
                  <w:vAlign w:val="center"/>
                </w:tcPr>
                <w:p>
                  <w:pPr>
                    <w:pStyle w:val="32"/>
                    <w:bidi w:val="0"/>
                    <w:rPr>
                      <w:color w:val="auto"/>
                      <w:highlight w:val="none"/>
                    </w:rPr>
                  </w:pPr>
                  <w:r>
                    <w:rPr>
                      <w:color w:val="auto"/>
                      <w:highlight w:val="none"/>
                    </w:rPr>
                    <w:t>/</w:t>
                  </w:r>
                </w:p>
              </w:tc>
              <w:tc>
                <w:tcPr>
                  <w:tcW w:w="552" w:type="pct"/>
                  <w:tcBorders>
                    <w:tl2br w:val="nil"/>
                    <w:tr2bl w:val="nil"/>
                  </w:tcBorders>
                  <w:noWrap w:val="0"/>
                  <w:vAlign w:val="center"/>
                </w:tcPr>
                <w:p>
                  <w:pPr>
                    <w:pStyle w:val="32"/>
                    <w:bidi w:val="0"/>
                    <w:rPr>
                      <w:color w:val="auto"/>
                      <w:highlight w:val="none"/>
                    </w:rPr>
                  </w:pPr>
                  <w:r>
                    <w:rPr>
                      <w:color w:val="auto"/>
                      <w:highlight w:val="none"/>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496" w:type="pct"/>
                  <w:tcBorders>
                    <w:tl2br w:val="nil"/>
                    <w:tr2bl w:val="nil"/>
                  </w:tcBorders>
                  <w:noWrap w:val="0"/>
                  <w:vAlign w:val="center"/>
                </w:tcPr>
                <w:p>
                  <w:pPr>
                    <w:pStyle w:val="32"/>
                    <w:bidi w:val="0"/>
                    <w:rPr>
                      <w:color w:val="auto"/>
                      <w:highlight w:val="none"/>
                    </w:rPr>
                  </w:pPr>
                  <w:r>
                    <w:rPr>
                      <w:color w:val="auto"/>
                      <w:highlight w:val="none"/>
                    </w:rPr>
                    <w:t>NO</w:t>
                  </w:r>
                  <w:r>
                    <w:rPr>
                      <w:color w:val="auto"/>
                      <w:highlight w:val="none"/>
                      <w:vertAlign w:val="subscript"/>
                    </w:rPr>
                    <w:t>2</w:t>
                  </w:r>
                </w:p>
              </w:tc>
              <w:tc>
                <w:tcPr>
                  <w:tcW w:w="1335" w:type="pct"/>
                  <w:tcBorders>
                    <w:tl2br w:val="nil"/>
                    <w:tr2bl w:val="nil"/>
                  </w:tcBorders>
                  <w:noWrap w:val="0"/>
                  <w:vAlign w:val="center"/>
                </w:tcPr>
                <w:p>
                  <w:pPr>
                    <w:pStyle w:val="32"/>
                    <w:bidi w:val="0"/>
                    <w:rPr>
                      <w:color w:val="auto"/>
                      <w:highlight w:val="none"/>
                    </w:rPr>
                  </w:pPr>
                  <w:r>
                    <w:rPr>
                      <w:color w:val="auto"/>
                      <w:highlight w:val="none"/>
                    </w:rPr>
                    <w:t>年平均质量浓度</w:t>
                  </w:r>
                </w:p>
              </w:tc>
              <w:tc>
                <w:tcPr>
                  <w:tcW w:w="806" w:type="pct"/>
                  <w:tcBorders>
                    <w:tl2br w:val="nil"/>
                    <w:tr2bl w:val="nil"/>
                  </w:tcBorders>
                  <w:noWrap w:val="0"/>
                  <w:vAlign w:val="center"/>
                </w:tcPr>
                <w:p>
                  <w:pPr>
                    <w:pStyle w:val="32"/>
                    <w:bidi w:val="0"/>
                    <w:rPr>
                      <w:color w:val="auto"/>
                      <w:highlight w:val="none"/>
                    </w:rPr>
                  </w:pPr>
                  <w:r>
                    <w:rPr>
                      <w:rFonts w:hint="eastAsia"/>
                      <w:color w:val="auto"/>
                      <w:highlight w:val="none"/>
                    </w:rPr>
                    <w:t>28</w:t>
                  </w:r>
                </w:p>
              </w:tc>
              <w:tc>
                <w:tcPr>
                  <w:tcW w:w="688" w:type="pct"/>
                  <w:tcBorders>
                    <w:tl2br w:val="nil"/>
                    <w:tr2bl w:val="nil"/>
                  </w:tcBorders>
                  <w:noWrap w:val="0"/>
                  <w:vAlign w:val="center"/>
                </w:tcPr>
                <w:p>
                  <w:pPr>
                    <w:pStyle w:val="32"/>
                    <w:bidi w:val="0"/>
                    <w:rPr>
                      <w:color w:val="auto"/>
                      <w:highlight w:val="none"/>
                    </w:rPr>
                  </w:pPr>
                  <w:r>
                    <w:rPr>
                      <w:color w:val="auto"/>
                      <w:highlight w:val="none"/>
                    </w:rPr>
                    <w:t>40</w:t>
                  </w:r>
                </w:p>
              </w:tc>
              <w:tc>
                <w:tcPr>
                  <w:tcW w:w="579" w:type="pct"/>
                  <w:tcBorders>
                    <w:tl2br w:val="nil"/>
                    <w:tr2bl w:val="nil"/>
                  </w:tcBorders>
                  <w:noWrap w:val="0"/>
                  <w:vAlign w:val="center"/>
                </w:tcPr>
                <w:p>
                  <w:pPr>
                    <w:pStyle w:val="32"/>
                    <w:bidi w:val="0"/>
                    <w:rPr>
                      <w:color w:val="auto"/>
                      <w:highlight w:val="none"/>
                    </w:rPr>
                  </w:pPr>
                  <w:r>
                    <w:rPr>
                      <w:rFonts w:hint="eastAsia"/>
                      <w:color w:val="auto"/>
                      <w:highlight w:val="none"/>
                    </w:rPr>
                    <w:t>70</w:t>
                  </w:r>
                  <w:r>
                    <w:rPr>
                      <w:color w:val="auto"/>
                      <w:highlight w:val="none"/>
                    </w:rPr>
                    <w:t>%</w:t>
                  </w:r>
                </w:p>
              </w:tc>
              <w:tc>
                <w:tcPr>
                  <w:tcW w:w="540" w:type="pct"/>
                  <w:tcBorders>
                    <w:tl2br w:val="nil"/>
                    <w:tr2bl w:val="nil"/>
                  </w:tcBorders>
                  <w:noWrap w:val="0"/>
                  <w:vAlign w:val="center"/>
                </w:tcPr>
                <w:p>
                  <w:pPr>
                    <w:pStyle w:val="32"/>
                    <w:bidi w:val="0"/>
                    <w:rPr>
                      <w:color w:val="auto"/>
                      <w:highlight w:val="none"/>
                    </w:rPr>
                  </w:pPr>
                  <w:r>
                    <w:rPr>
                      <w:rFonts w:hint="eastAsia"/>
                      <w:color w:val="auto"/>
                      <w:highlight w:val="none"/>
                    </w:rPr>
                    <w:t>/</w:t>
                  </w:r>
                </w:p>
              </w:tc>
              <w:tc>
                <w:tcPr>
                  <w:tcW w:w="552" w:type="pct"/>
                  <w:tcBorders>
                    <w:tl2br w:val="nil"/>
                    <w:tr2bl w:val="nil"/>
                  </w:tcBorders>
                  <w:noWrap w:val="0"/>
                  <w:vAlign w:val="center"/>
                </w:tcPr>
                <w:p>
                  <w:pPr>
                    <w:pStyle w:val="32"/>
                    <w:bidi w:val="0"/>
                    <w:rPr>
                      <w:color w:val="auto"/>
                      <w:highlight w:val="none"/>
                    </w:rPr>
                  </w:pPr>
                  <w:r>
                    <w:rPr>
                      <w:color w:val="auto"/>
                      <w:highlight w:val="none"/>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496" w:type="pct"/>
                  <w:tcBorders>
                    <w:tl2br w:val="nil"/>
                    <w:tr2bl w:val="nil"/>
                  </w:tcBorders>
                  <w:noWrap w:val="0"/>
                  <w:vAlign w:val="center"/>
                </w:tcPr>
                <w:p>
                  <w:pPr>
                    <w:pStyle w:val="32"/>
                    <w:bidi w:val="0"/>
                    <w:rPr>
                      <w:color w:val="auto"/>
                      <w:highlight w:val="none"/>
                    </w:rPr>
                  </w:pPr>
                  <w:r>
                    <w:rPr>
                      <w:color w:val="auto"/>
                      <w:highlight w:val="none"/>
                    </w:rPr>
                    <w:t>PM</w:t>
                  </w:r>
                  <w:r>
                    <w:rPr>
                      <w:color w:val="auto"/>
                      <w:highlight w:val="none"/>
                      <w:vertAlign w:val="subscript"/>
                    </w:rPr>
                    <w:t>10</w:t>
                  </w:r>
                </w:p>
              </w:tc>
              <w:tc>
                <w:tcPr>
                  <w:tcW w:w="1335" w:type="pct"/>
                  <w:tcBorders>
                    <w:tl2br w:val="nil"/>
                    <w:tr2bl w:val="nil"/>
                  </w:tcBorders>
                  <w:noWrap w:val="0"/>
                  <w:vAlign w:val="center"/>
                </w:tcPr>
                <w:p>
                  <w:pPr>
                    <w:pStyle w:val="32"/>
                    <w:bidi w:val="0"/>
                    <w:rPr>
                      <w:color w:val="auto"/>
                      <w:highlight w:val="none"/>
                    </w:rPr>
                  </w:pPr>
                  <w:r>
                    <w:rPr>
                      <w:color w:val="auto"/>
                      <w:highlight w:val="none"/>
                    </w:rPr>
                    <w:t>年平均质量浓度</w:t>
                  </w:r>
                </w:p>
              </w:tc>
              <w:tc>
                <w:tcPr>
                  <w:tcW w:w="806" w:type="pct"/>
                  <w:tcBorders>
                    <w:tl2br w:val="nil"/>
                    <w:tr2bl w:val="nil"/>
                  </w:tcBorders>
                  <w:noWrap w:val="0"/>
                  <w:vAlign w:val="center"/>
                </w:tcPr>
                <w:p>
                  <w:pPr>
                    <w:pStyle w:val="32"/>
                    <w:bidi w:val="0"/>
                    <w:rPr>
                      <w:color w:val="auto"/>
                      <w:highlight w:val="none"/>
                    </w:rPr>
                  </w:pPr>
                  <w:r>
                    <w:rPr>
                      <w:rFonts w:hint="eastAsia"/>
                      <w:color w:val="auto"/>
                      <w:highlight w:val="none"/>
                    </w:rPr>
                    <w:t>54</w:t>
                  </w:r>
                </w:p>
              </w:tc>
              <w:tc>
                <w:tcPr>
                  <w:tcW w:w="688" w:type="pct"/>
                  <w:tcBorders>
                    <w:tl2br w:val="nil"/>
                    <w:tr2bl w:val="nil"/>
                  </w:tcBorders>
                  <w:noWrap w:val="0"/>
                  <w:vAlign w:val="center"/>
                </w:tcPr>
                <w:p>
                  <w:pPr>
                    <w:pStyle w:val="32"/>
                    <w:bidi w:val="0"/>
                    <w:rPr>
                      <w:color w:val="auto"/>
                      <w:highlight w:val="none"/>
                    </w:rPr>
                  </w:pPr>
                  <w:r>
                    <w:rPr>
                      <w:color w:val="auto"/>
                      <w:highlight w:val="none"/>
                    </w:rPr>
                    <w:t>70</w:t>
                  </w:r>
                </w:p>
              </w:tc>
              <w:tc>
                <w:tcPr>
                  <w:tcW w:w="579" w:type="pct"/>
                  <w:tcBorders>
                    <w:tl2br w:val="nil"/>
                    <w:tr2bl w:val="nil"/>
                  </w:tcBorders>
                  <w:noWrap w:val="0"/>
                  <w:vAlign w:val="center"/>
                </w:tcPr>
                <w:p>
                  <w:pPr>
                    <w:pStyle w:val="32"/>
                    <w:bidi w:val="0"/>
                    <w:rPr>
                      <w:color w:val="auto"/>
                      <w:highlight w:val="none"/>
                    </w:rPr>
                  </w:pPr>
                  <w:r>
                    <w:rPr>
                      <w:rFonts w:hint="eastAsia"/>
                      <w:color w:val="auto"/>
                      <w:highlight w:val="none"/>
                    </w:rPr>
                    <w:t>77.14</w:t>
                  </w:r>
                  <w:r>
                    <w:rPr>
                      <w:color w:val="auto"/>
                      <w:highlight w:val="none"/>
                    </w:rPr>
                    <w:t>%</w:t>
                  </w:r>
                </w:p>
              </w:tc>
              <w:tc>
                <w:tcPr>
                  <w:tcW w:w="540" w:type="pct"/>
                  <w:tcBorders>
                    <w:tl2br w:val="nil"/>
                    <w:tr2bl w:val="nil"/>
                  </w:tcBorders>
                  <w:noWrap w:val="0"/>
                  <w:vAlign w:val="center"/>
                </w:tcPr>
                <w:p>
                  <w:pPr>
                    <w:pStyle w:val="32"/>
                    <w:bidi w:val="0"/>
                    <w:rPr>
                      <w:color w:val="auto"/>
                      <w:highlight w:val="none"/>
                    </w:rPr>
                  </w:pPr>
                  <w:r>
                    <w:rPr>
                      <w:rFonts w:hint="eastAsia"/>
                      <w:color w:val="auto"/>
                      <w:highlight w:val="none"/>
                    </w:rPr>
                    <w:t>/</w:t>
                  </w:r>
                </w:p>
              </w:tc>
              <w:tc>
                <w:tcPr>
                  <w:tcW w:w="552" w:type="pct"/>
                  <w:tcBorders>
                    <w:tl2br w:val="nil"/>
                    <w:tr2bl w:val="nil"/>
                  </w:tcBorders>
                  <w:noWrap w:val="0"/>
                  <w:vAlign w:val="center"/>
                </w:tcPr>
                <w:p>
                  <w:pPr>
                    <w:pStyle w:val="32"/>
                    <w:bidi w:val="0"/>
                    <w:rPr>
                      <w:color w:val="auto"/>
                      <w:highlight w:val="none"/>
                    </w:rPr>
                  </w:pPr>
                  <w:r>
                    <w:rPr>
                      <w:color w:val="auto"/>
                      <w:highlight w:val="none"/>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496" w:type="pct"/>
                  <w:tcBorders>
                    <w:tl2br w:val="nil"/>
                    <w:tr2bl w:val="nil"/>
                  </w:tcBorders>
                  <w:noWrap w:val="0"/>
                  <w:vAlign w:val="center"/>
                </w:tcPr>
                <w:p>
                  <w:pPr>
                    <w:pStyle w:val="32"/>
                    <w:bidi w:val="0"/>
                    <w:rPr>
                      <w:color w:val="auto"/>
                      <w:highlight w:val="none"/>
                    </w:rPr>
                  </w:pPr>
                  <w:r>
                    <w:rPr>
                      <w:color w:val="auto"/>
                      <w:highlight w:val="none"/>
                    </w:rPr>
                    <w:t>PM</w:t>
                  </w:r>
                  <w:r>
                    <w:rPr>
                      <w:color w:val="auto"/>
                      <w:highlight w:val="none"/>
                      <w:vertAlign w:val="subscript"/>
                    </w:rPr>
                    <w:t>2.5</w:t>
                  </w:r>
                </w:p>
              </w:tc>
              <w:tc>
                <w:tcPr>
                  <w:tcW w:w="1335" w:type="pct"/>
                  <w:tcBorders>
                    <w:tl2br w:val="nil"/>
                    <w:tr2bl w:val="nil"/>
                  </w:tcBorders>
                  <w:noWrap w:val="0"/>
                  <w:vAlign w:val="center"/>
                </w:tcPr>
                <w:p>
                  <w:pPr>
                    <w:pStyle w:val="32"/>
                    <w:bidi w:val="0"/>
                    <w:rPr>
                      <w:color w:val="auto"/>
                      <w:highlight w:val="none"/>
                    </w:rPr>
                  </w:pPr>
                  <w:r>
                    <w:rPr>
                      <w:color w:val="auto"/>
                      <w:highlight w:val="none"/>
                    </w:rPr>
                    <w:t>年平均质量浓度</w:t>
                  </w:r>
                </w:p>
              </w:tc>
              <w:tc>
                <w:tcPr>
                  <w:tcW w:w="806" w:type="pct"/>
                  <w:tcBorders>
                    <w:tl2br w:val="nil"/>
                    <w:tr2bl w:val="nil"/>
                  </w:tcBorders>
                  <w:noWrap w:val="0"/>
                  <w:vAlign w:val="center"/>
                </w:tcPr>
                <w:p>
                  <w:pPr>
                    <w:pStyle w:val="32"/>
                    <w:bidi w:val="0"/>
                    <w:rPr>
                      <w:color w:val="auto"/>
                      <w:highlight w:val="none"/>
                    </w:rPr>
                  </w:pPr>
                  <w:r>
                    <w:rPr>
                      <w:rFonts w:hint="eastAsia"/>
                      <w:color w:val="auto"/>
                      <w:highlight w:val="none"/>
                    </w:rPr>
                    <w:t>25</w:t>
                  </w:r>
                </w:p>
              </w:tc>
              <w:tc>
                <w:tcPr>
                  <w:tcW w:w="688" w:type="pct"/>
                  <w:tcBorders>
                    <w:tl2br w:val="nil"/>
                    <w:tr2bl w:val="nil"/>
                  </w:tcBorders>
                  <w:noWrap w:val="0"/>
                  <w:vAlign w:val="center"/>
                </w:tcPr>
                <w:p>
                  <w:pPr>
                    <w:pStyle w:val="32"/>
                    <w:bidi w:val="0"/>
                    <w:rPr>
                      <w:color w:val="auto"/>
                      <w:highlight w:val="none"/>
                    </w:rPr>
                  </w:pPr>
                  <w:r>
                    <w:rPr>
                      <w:color w:val="auto"/>
                      <w:highlight w:val="none"/>
                    </w:rPr>
                    <w:t>35</w:t>
                  </w:r>
                </w:p>
              </w:tc>
              <w:tc>
                <w:tcPr>
                  <w:tcW w:w="579" w:type="pct"/>
                  <w:tcBorders>
                    <w:tl2br w:val="nil"/>
                    <w:tr2bl w:val="nil"/>
                  </w:tcBorders>
                  <w:noWrap w:val="0"/>
                  <w:vAlign w:val="center"/>
                </w:tcPr>
                <w:p>
                  <w:pPr>
                    <w:pStyle w:val="32"/>
                    <w:bidi w:val="0"/>
                    <w:rPr>
                      <w:color w:val="auto"/>
                      <w:highlight w:val="none"/>
                    </w:rPr>
                  </w:pPr>
                  <w:r>
                    <w:rPr>
                      <w:rFonts w:hint="eastAsia"/>
                      <w:color w:val="auto"/>
                      <w:highlight w:val="none"/>
                    </w:rPr>
                    <w:t>71.43</w:t>
                  </w:r>
                  <w:r>
                    <w:rPr>
                      <w:color w:val="auto"/>
                      <w:highlight w:val="none"/>
                    </w:rPr>
                    <w:t>%</w:t>
                  </w:r>
                </w:p>
              </w:tc>
              <w:tc>
                <w:tcPr>
                  <w:tcW w:w="540" w:type="pct"/>
                  <w:tcBorders>
                    <w:tl2br w:val="nil"/>
                    <w:tr2bl w:val="nil"/>
                  </w:tcBorders>
                  <w:noWrap w:val="0"/>
                  <w:vAlign w:val="center"/>
                </w:tcPr>
                <w:p>
                  <w:pPr>
                    <w:pStyle w:val="32"/>
                    <w:bidi w:val="0"/>
                    <w:rPr>
                      <w:color w:val="auto"/>
                      <w:highlight w:val="none"/>
                    </w:rPr>
                  </w:pPr>
                  <w:r>
                    <w:rPr>
                      <w:rFonts w:hint="eastAsia"/>
                      <w:color w:val="auto"/>
                      <w:highlight w:val="none"/>
                    </w:rPr>
                    <w:t>/</w:t>
                  </w:r>
                </w:p>
              </w:tc>
              <w:tc>
                <w:tcPr>
                  <w:tcW w:w="552" w:type="pct"/>
                  <w:tcBorders>
                    <w:tl2br w:val="nil"/>
                    <w:tr2bl w:val="nil"/>
                  </w:tcBorders>
                  <w:noWrap w:val="0"/>
                  <w:vAlign w:val="center"/>
                </w:tcPr>
                <w:p>
                  <w:pPr>
                    <w:pStyle w:val="32"/>
                    <w:bidi w:val="0"/>
                    <w:rPr>
                      <w:color w:val="auto"/>
                      <w:highlight w:val="none"/>
                    </w:rPr>
                  </w:pPr>
                  <w:r>
                    <w:rPr>
                      <w:color w:val="auto"/>
                      <w:highlight w:val="none"/>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496" w:type="pct"/>
                  <w:tcBorders>
                    <w:tl2br w:val="nil"/>
                    <w:tr2bl w:val="nil"/>
                  </w:tcBorders>
                  <w:noWrap w:val="0"/>
                  <w:vAlign w:val="center"/>
                </w:tcPr>
                <w:p>
                  <w:pPr>
                    <w:pStyle w:val="32"/>
                    <w:bidi w:val="0"/>
                    <w:rPr>
                      <w:color w:val="auto"/>
                      <w:highlight w:val="none"/>
                    </w:rPr>
                  </w:pPr>
                  <w:r>
                    <w:rPr>
                      <w:color w:val="auto"/>
                      <w:highlight w:val="none"/>
                    </w:rPr>
                    <w:t>CO</w:t>
                  </w:r>
                </w:p>
              </w:tc>
              <w:tc>
                <w:tcPr>
                  <w:tcW w:w="1335" w:type="pct"/>
                  <w:tcBorders>
                    <w:tl2br w:val="nil"/>
                    <w:tr2bl w:val="nil"/>
                  </w:tcBorders>
                  <w:noWrap w:val="0"/>
                  <w:vAlign w:val="center"/>
                </w:tcPr>
                <w:p>
                  <w:pPr>
                    <w:pStyle w:val="32"/>
                    <w:bidi w:val="0"/>
                    <w:rPr>
                      <w:color w:val="auto"/>
                      <w:highlight w:val="none"/>
                    </w:rPr>
                  </w:pPr>
                  <w:r>
                    <w:rPr>
                      <w:color w:val="auto"/>
                      <w:highlight w:val="none"/>
                    </w:rPr>
                    <w:t>日均值第95百分位浓度</w:t>
                  </w:r>
                </w:p>
              </w:tc>
              <w:tc>
                <w:tcPr>
                  <w:tcW w:w="806" w:type="pct"/>
                  <w:tcBorders>
                    <w:tl2br w:val="nil"/>
                    <w:tr2bl w:val="nil"/>
                  </w:tcBorders>
                  <w:noWrap w:val="0"/>
                  <w:vAlign w:val="center"/>
                </w:tcPr>
                <w:p>
                  <w:pPr>
                    <w:pStyle w:val="32"/>
                    <w:bidi w:val="0"/>
                    <w:rPr>
                      <w:color w:val="auto"/>
                      <w:highlight w:val="none"/>
                    </w:rPr>
                  </w:pPr>
                  <w:r>
                    <w:rPr>
                      <w:rFonts w:hint="eastAsia"/>
                      <w:color w:val="auto"/>
                      <w:highlight w:val="none"/>
                    </w:rPr>
                    <w:t>1200</w:t>
                  </w:r>
                </w:p>
              </w:tc>
              <w:tc>
                <w:tcPr>
                  <w:tcW w:w="688" w:type="pct"/>
                  <w:tcBorders>
                    <w:tl2br w:val="nil"/>
                    <w:tr2bl w:val="nil"/>
                  </w:tcBorders>
                  <w:noWrap w:val="0"/>
                  <w:vAlign w:val="center"/>
                </w:tcPr>
                <w:p>
                  <w:pPr>
                    <w:pStyle w:val="32"/>
                    <w:bidi w:val="0"/>
                    <w:rPr>
                      <w:color w:val="auto"/>
                      <w:highlight w:val="none"/>
                    </w:rPr>
                  </w:pPr>
                  <w:r>
                    <w:rPr>
                      <w:color w:val="auto"/>
                      <w:highlight w:val="none"/>
                    </w:rPr>
                    <w:t>4000</w:t>
                  </w:r>
                </w:p>
              </w:tc>
              <w:tc>
                <w:tcPr>
                  <w:tcW w:w="579" w:type="pct"/>
                  <w:tcBorders>
                    <w:tl2br w:val="nil"/>
                    <w:tr2bl w:val="nil"/>
                  </w:tcBorders>
                  <w:noWrap w:val="0"/>
                  <w:vAlign w:val="center"/>
                </w:tcPr>
                <w:p>
                  <w:pPr>
                    <w:pStyle w:val="32"/>
                    <w:bidi w:val="0"/>
                    <w:rPr>
                      <w:color w:val="auto"/>
                      <w:highlight w:val="none"/>
                    </w:rPr>
                  </w:pPr>
                  <w:r>
                    <w:rPr>
                      <w:rFonts w:hint="eastAsia"/>
                      <w:color w:val="auto"/>
                      <w:highlight w:val="none"/>
                    </w:rPr>
                    <w:t>30</w:t>
                  </w:r>
                  <w:r>
                    <w:rPr>
                      <w:color w:val="auto"/>
                      <w:highlight w:val="none"/>
                    </w:rPr>
                    <w:t>%</w:t>
                  </w:r>
                </w:p>
              </w:tc>
              <w:tc>
                <w:tcPr>
                  <w:tcW w:w="540" w:type="pct"/>
                  <w:tcBorders>
                    <w:tl2br w:val="nil"/>
                    <w:tr2bl w:val="nil"/>
                  </w:tcBorders>
                  <w:noWrap w:val="0"/>
                  <w:vAlign w:val="center"/>
                </w:tcPr>
                <w:p>
                  <w:pPr>
                    <w:pStyle w:val="32"/>
                    <w:bidi w:val="0"/>
                    <w:rPr>
                      <w:color w:val="auto"/>
                      <w:highlight w:val="none"/>
                    </w:rPr>
                  </w:pPr>
                  <w:r>
                    <w:rPr>
                      <w:color w:val="auto"/>
                      <w:highlight w:val="none"/>
                    </w:rPr>
                    <w:t>/</w:t>
                  </w:r>
                </w:p>
              </w:tc>
              <w:tc>
                <w:tcPr>
                  <w:tcW w:w="552" w:type="pct"/>
                  <w:tcBorders>
                    <w:tl2br w:val="nil"/>
                    <w:tr2bl w:val="nil"/>
                  </w:tcBorders>
                  <w:noWrap w:val="0"/>
                  <w:vAlign w:val="center"/>
                </w:tcPr>
                <w:p>
                  <w:pPr>
                    <w:pStyle w:val="32"/>
                    <w:bidi w:val="0"/>
                    <w:rPr>
                      <w:color w:val="auto"/>
                      <w:highlight w:val="none"/>
                    </w:rPr>
                  </w:pPr>
                  <w:r>
                    <w:rPr>
                      <w:color w:val="auto"/>
                      <w:highlight w:val="none"/>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496" w:type="pct"/>
                  <w:tcBorders>
                    <w:tl2br w:val="nil"/>
                    <w:tr2bl w:val="nil"/>
                  </w:tcBorders>
                  <w:noWrap w:val="0"/>
                  <w:vAlign w:val="center"/>
                </w:tcPr>
                <w:p>
                  <w:pPr>
                    <w:pStyle w:val="32"/>
                    <w:bidi w:val="0"/>
                    <w:rPr>
                      <w:color w:val="auto"/>
                      <w:highlight w:val="none"/>
                    </w:rPr>
                  </w:pPr>
                  <w:r>
                    <w:rPr>
                      <w:color w:val="auto"/>
                      <w:highlight w:val="none"/>
                    </w:rPr>
                    <w:t>O</w:t>
                  </w:r>
                  <w:r>
                    <w:rPr>
                      <w:color w:val="auto"/>
                      <w:highlight w:val="none"/>
                      <w:vertAlign w:val="subscript"/>
                    </w:rPr>
                    <w:t>3</w:t>
                  </w:r>
                </w:p>
              </w:tc>
              <w:tc>
                <w:tcPr>
                  <w:tcW w:w="1335" w:type="pct"/>
                  <w:tcBorders>
                    <w:tl2br w:val="nil"/>
                    <w:tr2bl w:val="nil"/>
                  </w:tcBorders>
                  <w:noWrap w:val="0"/>
                  <w:vAlign w:val="center"/>
                </w:tcPr>
                <w:p>
                  <w:pPr>
                    <w:pStyle w:val="32"/>
                    <w:bidi w:val="0"/>
                    <w:rPr>
                      <w:color w:val="auto"/>
                      <w:highlight w:val="none"/>
                    </w:rPr>
                  </w:pPr>
                  <w:r>
                    <w:rPr>
                      <w:color w:val="auto"/>
                      <w:highlight w:val="none"/>
                    </w:rPr>
                    <w:t>日最大8小时平均</w:t>
                  </w:r>
                </w:p>
                <w:p>
                  <w:pPr>
                    <w:pStyle w:val="32"/>
                    <w:bidi w:val="0"/>
                    <w:rPr>
                      <w:color w:val="auto"/>
                      <w:highlight w:val="none"/>
                    </w:rPr>
                  </w:pPr>
                  <w:r>
                    <w:rPr>
                      <w:color w:val="auto"/>
                      <w:highlight w:val="none"/>
                    </w:rPr>
                    <w:t>第90百分位浓度</w:t>
                  </w:r>
                </w:p>
              </w:tc>
              <w:tc>
                <w:tcPr>
                  <w:tcW w:w="806" w:type="pct"/>
                  <w:tcBorders>
                    <w:tl2br w:val="nil"/>
                    <w:tr2bl w:val="nil"/>
                  </w:tcBorders>
                  <w:noWrap w:val="0"/>
                  <w:vAlign w:val="center"/>
                </w:tcPr>
                <w:p>
                  <w:pPr>
                    <w:pStyle w:val="32"/>
                    <w:bidi w:val="0"/>
                    <w:rPr>
                      <w:color w:val="auto"/>
                      <w:highlight w:val="none"/>
                    </w:rPr>
                  </w:pPr>
                  <w:r>
                    <w:rPr>
                      <w:rFonts w:hint="eastAsia"/>
                      <w:color w:val="auto"/>
                      <w:highlight w:val="none"/>
                    </w:rPr>
                    <w:t>179</w:t>
                  </w:r>
                </w:p>
              </w:tc>
              <w:tc>
                <w:tcPr>
                  <w:tcW w:w="688" w:type="pct"/>
                  <w:tcBorders>
                    <w:tl2br w:val="nil"/>
                    <w:tr2bl w:val="nil"/>
                  </w:tcBorders>
                  <w:noWrap w:val="0"/>
                  <w:vAlign w:val="center"/>
                </w:tcPr>
                <w:p>
                  <w:pPr>
                    <w:pStyle w:val="32"/>
                    <w:bidi w:val="0"/>
                    <w:rPr>
                      <w:color w:val="auto"/>
                      <w:highlight w:val="none"/>
                    </w:rPr>
                  </w:pPr>
                  <w:r>
                    <w:rPr>
                      <w:color w:val="auto"/>
                      <w:highlight w:val="none"/>
                    </w:rPr>
                    <w:t>160</w:t>
                  </w:r>
                </w:p>
              </w:tc>
              <w:tc>
                <w:tcPr>
                  <w:tcW w:w="579" w:type="pct"/>
                  <w:tcBorders>
                    <w:tl2br w:val="nil"/>
                    <w:tr2bl w:val="nil"/>
                  </w:tcBorders>
                  <w:noWrap w:val="0"/>
                  <w:vAlign w:val="center"/>
                </w:tcPr>
                <w:p>
                  <w:pPr>
                    <w:pStyle w:val="32"/>
                    <w:bidi w:val="0"/>
                    <w:rPr>
                      <w:color w:val="auto"/>
                      <w:highlight w:val="none"/>
                    </w:rPr>
                  </w:pPr>
                  <w:r>
                    <w:rPr>
                      <w:rFonts w:hint="eastAsia"/>
                      <w:color w:val="auto"/>
                      <w:highlight w:val="none"/>
                    </w:rPr>
                    <w:t>111.875</w:t>
                  </w:r>
                  <w:r>
                    <w:rPr>
                      <w:color w:val="auto"/>
                      <w:highlight w:val="none"/>
                    </w:rPr>
                    <w:t>%</w:t>
                  </w:r>
                </w:p>
              </w:tc>
              <w:tc>
                <w:tcPr>
                  <w:tcW w:w="540" w:type="pct"/>
                  <w:tcBorders>
                    <w:tl2br w:val="nil"/>
                    <w:tr2bl w:val="nil"/>
                  </w:tcBorders>
                  <w:noWrap w:val="0"/>
                  <w:vAlign w:val="center"/>
                </w:tcPr>
                <w:p>
                  <w:pPr>
                    <w:pStyle w:val="32"/>
                    <w:bidi w:val="0"/>
                    <w:rPr>
                      <w:color w:val="auto"/>
                      <w:highlight w:val="none"/>
                    </w:rPr>
                  </w:pPr>
                  <w:r>
                    <w:rPr>
                      <w:rFonts w:hint="eastAsia"/>
                      <w:color w:val="auto"/>
                      <w:highlight w:val="none"/>
                    </w:rPr>
                    <w:t>0.1185</w:t>
                  </w:r>
                </w:p>
              </w:tc>
              <w:tc>
                <w:tcPr>
                  <w:tcW w:w="552" w:type="pct"/>
                  <w:tcBorders>
                    <w:tl2br w:val="nil"/>
                    <w:tr2bl w:val="nil"/>
                  </w:tcBorders>
                  <w:noWrap w:val="0"/>
                  <w:vAlign w:val="center"/>
                </w:tcPr>
                <w:p>
                  <w:pPr>
                    <w:pStyle w:val="32"/>
                    <w:bidi w:val="0"/>
                    <w:rPr>
                      <w:color w:val="auto"/>
                      <w:highlight w:val="none"/>
                    </w:rPr>
                  </w:pPr>
                  <w:r>
                    <w:rPr>
                      <w:color w:val="auto"/>
                      <w:highlight w:val="none"/>
                    </w:rPr>
                    <w:t>不达标</w:t>
                  </w:r>
                </w:p>
              </w:tc>
            </w:tr>
          </w:tbl>
          <w:p>
            <w:pPr>
              <w:pStyle w:val="33"/>
              <w:bidi w:val="0"/>
              <w:rPr>
                <w:color w:val="auto"/>
                <w:highlight w:val="none"/>
              </w:rPr>
            </w:pPr>
            <w:r>
              <w:rPr>
                <w:color w:val="auto"/>
                <w:highlight w:val="none"/>
              </w:rPr>
              <w:t>由上表可知，项目所在</w:t>
            </w:r>
            <w:r>
              <w:rPr>
                <w:rFonts w:hint="eastAsia"/>
                <w:color w:val="auto"/>
                <w:highlight w:val="none"/>
              </w:rPr>
              <w:t>海港经济开发区</w:t>
            </w:r>
            <w:r>
              <w:rPr>
                <w:color w:val="auto"/>
                <w:highlight w:val="none"/>
              </w:rPr>
              <w:t>SO2年平均质量浓度、NO2年平均质量浓度、PM2.5年平均质量浓度、PM10年平均质量浓度、CO日均值第95百分位浓度均满足《环境空气质量标准》（GB3095-2012）及修改单中二级标准限值要求；O3日最大8小时平均第90百分位浓度超过《环境空气质量标准》（GB3095-2012）及修改单中二级标准限值要求，即项目所在</w:t>
            </w:r>
            <w:r>
              <w:rPr>
                <w:rFonts w:hint="eastAsia"/>
                <w:color w:val="auto"/>
                <w:highlight w:val="none"/>
              </w:rPr>
              <w:t>海港经济开发区</w:t>
            </w:r>
            <w:r>
              <w:rPr>
                <w:color w:val="auto"/>
                <w:highlight w:val="none"/>
              </w:rPr>
              <w:t>为不达标区。</w:t>
            </w:r>
          </w:p>
          <w:p>
            <w:pPr>
              <w:pStyle w:val="33"/>
              <w:bidi w:val="0"/>
              <w:rPr>
                <w:color w:val="auto"/>
                <w:highlight w:val="none"/>
              </w:rPr>
            </w:pPr>
            <w:r>
              <w:rPr>
                <w:color w:val="auto"/>
                <w:highlight w:val="none"/>
              </w:rPr>
              <w:t>（2）声环境</w:t>
            </w:r>
          </w:p>
          <w:p>
            <w:pPr>
              <w:pStyle w:val="33"/>
              <w:bidi w:val="0"/>
              <w:rPr>
                <w:rFonts w:hint="eastAsia" w:eastAsia="宋体"/>
                <w:color w:val="auto"/>
                <w:highlight w:val="none"/>
                <w:lang w:eastAsia="zh-CN"/>
              </w:rPr>
            </w:pPr>
            <w:r>
              <w:rPr>
                <w:rFonts w:hint="eastAsia"/>
                <w:color w:val="auto"/>
                <w:highlight w:val="none"/>
              </w:rPr>
              <w:t>为了了解项目区现状噪声情况，</w:t>
            </w:r>
            <w:r>
              <w:rPr>
                <w:rFonts w:hint="eastAsia"/>
                <w:color w:val="auto"/>
                <w:highlight w:val="none"/>
                <w:lang w:eastAsia="zh-CN"/>
              </w:rPr>
              <w:t>建设单位委托河北淏楷环境检测服务有限公司</w:t>
            </w:r>
            <w:r>
              <w:rPr>
                <w:rFonts w:hint="eastAsia"/>
                <w:color w:val="auto"/>
                <w:highlight w:val="none"/>
              </w:rPr>
              <w:t>在沿线选取有代表性点进行监测</w:t>
            </w:r>
            <w:r>
              <w:rPr>
                <w:rFonts w:hint="eastAsia"/>
                <w:color w:val="auto"/>
                <w:highlight w:val="none"/>
                <w:lang w:eastAsia="zh-CN"/>
              </w:rPr>
              <w:t>（检测报告：淏楷环测字（2023）第240L号）</w:t>
            </w:r>
            <w:r>
              <w:rPr>
                <w:rFonts w:hint="eastAsia"/>
                <w:color w:val="auto"/>
                <w:highlight w:val="none"/>
              </w:rPr>
              <w:t>，监测结果</w:t>
            </w:r>
            <w:r>
              <w:rPr>
                <w:rFonts w:hint="eastAsia"/>
                <w:color w:val="auto"/>
                <w:highlight w:val="none"/>
                <w:lang w:eastAsia="zh-CN"/>
              </w:rPr>
              <w:t>见下表。</w:t>
            </w: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本项目噪声现状监测结果一览表</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50"/>
              <w:gridCol w:w="3616"/>
              <w:gridCol w:w="1575"/>
              <w:gridCol w:w="14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jc w:val="center"/>
              </w:trPr>
              <w:tc>
                <w:tcPr>
                  <w:tcW w:w="849" w:type="pct"/>
                  <w:vMerge w:val="restart"/>
                  <w:tcBorders>
                    <w:tl2br w:val="nil"/>
                    <w:tr2bl w:val="nil"/>
                  </w:tcBorders>
                  <w:noWrap w:val="0"/>
                  <w:vAlign w:val="center"/>
                </w:tcPr>
                <w:p>
                  <w:pPr>
                    <w:pStyle w:val="32"/>
                    <w:bidi w:val="0"/>
                    <w:rPr>
                      <w:rFonts w:hint="eastAsia"/>
                      <w:color w:val="auto"/>
                      <w:highlight w:val="none"/>
                    </w:rPr>
                  </w:pPr>
                  <w:r>
                    <w:rPr>
                      <w:rFonts w:hint="eastAsia"/>
                      <w:color w:val="auto"/>
                      <w:highlight w:val="none"/>
                    </w:rPr>
                    <w:t>检测时间</w:t>
                  </w:r>
                </w:p>
              </w:tc>
              <w:tc>
                <w:tcPr>
                  <w:tcW w:w="2275" w:type="pct"/>
                  <w:vMerge w:val="restart"/>
                  <w:tcBorders>
                    <w:tl2br w:val="nil"/>
                    <w:tr2bl w:val="nil"/>
                  </w:tcBorders>
                  <w:noWrap w:val="0"/>
                  <w:vAlign w:val="center"/>
                </w:tcPr>
                <w:p>
                  <w:pPr>
                    <w:pStyle w:val="32"/>
                    <w:bidi w:val="0"/>
                    <w:rPr>
                      <w:rFonts w:hint="eastAsia"/>
                      <w:color w:val="auto"/>
                      <w:highlight w:val="none"/>
                    </w:rPr>
                  </w:pPr>
                  <w:r>
                    <w:rPr>
                      <w:rFonts w:hint="eastAsia"/>
                      <w:color w:val="auto"/>
                      <w:highlight w:val="none"/>
                    </w:rPr>
                    <w:t>监测点</w:t>
                  </w:r>
                </w:p>
              </w:tc>
              <w:tc>
                <w:tcPr>
                  <w:tcW w:w="1874" w:type="pct"/>
                  <w:gridSpan w:val="2"/>
                  <w:tcBorders>
                    <w:tl2br w:val="nil"/>
                    <w:tr2bl w:val="nil"/>
                  </w:tcBorders>
                  <w:noWrap w:val="0"/>
                  <w:vAlign w:val="center"/>
                </w:tcPr>
                <w:p>
                  <w:pPr>
                    <w:pStyle w:val="32"/>
                    <w:bidi w:val="0"/>
                    <w:rPr>
                      <w:rFonts w:hint="eastAsia"/>
                      <w:color w:val="auto"/>
                      <w:highlight w:val="none"/>
                    </w:rPr>
                  </w:pPr>
                  <w:r>
                    <w:rPr>
                      <w:rFonts w:hint="eastAsia"/>
                      <w:color w:val="auto"/>
                      <w:highlight w:val="none"/>
                    </w:rPr>
                    <w:t>检测结果</w:t>
                  </w:r>
                  <w:r>
                    <w:rPr>
                      <w:color w:val="auto"/>
                      <w:highlight w:val="none"/>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jc w:val="center"/>
              </w:trPr>
              <w:tc>
                <w:tcPr>
                  <w:tcW w:w="849" w:type="pct"/>
                  <w:vMerge w:val="continue"/>
                  <w:tcBorders>
                    <w:tl2br w:val="nil"/>
                    <w:tr2bl w:val="nil"/>
                  </w:tcBorders>
                  <w:noWrap w:val="0"/>
                  <w:vAlign w:val="center"/>
                </w:tcPr>
                <w:p>
                  <w:pPr>
                    <w:pStyle w:val="32"/>
                    <w:bidi w:val="0"/>
                    <w:rPr>
                      <w:rFonts w:hint="eastAsia"/>
                      <w:color w:val="auto"/>
                      <w:highlight w:val="none"/>
                    </w:rPr>
                  </w:pPr>
                </w:p>
              </w:tc>
              <w:tc>
                <w:tcPr>
                  <w:tcW w:w="2275" w:type="pct"/>
                  <w:vMerge w:val="continue"/>
                  <w:tcBorders>
                    <w:tl2br w:val="nil"/>
                    <w:tr2bl w:val="nil"/>
                  </w:tcBorders>
                  <w:noWrap w:val="0"/>
                  <w:vAlign w:val="center"/>
                </w:tcPr>
                <w:p>
                  <w:pPr>
                    <w:pStyle w:val="32"/>
                    <w:bidi w:val="0"/>
                    <w:rPr>
                      <w:rFonts w:hint="eastAsia"/>
                      <w:color w:val="auto"/>
                      <w:highlight w:val="none"/>
                    </w:rPr>
                  </w:pPr>
                </w:p>
              </w:tc>
              <w:tc>
                <w:tcPr>
                  <w:tcW w:w="991" w:type="pct"/>
                  <w:tcBorders>
                    <w:tl2br w:val="nil"/>
                    <w:tr2bl w:val="nil"/>
                  </w:tcBorders>
                  <w:noWrap w:val="0"/>
                  <w:vAlign w:val="center"/>
                </w:tcPr>
                <w:p>
                  <w:pPr>
                    <w:pStyle w:val="32"/>
                    <w:bidi w:val="0"/>
                    <w:rPr>
                      <w:color w:val="auto"/>
                      <w:highlight w:val="none"/>
                    </w:rPr>
                  </w:pPr>
                  <w:r>
                    <w:rPr>
                      <w:rFonts w:hint="eastAsia"/>
                      <w:color w:val="auto"/>
                      <w:highlight w:val="none"/>
                    </w:rPr>
                    <w:t>昼间</w:t>
                  </w:r>
                </w:p>
              </w:tc>
              <w:tc>
                <w:tcPr>
                  <w:tcW w:w="883" w:type="pct"/>
                  <w:tcBorders>
                    <w:tl2br w:val="nil"/>
                    <w:tr2bl w:val="nil"/>
                  </w:tcBorders>
                  <w:noWrap w:val="0"/>
                  <w:vAlign w:val="center"/>
                </w:tcPr>
                <w:p>
                  <w:pPr>
                    <w:pStyle w:val="32"/>
                    <w:bidi w:val="0"/>
                    <w:rPr>
                      <w:color w:val="auto"/>
                      <w:highlight w:val="none"/>
                    </w:rPr>
                  </w:pPr>
                  <w:r>
                    <w:rPr>
                      <w:rFonts w:hint="eastAsia"/>
                      <w:color w:val="auto"/>
                      <w:highlight w:val="none"/>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jc w:val="center"/>
              </w:trPr>
              <w:tc>
                <w:tcPr>
                  <w:tcW w:w="84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rPr>
                    <w:t>202</w:t>
                  </w:r>
                  <w:r>
                    <w:rPr>
                      <w:rFonts w:hint="eastAsia"/>
                      <w:color w:val="auto"/>
                      <w:highlight w:val="none"/>
                      <w:lang w:val="en-US" w:eastAsia="zh-CN"/>
                    </w:rPr>
                    <w:t>3</w:t>
                  </w:r>
                  <w:r>
                    <w:rPr>
                      <w:rFonts w:hint="eastAsia"/>
                      <w:color w:val="auto"/>
                      <w:highlight w:val="none"/>
                    </w:rPr>
                    <w:t>.</w:t>
                  </w:r>
                  <w:r>
                    <w:rPr>
                      <w:rFonts w:hint="eastAsia"/>
                      <w:color w:val="auto"/>
                      <w:highlight w:val="none"/>
                      <w:lang w:val="en-US" w:eastAsia="zh-CN"/>
                    </w:rPr>
                    <w:t>12.15</w:t>
                  </w:r>
                </w:p>
              </w:tc>
              <w:tc>
                <w:tcPr>
                  <w:tcW w:w="2275" w:type="pct"/>
                  <w:tcBorders>
                    <w:tl2br w:val="nil"/>
                    <w:tr2bl w:val="nil"/>
                  </w:tcBorders>
                  <w:noWrap w:val="0"/>
                  <w:vAlign w:val="center"/>
                </w:tcPr>
                <w:p>
                  <w:pPr>
                    <w:pStyle w:val="32"/>
                    <w:bidi w:val="0"/>
                    <w:rPr>
                      <w:rFonts w:hint="eastAsia"/>
                      <w:color w:val="auto"/>
                      <w:highlight w:val="none"/>
                    </w:rPr>
                  </w:pPr>
                  <w:r>
                    <w:rPr>
                      <w:rFonts w:hint="default" w:ascii="Times New Roman" w:hAnsi="Times New Roman" w:eastAsia="宋体" w:cs="Times New Roman"/>
                      <w:color w:val="auto"/>
                      <w:highlight w:val="none"/>
                      <w:lang w:val="en-US" w:eastAsia="zh-CN"/>
                    </w:rPr>
                    <w:t>G509与G228交叉口附近</w:t>
                  </w:r>
                  <w:r>
                    <w:rPr>
                      <w:rFonts w:hint="eastAsia" w:ascii="Times New Roman" w:hAnsi="Times New Roman" w:eastAsia="宋体" w:cs="Times New Roman"/>
                      <w:color w:val="auto"/>
                      <w:highlight w:val="none"/>
                      <w:lang w:val="en-US" w:eastAsia="zh-CN"/>
                    </w:rPr>
                    <w:t>道路空地</w:t>
                  </w:r>
                </w:p>
              </w:tc>
              <w:tc>
                <w:tcPr>
                  <w:tcW w:w="991"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68</w:t>
                  </w:r>
                </w:p>
              </w:tc>
              <w:tc>
                <w:tcPr>
                  <w:tcW w:w="883"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53</w:t>
                  </w:r>
                </w:p>
              </w:tc>
            </w:tr>
          </w:tbl>
          <w:p>
            <w:pPr>
              <w:pStyle w:val="33"/>
              <w:bidi w:val="0"/>
              <w:rPr>
                <w:rFonts w:hint="eastAsia"/>
                <w:color w:val="auto"/>
                <w:highlight w:val="none"/>
              </w:rPr>
            </w:pPr>
            <w:r>
              <w:rPr>
                <w:color w:val="auto"/>
                <w:highlight w:val="none"/>
              </w:rPr>
              <w:t>从监测结果可看出，项目</w:t>
            </w:r>
            <w:r>
              <w:rPr>
                <w:rFonts w:hint="eastAsia"/>
                <w:color w:val="auto"/>
                <w:highlight w:val="none"/>
              </w:rPr>
              <w:t>道路边界噪声现状可满足</w:t>
            </w:r>
            <w:r>
              <w:rPr>
                <w:color w:val="auto"/>
                <w:highlight w:val="none"/>
              </w:rPr>
              <w:t>《声环境质量标准》（GB3096-2008）中的</w:t>
            </w:r>
            <w:r>
              <w:rPr>
                <w:rFonts w:hint="eastAsia"/>
                <w:color w:val="auto"/>
                <w:highlight w:val="none"/>
              </w:rPr>
              <w:t>4a</w:t>
            </w:r>
            <w:r>
              <w:rPr>
                <w:color w:val="auto"/>
                <w:highlight w:val="none"/>
              </w:rPr>
              <w:t>类标准</w:t>
            </w:r>
            <w:r>
              <w:rPr>
                <w:rFonts w:hint="eastAsia"/>
                <w:color w:val="auto"/>
                <w:highlight w:val="none"/>
              </w:rPr>
              <w:t>。</w:t>
            </w:r>
          </w:p>
          <w:p>
            <w:pPr>
              <w:pStyle w:val="33"/>
              <w:bidi w:val="0"/>
              <w:rPr>
                <w:color w:val="auto"/>
                <w:highlight w:val="none"/>
              </w:rPr>
            </w:pPr>
            <w:r>
              <w:rPr>
                <w:color w:val="auto"/>
                <w:highlight w:val="none"/>
              </w:rPr>
              <w:t>（3）地表水</w:t>
            </w:r>
          </w:p>
          <w:p>
            <w:pPr>
              <w:pStyle w:val="33"/>
              <w:bidi w:val="0"/>
              <w:rPr>
                <w:rFonts w:hint="eastAsia" w:eastAsia="宋体"/>
                <w:color w:val="auto"/>
                <w:highlight w:val="none"/>
                <w:lang w:eastAsia="zh-CN"/>
              </w:rPr>
            </w:pPr>
            <w:r>
              <w:rPr>
                <w:color w:val="auto"/>
                <w:highlight w:val="none"/>
              </w:rPr>
              <w:t>本项目所在区域地表水为</w:t>
            </w:r>
            <w:r>
              <w:rPr>
                <w:rFonts w:hint="eastAsia"/>
                <w:color w:val="FF0000"/>
                <w:highlight w:val="none"/>
                <w:lang w:eastAsia="zh-CN"/>
              </w:rPr>
              <w:t>项目占地西侧的湖林新河</w:t>
            </w:r>
            <w:r>
              <w:rPr>
                <w:color w:val="auto"/>
                <w:highlight w:val="none"/>
              </w:rPr>
              <w:t>，</w:t>
            </w:r>
            <w:r>
              <w:rPr>
                <w:rFonts w:hint="eastAsia"/>
                <w:color w:val="auto"/>
                <w:highlight w:val="none"/>
              </w:rPr>
              <w:t>湖林新河是一条排涝渠道，为县级河流</w:t>
            </w:r>
            <w:r>
              <w:rPr>
                <w:rFonts w:hint="eastAsia"/>
                <w:color w:val="auto"/>
                <w:highlight w:val="none"/>
                <w:lang w:eastAsia="zh-CN"/>
              </w:rPr>
              <w:t>，</w:t>
            </w:r>
            <w:r>
              <w:rPr>
                <w:rFonts w:hint="eastAsia"/>
                <w:color w:val="auto"/>
                <w:highlight w:val="none"/>
              </w:rPr>
              <w:t>跨乐亭县和海港区。</w:t>
            </w:r>
            <w:r>
              <w:rPr>
                <w:rFonts w:hint="eastAsia"/>
                <w:color w:val="FF0000"/>
                <w:highlight w:val="none"/>
              </w:rPr>
              <w:t>北起于乐亭县闫各庄镇东刘庄村东，南至唐山海港经济开发区大苗庄村沿海滨大道入渤海，</w:t>
            </w:r>
            <w:r>
              <w:rPr>
                <w:rFonts w:hint="eastAsia"/>
                <w:color w:val="auto"/>
                <w:highlight w:val="none"/>
              </w:rPr>
              <w:t>总长22.2km</w:t>
            </w:r>
            <w:r>
              <w:rPr>
                <w:rFonts w:hint="eastAsia"/>
                <w:color w:val="auto"/>
                <w:highlight w:val="none"/>
                <w:lang w:eastAsia="zh-CN"/>
              </w:rPr>
              <w:t>。</w:t>
            </w:r>
          </w:p>
          <w:p>
            <w:pPr>
              <w:pStyle w:val="33"/>
              <w:bidi w:val="0"/>
              <w:rPr>
                <w:color w:val="auto"/>
                <w:highlight w:val="none"/>
              </w:rPr>
            </w:pPr>
            <w:r>
              <w:rPr>
                <w:rFonts w:hint="eastAsia"/>
                <w:color w:val="auto"/>
                <w:highlight w:val="none"/>
                <w:lang w:eastAsia="zh-CN"/>
              </w:rPr>
              <w:t>根据</w:t>
            </w:r>
            <w:r>
              <w:rPr>
                <w:rFonts w:hint="eastAsia"/>
                <w:color w:val="auto"/>
                <w:highlight w:val="none"/>
              </w:rPr>
              <w:t>《2022年唐山市生态环境状况公报》</w:t>
            </w:r>
            <w:r>
              <w:rPr>
                <w:rFonts w:hint="eastAsia"/>
                <w:color w:val="auto"/>
                <w:highlight w:val="none"/>
                <w:lang w:eastAsia="zh-CN"/>
              </w:rPr>
              <w:t>，</w:t>
            </w:r>
            <w:r>
              <w:rPr>
                <w:rFonts w:hint="eastAsia"/>
                <w:color w:val="auto"/>
                <w:highlight w:val="none"/>
              </w:rPr>
              <w:t>2022年国、省考核9条河流14个断面水质全部达标，11个断面达到地表水Ⅲ类及以上水质标准，优良</w:t>
            </w:r>
            <w:r>
              <w:rPr>
                <w:rFonts w:hint="default" w:ascii="Times New Roman" w:hAnsi="Times New Roman" w:cs="Times New Roman"/>
                <w:color w:val="auto"/>
                <w:highlight w:val="none"/>
              </w:rPr>
              <w:t>（Ⅰ-Ⅲ）</w:t>
            </w:r>
            <w:r>
              <w:rPr>
                <w:rFonts w:hint="eastAsia"/>
                <w:color w:val="auto"/>
                <w:highlight w:val="none"/>
              </w:rPr>
              <w:t>比例为78.57%。2018-2022年全市地表水国、省考断面优良水体</w:t>
            </w:r>
            <w:r>
              <w:rPr>
                <w:rFonts w:hint="default" w:ascii="Times New Roman" w:hAnsi="Times New Roman" w:cs="Times New Roman"/>
                <w:color w:val="auto"/>
                <w:highlight w:val="none"/>
              </w:rPr>
              <w:t>（Ⅰ-Ⅲ）</w:t>
            </w:r>
            <w:r>
              <w:rPr>
                <w:rFonts w:hint="eastAsia"/>
                <w:color w:val="auto"/>
                <w:highlight w:val="none"/>
              </w:rPr>
              <w:t>比例保持在72.73%以上，且无劣</w:t>
            </w:r>
            <w:r>
              <w:rPr>
                <w:rFonts w:hint="default" w:ascii="Times New Roman" w:hAnsi="Times New Roman" w:cs="Times New Roman"/>
                <w:color w:val="auto"/>
                <w:highlight w:val="none"/>
              </w:rPr>
              <w:t>Ⅴ</w:t>
            </w:r>
            <w:r>
              <w:rPr>
                <w:rFonts w:hint="eastAsia"/>
                <w:color w:val="auto"/>
                <w:highlight w:val="none"/>
              </w:rPr>
              <w:t>类水体</w:t>
            </w:r>
            <w:r>
              <w:rPr>
                <w:rFonts w:hint="eastAsia"/>
                <w:color w:val="auto"/>
                <w:highlight w:val="none"/>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2521" w:hRule="atLeast"/>
          <w:jc w:val="center"/>
        </w:trPr>
        <w:tc>
          <w:tcPr>
            <w:tcW w:w="492" w:type="pct"/>
            <w:noWrap w:val="0"/>
            <w:vAlign w:val="center"/>
          </w:tcPr>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与项目有关的原有环境污染和生态破坏问题</w:t>
            </w:r>
          </w:p>
        </w:tc>
        <w:tc>
          <w:tcPr>
            <w:tcW w:w="4507" w:type="pct"/>
            <w:noWrap w:val="0"/>
            <w:vAlign w:val="center"/>
          </w:tcPr>
          <w:p>
            <w:pPr>
              <w:pStyle w:val="33"/>
              <w:bidi w:val="0"/>
              <w:rPr>
                <w:color w:val="auto"/>
                <w:highlight w:val="none"/>
              </w:rPr>
            </w:pPr>
            <w:r>
              <w:rPr>
                <w:rFonts w:hint="eastAsia"/>
                <w:b w:val="0"/>
                <w:bCs w:val="0"/>
                <w:color w:val="auto"/>
                <w:highlight w:val="none"/>
                <w:lang w:val="en-US" w:eastAsia="zh-CN"/>
              </w:rPr>
              <w:t>现状国道G509（乐港路）与G228（沿海公路）主要环境污染为车辆行驶产生的噪声、汽车尾气，采用道路周边设置绿化缓冲带等措施；项目所在地土地类型为</w:t>
            </w:r>
            <w:r>
              <w:rPr>
                <w:rFonts w:hint="eastAsia"/>
                <w:b w:val="0"/>
                <w:bCs w:val="0"/>
                <w:color w:val="FF0000"/>
                <w:highlight w:val="none"/>
                <w:lang w:val="en-US" w:eastAsia="zh-CN"/>
              </w:rPr>
              <w:t>道路与交通设施用地</w:t>
            </w:r>
            <w:r>
              <w:rPr>
                <w:rFonts w:hint="eastAsia"/>
                <w:b w:val="0"/>
                <w:bCs w:val="0"/>
                <w:color w:val="auto"/>
                <w:highlight w:val="none"/>
                <w:lang w:val="en-US" w:eastAsia="zh-CN"/>
              </w:rPr>
              <w:t xml:space="preserve">，所在区域没有大型野生动物活动，原工程对生态环境的影响很小，不存在与本项目有关的原有环境污染和生态破坏问题。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5710" w:hRule="atLeast"/>
          <w:jc w:val="center"/>
        </w:trPr>
        <w:tc>
          <w:tcPr>
            <w:tcW w:w="492" w:type="pct"/>
            <w:noWrap w:val="0"/>
            <w:vAlign w:val="center"/>
          </w:tcPr>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生态环境保护目标</w:t>
            </w:r>
          </w:p>
        </w:tc>
        <w:tc>
          <w:tcPr>
            <w:tcW w:w="4507" w:type="pct"/>
            <w:noWrap w:val="0"/>
            <w:vAlign w:val="center"/>
          </w:tcPr>
          <w:p>
            <w:pPr>
              <w:pStyle w:val="33"/>
              <w:bidi w:val="0"/>
              <w:rPr>
                <w:rFonts w:hint="eastAsia"/>
                <w:color w:val="auto"/>
                <w:highlight w:val="none"/>
              </w:rPr>
            </w:pPr>
            <w:r>
              <w:rPr>
                <w:rFonts w:hint="eastAsia"/>
                <w:color w:val="auto"/>
                <w:highlight w:val="none"/>
              </w:rPr>
              <w:t>1、大气环境保护目标</w:t>
            </w:r>
          </w:p>
          <w:p>
            <w:pPr>
              <w:pStyle w:val="33"/>
              <w:bidi w:val="0"/>
              <w:rPr>
                <w:rFonts w:hint="eastAsia"/>
                <w:color w:val="auto"/>
                <w:highlight w:val="none"/>
              </w:rPr>
            </w:pPr>
            <w:r>
              <w:rPr>
                <w:rFonts w:hint="eastAsia"/>
                <w:color w:val="auto"/>
                <w:highlight w:val="none"/>
              </w:rPr>
              <w:t>本项目建设地点位于唐山海港</w:t>
            </w:r>
            <w:r>
              <w:rPr>
                <w:rFonts w:hint="eastAsia"/>
                <w:color w:val="auto"/>
                <w:highlight w:val="none"/>
                <w:lang w:eastAsia="zh-CN"/>
              </w:rPr>
              <w:t>经济开发区北部</w:t>
            </w:r>
            <w:r>
              <w:rPr>
                <w:rFonts w:hint="eastAsia"/>
                <w:color w:val="auto"/>
                <w:highlight w:val="none"/>
              </w:rPr>
              <w:t>，项目周边不涉及自然保护区、风景名胜区、文化区和农村地区中人群较集中的区域等保护目标。</w:t>
            </w:r>
          </w:p>
          <w:p>
            <w:pPr>
              <w:pStyle w:val="33"/>
              <w:bidi w:val="0"/>
              <w:rPr>
                <w:rFonts w:hint="eastAsia"/>
                <w:color w:val="auto"/>
                <w:highlight w:val="none"/>
              </w:rPr>
            </w:pPr>
            <w:r>
              <w:rPr>
                <w:rFonts w:hint="eastAsia"/>
                <w:color w:val="auto"/>
                <w:highlight w:val="none"/>
              </w:rPr>
              <w:t>2、声环境保护目标</w:t>
            </w:r>
          </w:p>
          <w:p>
            <w:pPr>
              <w:pStyle w:val="33"/>
              <w:bidi w:val="0"/>
              <w:rPr>
                <w:rFonts w:hint="eastAsia"/>
                <w:color w:val="auto"/>
                <w:highlight w:val="none"/>
              </w:rPr>
            </w:pPr>
            <w:r>
              <w:rPr>
                <w:rFonts w:hint="eastAsia"/>
                <w:color w:val="auto"/>
                <w:highlight w:val="none"/>
              </w:rPr>
              <w:t>本</w:t>
            </w:r>
            <w:r>
              <w:rPr>
                <w:color w:val="auto"/>
                <w:highlight w:val="none"/>
              </w:rPr>
              <w:t>项目</w:t>
            </w:r>
            <w:r>
              <w:rPr>
                <w:rFonts w:hint="eastAsia"/>
                <w:color w:val="auto"/>
                <w:highlight w:val="none"/>
                <w:lang w:eastAsia="zh-CN"/>
              </w:rPr>
              <w:t>声环境评价等级为二级，</w:t>
            </w:r>
            <w:r>
              <w:rPr>
                <w:rFonts w:hint="eastAsia"/>
                <w:color w:val="auto"/>
                <w:highlight w:val="none"/>
              </w:rPr>
              <w:t>桥梁、道路中心线两侧</w:t>
            </w:r>
            <w:r>
              <w:rPr>
                <w:rFonts w:hint="eastAsia"/>
                <w:color w:val="auto"/>
                <w:highlight w:val="none"/>
                <w:lang w:val="en-US" w:eastAsia="zh-CN"/>
              </w:rPr>
              <w:t>1</w:t>
            </w:r>
            <w:r>
              <w:rPr>
                <w:rFonts w:hint="eastAsia"/>
                <w:color w:val="auto"/>
                <w:highlight w:val="none"/>
              </w:rPr>
              <w:t>00m范围内</w:t>
            </w:r>
            <w:r>
              <w:rPr>
                <w:rFonts w:hint="eastAsia"/>
                <w:color w:val="auto"/>
                <w:highlight w:val="none"/>
                <w:lang w:eastAsia="zh-CN"/>
              </w:rPr>
              <w:t>不涉及</w:t>
            </w:r>
            <w:r>
              <w:rPr>
                <w:rFonts w:hint="eastAsia"/>
                <w:color w:val="auto"/>
                <w:highlight w:val="none"/>
              </w:rPr>
              <w:t>声环境保护目标。</w:t>
            </w:r>
          </w:p>
          <w:p>
            <w:pPr>
              <w:pStyle w:val="33"/>
              <w:bidi w:val="0"/>
              <w:rPr>
                <w:rFonts w:hint="eastAsia"/>
                <w:color w:val="auto"/>
                <w:highlight w:val="none"/>
              </w:rPr>
            </w:pPr>
            <w:r>
              <w:rPr>
                <w:rFonts w:hint="eastAsia"/>
                <w:color w:val="auto"/>
                <w:highlight w:val="none"/>
              </w:rPr>
              <w:t>3、地</w:t>
            </w:r>
            <w:r>
              <w:rPr>
                <w:rFonts w:hint="eastAsia"/>
                <w:color w:val="auto"/>
                <w:highlight w:val="none"/>
                <w:lang w:eastAsia="zh-CN"/>
              </w:rPr>
              <w:t>表</w:t>
            </w:r>
            <w:r>
              <w:rPr>
                <w:rFonts w:hint="eastAsia"/>
                <w:color w:val="auto"/>
                <w:highlight w:val="none"/>
              </w:rPr>
              <w:t>水环境保护目标</w:t>
            </w:r>
          </w:p>
          <w:p>
            <w:pPr>
              <w:pStyle w:val="33"/>
              <w:bidi w:val="0"/>
              <w:rPr>
                <w:rFonts w:hint="eastAsia"/>
                <w:color w:val="auto"/>
                <w:highlight w:val="none"/>
                <w:lang w:eastAsia="zh-CN"/>
              </w:rPr>
            </w:pPr>
            <w:r>
              <w:rPr>
                <w:rFonts w:hint="eastAsia"/>
                <w:color w:val="auto"/>
                <w:highlight w:val="none"/>
              </w:rPr>
              <w:t>根据现场踏勘，本项目</w:t>
            </w:r>
            <w:r>
              <w:rPr>
                <w:rFonts w:hint="eastAsia"/>
                <w:color w:val="auto"/>
                <w:highlight w:val="none"/>
                <w:lang w:eastAsia="zh-CN"/>
              </w:rPr>
              <w:t>西侧距离用地红线约</w:t>
            </w:r>
            <w:r>
              <w:rPr>
                <w:rFonts w:hint="eastAsia"/>
                <w:color w:val="auto"/>
                <w:highlight w:val="none"/>
                <w:lang w:val="en-US" w:eastAsia="zh-CN"/>
              </w:rPr>
              <w:t>2m</w:t>
            </w:r>
            <w:r>
              <w:rPr>
                <w:rFonts w:hint="eastAsia"/>
                <w:color w:val="auto"/>
                <w:highlight w:val="none"/>
                <w:lang w:eastAsia="zh-CN"/>
              </w:rPr>
              <w:t>为湖林新河，湖林新河是一条排涝渠道，为县级河流，无饮用水保护区，不涉及地表水环境保护目标。</w:t>
            </w:r>
          </w:p>
          <w:p>
            <w:pPr>
              <w:pStyle w:val="33"/>
              <w:bidi w:val="0"/>
              <w:rPr>
                <w:rFonts w:hint="eastAsia"/>
                <w:color w:val="auto"/>
                <w:highlight w:val="none"/>
              </w:rPr>
            </w:pPr>
            <w:r>
              <w:rPr>
                <w:rFonts w:hint="eastAsia"/>
                <w:color w:val="auto"/>
                <w:highlight w:val="none"/>
              </w:rPr>
              <w:t>4、生态环境保护目标</w:t>
            </w:r>
          </w:p>
          <w:p>
            <w:pPr>
              <w:pStyle w:val="33"/>
              <w:bidi w:val="0"/>
              <w:rPr>
                <w:color w:val="auto"/>
                <w:kern w:val="0"/>
                <w:szCs w:val="21"/>
                <w:highlight w:val="none"/>
              </w:rPr>
            </w:pPr>
            <w:r>
              <w:rPr>
                <w:rFonts w:hint="eastAsia"/>
                <w:color w:val="auto"/>
                <w:highlight w:val="none"/>
              </w:rPr>
              <w:t>本项目建设地点位于唐山海港</w:t>
            </w:r>
            <w:r>
              <w:rPr>
                <w:rFonts w:hint="eastAsia"/>
                <w:color w:val="auto"/>
                <w:highlight w:val="none"/>
                <w:lang w:eastAsia="zh-CN"/>
              </w:rPr>
              <w:t>经济</w:t>
            </w:r>
            <w:r>
              <w:rPr>
                <w:rFonts w:hint="eastAsia"/>
                <w:color w:val="auto"/>
                <w:highlight w:val="none"/>
              </w:rPr>
              <w:t>开发区</w:t>
            </w:r>
            <w:r>
              <w:rPr>
                <w:rFonts w:hint="eastAsia"/>
                <w:color w:val="auto"/>
                <w:highlight w:val="none"/>
                <w:lang w:eastAsia="zh-CN"/>
              </w:rPr>
              <w:t>北部</w:t>
            </w:r>
            <w:r>
              <w:rPr>
                <w:rFonts w:hint="eastAsia"/>
                <w:color w:val="auto"/>
                <w:highlight w:val="none"/>
              </w:rPr>
              <w:t>，不涉及</w:t>
            </w:r>
            <w:r>
              <w:rPr>
                <w:rFonts w:hint="eastAsia"/>
                <w:color w:val="auto"/>
                <w:highlight w:val="none"/>
                <w:lang w:eastAsia="zh-CN"/>
              </w:rPr>
              <w:t>国家公园、自然保护区、自然永远、重要生境等生态敏感区</w:t>
            </w:r>
            <w:r>
              <w:rPr>
                <w:rFonts w:hint="eastAsia"/>
                <w:color w:val="auto"/>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5122" w:hRule="atLeast"/>
          <w:jc w:val="center"/>
        </w:trPr>
        <w:tc>
          <w:tcPr>
            <w:tcW w:w="492" w:type="pct"/>
            <w:noWrap w:val="0"/>
            <w:vAlign w:val="center"/>
          </w:tcPr>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ascii="Times New Roman" w:hAnsi="Times New Roman" w:eastAsia="宋体" w:cs="Times New Roman"/>
                <w:color w:val="auto"/>
                <w:kern w:val="2"/>
                <w:sz w:val="21"/>
                <w:szCs w:val="24"/>
                <w:highlight w:val="none"/>
                <w:lang w:val="en-US" w:eastAsia="zh-CN" w:bidi="ar-SA"/>
              </w:rPr>
            </w:pPr>
            <w:r>
              <w:rPr>
                <w:rFonts w:ascii="Times New Roman" w:hAnsi="Times New Roman" w:eastAsia="宋体" w:cs="Times New Roman"/>
                <w:color w:val="auto"/>
                <w:kern w:val="2"/>
                <w:sz w:val="21"/>
                <w:szCs w:val="24"/>
                <w:highlight w:val="none"/>
                <w:lang w:val="en-US" w:eastAsia="zh-CN" w:bidi="ar-SA"/>
              </w:rPr>
              <w:t>评价</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标准</w:t>
            </w:r>
          </w:p>
        </w:tc>
        <w:tc>
          <w:tcPr>
            <w:tcW w:w="4507" w:type="pct"/>
            <w:noWrap w:val="0"/>
            <w:vAlign w:val="center"/>
          </w:tcPr>
          <w:p>
            <w:pPr>
              <w:pStyle w:val="33"/>
              <w:bidi w:val="0"/>
              <w:rPr>
                <w:b/>
                <w:bCs/>
                <w:color w:val="auto"/>
                <w:highlight w:val="none"/>
              </w:rPr>
            </w:pPr>
            <w:r>
              <w:rPr>
                <w:rFonts w:hint="eastAsia"/>
                <w:b/>
                <w:bCs/>
                <w:color w:val="auto"/>
                <w:highlight w:val="none"/>
                <w:lang w:val="en-US" w:eastAsia="zh-CN"/>
              </w:rPr>
              <w:t>1</w:t>
            </w:r>
            <w:r>
              <w:rPr>
                <w:b/>
                <w:bCs/>
                <w:color w:val="auto"/>
                <w:highlight w:val="none"/>
              </w:rPr>
              <w:t>、环境质量标准</w:t>
            </w:r>
          </w:p>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w:t>
            </w:r>
            <w:r>
              <w:rPr>
                <w:color w:val="auto"/>
                <w:highlight w:val="none"/>
              </w:rPr>
              <w:t>环境空气</w:t>
            </w:r>
          </w:p>
          <w:p>
            <w:pPr>
              <w:pStyle w:val="33"/>
              <w:bidi w:val="0"/>
              <w:rPr>
                <w:color w:val="auto"/>
                <w:highlight w:val="none"/>
              </w:rPr>
            </w:pPr>
            <w:r>
              <w:rPr>
                <w:rFonts w:hint="eastAsia"/>
                <w:color w:val="auto"/>
                <w:highlight w:val="none"/>
                <w:lang w:eastAsia="zh-CN"/>
              </w:rPr>
              <w:t>本项目所在区域环境空气</w:t>
            </w:r>
            <w:r>
              <w:rPr>
                <w:color w:val="auto"/>
                <w:highlight w:val="none"/>
              </w:rPr>
              <w:t>质量执行《环境空气质量标准》（GB3095</w:t>
            </w:r>
            <w:r>
              <w:rPr>
                <w:rFonts w:hint="eastAsia"/>
                <w:color w:val="auto"/>
                <w:highlight w:val="none"/>
                <w:lang w:val="en-US" w:eastAsia="zh-CN"/>
              </w:rPr>
              <w:t>-</w:t>
            </w:r>
            <w:r>
              <w:rPr>
                <w:color w:val="auto"/>
                <w:highlight w:val="none"/>
              </w:rPr>
              <w:t>2012）</w:t>
            </w:r>
            <w:r>
              <w:rPr>
                <w:rFonts w:hint="eastAsia"/>
                <w:color w:val="auto"/>
                <w:highlight w:val="none"/>
              </w:rPr>
              <w:t>二级标准及其2018年修改单</w:t>
            </w:r>
            <w:r>
              <w:rPr>
                <w:color w:val="auto"/>
                <w:highlight w:val="none"/>
                <w:lang w:val="zh-CN"/>
              </w:rPr>
              <w:t>。</w:t>
            </w: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zh-CN" w:eastAsia="zh-CN"/>
              </w:rPr>
              <w:t>环境空气质量标准</w:t>
            </w:r>
          </w:p>
          <w:tbl>
            <w:tblPr>
              <w:tblStyle w:val="2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946"/>
              <w:gridCol w:w="849"/>
              <w:gridCol w:w="1654"/>
              <w:gridCol w:w="735"/>
              <w:gridCol w:w="878"/>
              <w:gridCol w:w="935"/>
              <w:gridCol w:w="19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restart"/>
                  <w:tcBorders>
                    <w:tl2br w:val="nil"/>
                    <w:tr2bl w:val="nil"/>
                  </w:tcBorders>
                  <w:noWrap w:val="0"/>
                  <w:vAlign w:val="center"/>
                </w:tcPr>
                <w:p>
                  <w:pPr>
                    <w:pStyle w:val="32"/>
                    <w:bidi w:val="0"/>
                    <w:rPr>
                      <w:color w:val="auto"/>
                      <w:highlight w:val="none"/>
                      <w:lang w:val="zh-CN"/>
                    </w:rPr>
                  </w:pPr>
                  <w:r>
                    <w:rPr>
                      <w:color w:val="auto"/>
                      <w:highlight w:val="none"/>
                      <w:lang w:val="zh-CN"/>
                    </w:rPr>
                    <w:t>环境类别</w:t>
                  </w:r>
                </w:p>
              </w:tc>
              <w:tc>
                <w:tcPr>
                  <w:tcW w:w="534" w:type="pct"/>
                  <w:vMerge w:val="restart"/>
                  <w:tcBorders>
                    <w:tl2br w:val="nil"/>
                    <w:tr2bl w:val="nil"/>
                  </w:tcBorders>
                  <w:noWrap w:val="0"/>
                  <w:vAlign w:val="center"/>
                </w:tcPr>
                <w:p>
                  <w:pPr>
                    <w:pStyle w:val="32"/>
                    <w:bidi w:val="0"/>
                    <w:rPr>
                      <w:color w:val="auto"/>
                      <w:highlight w:val="none"/>
                      <w:lang w:val="zh-CN"/>
                    </w:rPr>
                  </w:pPr>
                  <w:r>
                    <w:rPr>
                      <w:rFonts w:hint="eastAsia"/>
                      <w:color w:val="auto"/>
                      <w:highlight w:val="none"/>
                      <w:lang w:val="zh-CN"/>
                    </w:rPr>
                    <w:t>评价</w:t>
                  </w:r>
                  <w:r>
                    <w:rPr>
                      <w:color w:val="auto"/>
                      <w:highlight w:val="none"/>
                      <w:lang w:val="zh-CN"/>
                    </w:rPr>
                    <w:t>因子</w:t>
                  </w:r>
                </w:p>
              </w:tc>
              <w:tc>
                <w:tcPr>
                  <w:tcW w:w="1040" w:type="pct"/>
                  <w:vMerge w:val="restart"/>
                  <w:tcBorders>
                    <w:tl2br w:val="nil"/>
                    <w:tr2bl w:val="nil"/>
                  </w:tcBorders>
                  <w:noWrap w:val="0"/>
                  <w:vAlign w:val="center"/>
                </w:tcPr>
                <w:p>
                  <w:pPr>
                    <w:pStyle w:val="32"/>
                    <w:bidi w:val="0"/>
                    <w:rPr>
                      <w:color w:val="auto"/>
                      <w:highlight w:val="none"/>
                      <w:lang w:val="zh-CN"/>
                    </w:rPr>
                  </w:pPr>
                  <w:r>
                    <w:rPr>
                      <w:color w:val="auto"/>
                      <w:highlight w:val="none"/>
                      <w:lang w:val="zh-CN"/>
                    </w:rPr>
                    <w:t>取值时间</w:t>
                  </w:r>
                </w:p>
              </w:tc>
              <w:tc>
                <w:tcPr>
                  <w:tcW w:w="1602" w:type="pct"/>
                  <w:gridSpan w:val="3"/>
                  <w:tcBorders>
                    <w:tl2br w:val="nil"/>
                    <w:tr2bl w:val="nil"/>
                  </w:tcBorders>
                  <w:noWrap w:val="0"/>
                  <w:vAlign w:val="center"/>
                </w:tcPr>
                <w:p>
                  <w:pPr>
                    <w:pStyle w:val="32"/>
                    <w:bidi w:val="0"/>
                    <w:rPr>
                      <w:color w:val="auto"/>
                      <w:highlight w:val="none"/>
                      <w:lang w:val="zh-CN"/>
                    </w:rPr>
                  </w:pPr>
                  <w:r>
                    <w:rPr>
                      <w:color w:val="auto"/>
                      <w:highlight w:val="none"/>
                      <w:lang w:val="zh-CN"/>
                    </w:rPr>
                    <w:t>浓度限值</w:t>
                  </w:r>
                </w:p>
              </w:tc>
              <w:tc>
                <w:tcPr>
                  <w:tcW w:w="1227" w:type="pct"/>
                  <w:vMerge w:val="restart"/>
                  <w:tcBorders>
                    <w:tl2br w:val="nil"/>
                    <w:tr2bl w:val="nil"/>
                  </w:tcBorders>
                  <w:noWrap w:val="0"/>
                  <w:vAlign w:val="center"/>
                </w:tcPr>
                <w:p>
                  <w:pPr>
                    <w:pStyle w:val="32"/>
                    <w:bidi w:val="0"/>
                    <w:rPr>
                      <w:color w:val="auto"/>
                      <w:highlight w:val="none"/>
                      <w:lang w:val="zh-CN"/>
                    </w:rPr>
                  </w:pPr>
                  <w:r>
                    <w:rPr>
                      <w:color w:val="auto"/>
                      <w:highlight w:val="none"/>
                      <w:lang w:val="zh-CN"/>
                    </w:rPr>
                    <w:t>标准名称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vMerge w:val="continue"/>
                  <w:tcBorders>
                    <w:tl2br w:val="nil"/>
                    <w:tr2bl w:val="nil"/>
                  </w:tcBorders>
                  <w:noWrap w:val="0"/>
                  <w:vAlign w:val="center"/>
                </w:tcPr>
                <w:p>
                  <w:pPr>
                    <w:pStyle w:val="32"/>
                    <w:bidi w:val="0"/>
                    <w:rPr>
                      <w:color w:val="auto"/>
                      <w:highlight w:val="none"/>
                    </w:rPr>
                  </w:pPr>
                </w:p>
              </w:tc>
              <w:tc>
                <w:tcPr>
                  <w:tcW w:w="462" w:type="pct"/>
                  <w:tcBorders>
                    <w:tl2br w:val="nil"/>
                    <w:tr2bl w:val="nil"/>
                  </w:tcBorders>
                  <w:noWrap w:val="0"/>
                  <w:vAlign w:val="center"/>
                </w:tcPr>
                <w:p>
                  <w:pPr>
                    <w:pStyle w:val="32"/>
                    <w:bidi w:val="0"/>
                    <w:rPr>
                      <w:color w:val="auto"/>
                      <w:highlight w:val="none"/>
                    </w:rPr>
                  </w:pPr>
                  <w:r>
                    <w:rPr>
                      <w:color w:val="auto"/>
                      <w:highlight w:val="none"/>
                      <w:lang w:val="zh-CN"/>
                    </w:rPr>
                    <w:t>级别</w:t>
                  </w:r>
                </w:p>
              </w:tc>
              <w:tc>
                <w:tcPr>
                  <w:tcW w:w="552" w:type="pct"/>
                  <w:tcBorders>
                    <w:tl2br w:val="nil"/>
                    <w:tr2bl w:val="nil"/>
                  </w:tcBorders>
                  <w:noWrap w:val="0"/>
                  <w:vAlign w:val="center"/>
                </w:tcPr>
                <w:p>
                  <w:pPr>
                    <w:pStyle w:val="32"/>
                    <w:bidi w:val="0"/>
                    <w:rPr>
                      <w:color w:val="auto"/>
                      <w:highlight w:val="none"/>
                    </w:rPr>
                  </w:pPr>
                  <w:r>
                    <w:rPr>
                      <w:color w:val="auto"/>
                      <w:highlight w:val="none"/>
                      <w:lang w:val="zh-CN"/>
                    </w:rPr>
                    <w:t>浓度</w:t>
                  </w:r>
                </w:p>
              </w:tc>
              <w:tc>
                <w:tcPr>
                  <w:tcW w:w="588" w:type="pct"/>
                  <w:tcBorders>
                    <w:tl2br w:val="nil"/>
                    <w:tr2bl w:val="nil"/>
                  </w:tcBorders>
                  <w:noWrap w:val="0"/>
                  <w:vAlign w:val="center"/>
                </w:tcPr>
                <w:p>
                  <w:pPr>
                    <w:pStyle w:val="32"/>
                    <w:bidi w:val="0"/>
                    <w:rPr>
                      <w:color w:val="auto"/>
                      <w:highlight w:val="none"/>
                    </w:rPr>
                  </w:pPr>
                  <w:r>
                    <w:rPr>
                      <w:color w:val="auto"/>
                      <w:highlight w:val="none"/>
                      <w:lang w:val="zh-CN"/>
                    </w:rPr>
                    <w:t>单位</w:t>
                  </w: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restart"/>
                  <w:tcBorders>
                    <w:tl2br w:val="nil"/>
                    <w:tr2bl w:val="nil"/>
                  </w:tcBorders>
                  <w:noWrap w:val="0"/>
                  <w:vAlign w:val="center"/>
                </w:tcPr>
                <w:p>
                  <w:pPr>
                    <w:pStyle w:val="32"/>
                    <w:bidi w:val="0"/>
                    <w:rPr>
                      <w:color w:val="auto"/>
                      <w:highlight w:val="none"/>
                    </w:rPr>
                  </w:pPr>
                  <w:r>
                    <w:rPr>
                      <w:color w:val="auto"/>
                      <w:highlight w:val="none"/>
                      <w:lang w:val="zh-CN"/>
                    </w:rPr>
                    <w:t>环</w:t>
                  </w:r>
                </w:p>
                <w:p>
                  <w:pPr>
                    <w:pStyle w:val="32"/>
                    <w:bidi w:val="0"/>
                    <w:rPr>
                      <w:color w:val="auto"/>
                      <w:highlight w:val="none"/>
                    </w:rPr>
                  </w:pPr>
                  <w:r>
                    <w:rPr>
                      <w:color w:val="auto"/>
                      <w:highlight w:val="none"/>
                      <w:lang w:val="zh-CN"/>
                    </w:rPr>
                    <w:t>境</w:t>
                  </w:r>
                </w:p>
                <w:p>
                  <w:pPr>
                    <w:pStyle w:val="32"/>
                    <w:bidi w:val="0"/>
                    <w:rPr>
                      <w:color w:val="auto"/>
                      <w:highlight w:val="none"/>
                    </w:rPr>
                  </w:pPr>
                  <w:r>
                    <w:rPr>
                      <w:color w:val="auto"/>
                      <w:highlight w:val="none"/>
                      <w:lang w:val="zh-CN"/>
                    </w:rPr>
                    <w:t>空</w:t>
                  </w:r>
                </w:p>
                <w:p>
                  <w:pPr>
                    <w:pStyle w:val="32"/>
                    <w:bidi w:val="0"/>
                    <w:rPr>
                      <w:color w:val="auto"/>
                      <w:highlight w:val="none"/>
                    </w:rPr>
                  </w:pPr>
                  <w:r>
                    <w:rPr>
                      <w:color w:val="auto"/>
                      <w:highlight w:val="none"/>
                      <w:lang w:val="zh-CN"/>
                    </w:rPr>
                    <w:t>气</w:t>
                  </w:r>
                </w:p>
              </w:tc>
              <w:tc>
                <w:tcPr>
                  <w:tcW w:w="534" w:type="pct"/>
                  <w:vMerge w:val="restart"/>
                  <w:tcBorders>
                    <w:tl2br w:val="nil"/>
                    <w:tr2bl w:val="nil"/>
                  </w:tcBorders>
                  <w:noWrap w:val="0"/>
                  <w:vAlign w:val="center"/>
                </w:tcPr>
                <w:p>
                  <w:pPr>
                    <w:pStyle w:val="32"/>
                    <w:bidi w:val="0"/>
                    <w:rPr>
                      <w:color w:val="auto"/>
                      <w:highlight w:val="none"/>
                    </w:rPr>
                  </w:pPr>
                  <w:r>
                    <w:rPr>
                      <w:color w:val="auto"/>
                      <w:highlight w:val="none"/>
                    </w:rPr>
                    <w:t>SO</w:t>
                  </w:r>
                  <w:r>
                    <w:rPr>
                      <w:color w:val="auto"/>
                      <w:highlight w:val="none"/>
                      <w:vertAlign w:val="subscript"/>
                    </w:rPr>
                    <w:t>2</w:t>
                  </w:r>
                </w:p>
              </w:tc>
              <w:tc>
                <w:tcPr>
                  <w:tcW w:w="1040" w:type="pct"/>
                  <w:tcBorders>
                    <w:tl2br w:val="nil"/>
                    <w:tr2bl w:val="nil"/>
                  </w:tcBorders>
                  <w:noWrap w:val="0"/>
                  <w:vAlign w:val="center"/>
                </w:tcPr>
                <w:p>
                  <w:pPr>
                    <w:pStyle w:val="32"/>
                    <w:bidi w:val="0"/>
                    <w:rPr>
                      <w:color w:val="auto"/>
                      <w:highlight w:val="none"/>
                    </w:rPr>
                  </w:pPr>
                  <w:r>
                    <w:rPr>
                      <w:color w:val="auto"/>
                      <w:highlight w:val="none"/>
                    </w:rPr>
                    <w:t>24小时平均</w:t>
                  </w:r>
                </w:p>
              </w:tc>
              <w:tc>
                <w:tcPr>
                  <w:tcW w:w="462" w:type="pct"/>
                  <w:vMerge w:val="restart"/>
                  <w:tcBorders>
                    <w:tl2br w:val="nil"/>
                    <w:tr2bl w:val="nil"/>
                  </w:tcBorders>
                  <w:noWrap w:val="0"/>
                  <w:vAlign w:val="center"/>
                </w:tcPr>
                <w:p>
                  <w:pPr>
                    <w:pStyle w:val="32"/>
                    <w:bidi w:val="0"/>
                    <w:rPr>
                      <w:color w:val="auto"/>
                      <w:highlight w:val="none"/>
                    </w:rPr>
                  </w:pPr>
                  <w:r>
                    <w:rPr>
                      <w:color w:val="auto"/>
                      <w:highlight w:val="none"/>
                      <w:lang w:val="zh-CN"/>
                    </w:rPr>
                    <w:t>二级</w:t>
                  </w:r>
                </w:p>
              </w:tc>
              <w:tc>
                <w:tcPr>
                  <w:tcW w:w="552" w:type="pct"/>
                  <w:tcBorders>
                    <w:tl2br w:val="nil"/>
                    <w:tr2bl w:val="nil"/>
                  </w:tcBorders>
                  <w:noWrap w:val="0"/>
                  <w:vAlign w:val="center"/>
                </w:tcPr>
                <w:p>
                  <w:pPr>
                    <w:pStyle w:val="32"/>
                    <w:bidi w:val="0"/>
                    <w:rPr>
                      <w:color w:val="auto"/>
                      <w:highlight w:val="none"/>
                    </w:rPr>
                  </w:pPr>
                  <w:r>
                    <w:rPr>
                      <w:color w:val="auto"/>
                      <w:highlight w:val="none"/>
                    </w:rPr>
                    <w:t>150</w:t>
                  </w:r>
                </w:p>
              </w:tc>
              <w:tc>
                <w:tcPr>
                  <w:tcW w:w="588" w:type="pct"/>
                  <w:vMerge w:val="restart"/>
                  <w:tcBorders>
                    <w:tl2br w:val="nil"/>
                    <w:tr2bl w:val="nil"/>
                  </w:tcBorders>
                  <w:noWrap w:val="0"/>
                  <w:vAlign w:val="center"/>
                </w:tcPr>
                <w:p>
                  <w:pPr>
                    <w:pStyle w:val="32"/>
                    <w:bidi w:val="0"/>
                    <w:rPr>
                      <w:color w:val="auto"/>
                      <w:highlight w:val="none"/>
                    </w:rPr>
                  </w:pPr>
                  <w:r>
                    <w:rPr>
                      <w:color w:val="auto"/>
                      <w:highlight w:val="none"/>
                    </w:rPr>
                    <w:t>μg/Nm</w:t>
                  </w:r>
                  <w:r>
                    <w:rPr>
                      <w:color w:val="auto"/>
                      <w:highlight w:val="none"/>
                      <w:vertAlign w:val="superscript"/>
                    </w:rPr>
                    <w:t>3</w:t>
                  </w:r>
                </w:p>
              </w:tc>
              <w:tc>
                <w:tcPr>
                  <w:tcW w:w="1227" w:type="pct"/>
                  <w:vMerge w:val="restart"/>
                  <w:tcBorders>
                    <w:tl2br w:val="nil"/>
                    <w:tr2bl w:val="nil"/>
                  </w:tcBorders>
                  <w:noWrap w:val="0"/>
                  <w:vAlign w:val="center"/>
                </w:tcPr>
                <w:p>
                  <w:pPr>
                    <w:pStyle w:val="32"/>
                    <w:bidi w:val="0"/>
                    <w:rPr>
                      <w:color w:val="auto"/>
                      <w:highlight w:val="none"/>
                    </w:rPr>
                  </w:pPr>
                  <w:r>
                    <w:rPr>
                      <w:color w:val="auto"/>
                      <w:highlight w:val="none"/>
                      <w:lang w:val="zh-CN"/>
                    </w:rPr>
                    <w:t>《环境空气质量标准》</w:t>
                  </w:r>
                  <w:r>
                    <w:rPr>
                      <w:color w:val="auto"/>
                      <w:highlight w:val="none"/>
                    </w:rPr>
                    <w:t>（GB3095-2012）及其修改单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tcBorders>
                    <w:tl2br w:val="nil"/>
                    <w:tr2bl w:val="nil"/>
                  </w:tcBorders>
                  <w:noWrap w:val="0"/>
                  <w:vAlign w:val="center"/>
                </w:tcPr>
                <w:p>
                  <w:pPr>
                    <w:pStyle w:val="32"/>
                    <w:bidi w:val="0"/>
                    <w:rPr>
                      <w:color w:val="auto"/>
                      <w:highlight w:val="none"/>
                    </w:rPr>
                  </w:pPr>
                  <w:r>
                    <w:rPr>
                      <w:color w:val="auto"/>
                      <w:highlight w:val="none"/>
                    </w:rPr>
                    <w:t>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500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restart"/>
                  <w:tcBorders>
                    <w:tl2br w:val="nil"/>
                    <w:tr2bl w:val="nil"/>
                  </w:tcBorders>
                  <w:noWrap w:val="0"/>
                  <w:vAlign w:val="center"/>
                </w:tcPr>
                <w:p>
                  <w:pPr>
                    <w:pStyle w:val="32"/>
                    <w:bidi w:val="0"/>
                    <w:rPr>
                      <w:color w:val="auto"/>
                      <w:highlight w:val="none"/>
                    </w:rPr>
                  </w:pPr>
                  <w:r>
                    <w:rPr>
                      <w:color w:val="auto"/>
                      <w:highlight w:val="none"/>
                    </w:rPr>
                    <w:t>NO</w:t>
                  </w:r>
                  <w:r>
                    <w:rPr>
                      <w:color w:val="auto"/>
                      <w:highlight w:val="none"/>
                      <w:vertAlign w:val="subscript"/>
                    </w:rPr>
                    <w:t>2</w:t>
                  </w:r>
                </w:p>
              </w:tc>
              <w:tc>
                <w:tcPr>
                  <w:tcW w:w="1040" w:type="pct"/>
                  <w:tcBorders>
                    <w:tl2br w:val="nil"/>
                    <w:tr2bl w:val="nil"/>
                  </w:tcBorders>
                  <w:noWrap w:val="0"/>
                  <w:vAlign w:val="center"/>
                </w:tcPr>
                <w:p>
                  <w:pPr>
                    <w:pStyle w:val="32"/>
                    <w:bidi w:val="0"/>
                    <w:rPr>
                      <w:color w:val="auto"/>
                      <w:highlight w:val="none"/>
                    </w:rPr>
                  </w:pPr>
                  <w:r>
                    <w:rPr>
                      <w:color w:val="auto"/>
                      <w:highlight w:val="none"/>
                    </w:rPr>
                    <w:t>24小时平均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80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tcBorders>
                    <w:tl2br w:val="nil"/>
                    <w:tr2bl w:val="nil"/>
                  </w:tcBorders>
                  <w:noWrap w:val="0"/>
                  <w:vAlign w:val="center"/>
                </w:tcPr>
                <w:p>
                  <w:pPr>
                    <w:pStyle w:val="32"/>
                    <w:bidi w:val="0"/>
                    <w:rPr>
                      <w:color w:val="auto"/>
                      <w:highlight w:val="none"/>
                    </w:rPr>
                  </w:pPr>
                  <w:r>
                    <w:rPr>
                      <w:color w:val="auto"/>
                      <w:highlight w:val="none"/>
                    </w:rPr>
                    <w:t>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200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restart"/>
                  <w:tcBorders>
                    <w:tl2br w:val="nil"/>
                    <w:tr2bl w:val="nil"/>
                  </w:tcBorders>
                  <w:noWrap w:val="0"/>
                  <w:vAlign w:val="center"/>
                </w:tcPr>
                <w:p>
                  <w:pPr>
                    <w:pStyle w:val="32"/>
                    <w:bidi w:val="0"/>
                    <w:rPr>
                      <w:color w:val="auto"/>
                      <w:highlight w:val="none"/>
                    </w:rPr>
                  </w:pPr>
                  <w:r>
                    <w:rPr>
                      <w:color w:val="auto"/>
                      <w:highlight w:val="none"/>
                    </w:rPr>
                    <w:t>PM</w:t>
                  </w:r>
                  <w:r>
                    <w:rPr>
                      <w:color w:val="auto"/>
                      <w:highlight w:val="none"/>
                      <w:vertAlign w:val="subscript"/>
                    </w:rPr>
                    <w:t>10</w:t>
                  </w:r>
                </w:p>
              </w:tc>
              <w:tc>
                <w:tcPr>
                  <w:tcW w:w="1040" w:type="pct"/>
                  <w:tcBorders>
                    <w:tl2br w:val="nil"/>
                    <w:tr2bl w:val="nil"/>
                  </w:tcBorders>
                  <w:noWrap w:val="0"/>
                  <w:vAlign w:val="center"/>
                </w:tcPr>
                <w:p>
                  <w:pPr>
                    <w:pStyle w:val="32"/>
                    <w:bidi w:val="0"/>
                    <w:rPr>
                      <w:color w:val="auto"/>
                      <w:highlight w:val="none"/>
                    </w:rPr>
                  </w:pPr>
                  <w:r>
                    <w:rPr>
                      <w:color w:val="auto"/>
                      <w:highlight w:val="none"/>
                      <w:lang w:val="zh-CN"/>
                    </w:rPr>
                    <w:t>年平均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70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tcBorders>
                    <w:tl2br w:val="nil"/>
                    <w:tr2bl w:val="nil"/>
                  </w:tcBorders>
                  <w:noWrap w:val="0"/>
                  <w:vAlign w:val="center"/>
                </w:tcPr>
                <w:p>
                  <w:pPr>
                    <w:pStyle w:val="32"/>
                    <w:bidi w:val="0"/>
                    <w:rPr>
                      <w:color w:val="auto"/>
                      <w:highlight w:val="none"/>
                    </w:rPr>
                  </w:pPr>
                  <w:r>
                    <w:rPr>
                      <w:color w:val="auto"/>
                      <w:highlight w:val="none"/>
                      <w:lang w:val="zh-CN"/>
                    </w:rPr>
                    <w:t>24小时平均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150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bl>
          <w:p>
            <w:pPr>
              <w:pStyle w:val="36"/>
              <w:bidi w:val="0"/>
              <w:rPr>
                <w:rFonts w:hint="default"/>
                <w:lang w:val="en-US" w:eastAsia="zh-CN"/>
              </w:rPr>
            </w:pPr>
            <w:r>
              <w:rPr>
                <w:rFonts w:hint="eastAsia"/>
                <w:lang w:eastAsia="zh-CN"/>
              </w:rPr>
              <w:t>续表</w:t>
            </w:r>
            <w:r>
              <w:rPr>
                <w:rFonts w:hint="eastAsia"/>
                <w:lang w:val="en-US" w:eastAsia="zh-CN"/>
              </w:rPr>
              <w:t>3-4  环境空气质量标准</w:t>
            </w:r>
          </w:p>
          <w:tbl>
            <w:tblPr>
              <w:tblStyle w:val="2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946"/>
              <w:gridCol w:w="849"/>
              <w:gridCol w:w="1654"/>
              <w:gridCol w:w="735"/>
              <w:gridCol w:w="878"/>
              <w:gridCol w:w="935"/>
              <w:gridCol w:w="19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340" w:hRule="atLeast"/>
                <w:jc w:val="center"/>
              </w:trPr>
              <w:tc>
                <w:tcPr>
                  <w:tcW w:w="595" w:type="pct"/>
                  <w:vMerge w:val="restart"/>
                  <w:tcBorders>
                    <w:tl2br w:val="nil"/>
                    <w:tr2bl w:val="nil"/>
                  </w:tcBorders>
                  <w:noWrap w:val="0"/>
                  <w:vAlign w:val="center"/>
                </w:tcPr>
                <w:p>
                  <w:pPr>
                    <w:pStyle w:val="32"/>
                    <w:bidi w:val="0"/>
                    <w:ind w:firstLine="0" w:firstLineChars="0"/>
                    <w:rPr>
                      <w:rFonts w:ascii="Times New Roman" w:hAnsi="Times New Roman" w:eastAsia="宋体" w:cs="Times New Roman"/>
                      <w:color w:val="auto"/>
                      <w:kern w:val="0"/>
                      <w:sz w:val="20"/>
                      <w:szCs w:val="20"/>
                      <w:highlight w:val="none"/>
                      <w:lang w:val="zh-CN" w:eastAsia="zh-CN" w:bidi="ar-SA"/>
                    </w:rPr>
                  </w:pPr>
                  <w:r>
                    <w:rPr>
                      <w:color w:val="auto"/>
                      <w:highlight w:val="none"/>
                      <w:lang w:val="zh-CN"/>
                    </w:rPr>
                    <w:t>环境类别</w:t>
                  </w:r>
                </w:p>
              </w:tc>
              <w:tc>
                <w:tcPr>
                  <w:tcW w:w="534" w:type="pct"/>
                  <w:vMerge w:val="restart"/>
                  <w:tcBorders>
                    <w:tl2br w:val="nil"/>
                    <w:tr2bl w:val="nil"/>
                  </w:tcBorders>
                  <w:noWrap w:val="0"/>
                  <w:vAlign w:val="center"/>
                </w:tcPr>
                <w:p>
                  <w:pPr>
                    <w:pStyle w:val="32"/>
                    <w:bidi w:val="0"/>
                    <w:ind w:firstLine="0" w:firstLineChars="0"/>
                    <w:rPr>
                      <w:rFonts w:ascii="Times New Roman" w:hAnsi="Times New Roman" w:eastAsia="宋体" w:cs="Times New Roman"/>
                      <w:color w:val="auto"/>
                      <w:kern w:val="0"/>
                      <w:sz w:val="20"/>
                      <w:szCs w:val="20"/>
                      <w:highlight w:val="none"/>
                      <w:lang w:val="zh-CN" w:eastAsia="zh-CN" w:bidi="ar-SA"/>
                    </w:rPr>
                  </w:pPr>
                  <w:r>
                    <w:rPr>
                      <w:rFonts w:hint="eastAsia"/>
                      <w:color w:val="auto"/>
                      <w:highlight w:val="none"/>
                      <w:lang w:val="zh-CN"/>
                    </w:rPr>
                    <w:t>评价</w:t>
                  </w:r>
                  <w:r>
                    <w:rPr>
                      <w:color w:val="auto"/>
                      <w:highlight w:val="none"/>
                      <w:lang w:val="zh-CN"/>
                    </w:rPr>
                    <w:t>因子</w:t>
                  </w:r>
                </w:p>
              </w:tc>
              <w:tc>
                <w:tcPr>
                  <w:tcW w:w="1040" w:type="pct"/>
                  <w:vMerge w:val="restart"/>
                  <w:tcBorders>
                    <w:tl2br w:val="nil"/>
                    <w:tr2bl w:val="nil"/>
                  </w:tcBorders>
                  <w:noWrap w:val="0"/>
                  <w:vAlign w:val="center"/>
                </w:tcPr>
                <w:p>
                  <w:pPr>
                    <w:pStyle w:val="32"/>
                    <w:bidi w:val="0"/>
                    <w:ind w:firstLine="0" w:firstLineChars="0"/>
                    <w:rPr>
                      <w:rFonts w:ascii="Times New Roman" w:hAnsi="Times New Roman" w:eastAsia="宋体" w:cs="Times New Roman"/>
                      <w:color w:val="auto"/>
                      <w:kern w:val="0"/>
                      <w:sz w:val="20"/>
                      <w:szCs w:val="20"/>
                      <w:highlight w:val="none"/>
                      <w:lang w:val="zh-CN" w:eastAsia="zh-CN" w:bidi="ar-SA"/>
                    </w:rPr>
                  </w:pPr>
                  <w:r>
                    <w:rPr>
                      <w:color w:val="auto"/>
                      <w:highlight w:val="none"/>
                      <w:lang w:val="zh-CN"/>
                    </w:rPr>
                    <w:t>取值时间</w:t>
                  </w:r>
                </w:p>
              </w:tc>
              <w:tc>
                <w:tcPr>
                  <w:tcW w:w="1602" w:type="pct"/>
                  <w:gridSpan w:val="3"/>
                  <w:tcBorders>
                    <w:tl2br w:val="nil"/>
                    <w:tr2bl w:val="nil"/>
                  </w:tcBorders>
                  <w:noWrap w:val="0"/>
                  <w:vAlign w:val="center"/>
                </w:tcPr>
                <w:p>
                  <w:pPr>
                    <w:pStyle w:val="32"/>
                    <w:bidi w:val="0"/>
                    <w:rPr>
                      <w:color w:val="auto"/>
                      <w:highlight w:val="none"/>
                    </w:rPr>
                  </w:pPr>
                  <w:r>
                    <w:rPr>
                      <w:color w:val="auto"/>
                      <w:highlight w:val="none"/>
                      <w:lang w:val="zh-CN"/>
                    </w:rPr>
                    <w:t>浓度限值</w:t>
                  </w:r>
                </w:p>
              </w:tc>
              <w:tc>
                <w:tcPr>
                  <w:tcW w:w="1227" w:type="pct"/>
                  <w:vMerge w:val="restart"/>
                  <w:tcBorders>
                    <w:tl2br w:val="nil"/>
                    <w:tr2bl w:val="nil"/>
                  </w:tcBorders>
                  <w:noWrap w:val="0"/>
                  <w:vAlign w:val="center"/>
                </w:tcPr>
                <w:p>
                  <w:pPr>
                    <w:pStyle w:val="32"/>
                    <w:bidi w:val="0"/>
                    <w:rPr>
                      <w:color w:val="auto"/>
                      <w:highlight w:val="none"/>
                    </w:rPr>
                  </w:pPr>
                  <w:r>
                    <w:rPr>
                      <w:color w:val="auto"/>
                      <w:highlight w:val="none"/>
                      <w:lang w:val="zh-CN"/>
                    </w:rPr>
                    <w:t>标准名称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vMerge w:val="continue"/>
                  <w:tcBorders>
                    <w:tl2br w:val="nil"/>
                    <w:tr2bl w:val="nil"/>
                  </w:tcBorders>
                  <w:noWrap w:val="0"/>
                  <w:vAlign w:val="center"/>
                </w:tcPr>
                <w:p>
                  <w:pPr>
                    <w:pStyle w:val="32"/>
                    <w:bidi w:val="0"/>
                    <w:rPr>
                      <w:color w:val="auto"/>
                      <w:highlight w:val="none"/>
                    </w:rPr>
                  </w:pPr>
                </w:p>
              </w:tc>
              <w:tc>
                <w:tcPr>
                  <w:tcW w:w="462" w:type="pct"/>
                  <w:tcBorders>
                    <w:tl2br w:val="nil"/>
                    <w:tr2bl w:val="nil"/>
                  </w:tcBorders>
                  <w:noWrap w:val="0"/>
                  <w:vAlign w:val="center"/>
                </w:tcPr>
                <w:p>
                  <w:pPr>
                    <w:pStyle w:val="32"/>
                    <w:bidi w:val="0"/>
                    <w:ind w:firstLine="0" w:firstLineChars="0"/>
                    <w:rPr>
                      <w:rFonts w:ascii="Times New Roman" w:hAnsi="Times New Roman" w:eastAsia="宋体" w:cs="Times New Roman"/>
                      <w:color w:val="auto"/>
                      <w:kern w:val="0"/>
                      <w:sz w:val="20"/>
                      <w:szCs w:val="20"/>
                      <w:highlight w:val="none"/>
                      <w:lang w:val="en-US" w:eastAsia="zh-CN" w:bidi="ar-SA"/>
                    </w:rPr>
                  </w:pPr>
                  <w:r>
                    <w:rPr>
                      <w:color w:val="auto"/>
                      <w:highlight w:val="none"/>
                      <w:lang w:val="zh-CN"/>
                    </w:rPr>
                    <w:t>级别</w:t>
                  </w:r>
                </w:p>
              </w:tc>
              <w:tc>
                <w:tcPr>
                  <w:tcW w:w="552" w:type="pct"/>
                  <w:tcBorders>
                    <w:tl2br w:val="nil"/>
                    <w:tr2bl w:val="nil"/>
                  </w:tcBorders>
                  <w:noWrap w:val="0"/>
                  <w:vAlign w:val="center"/>
                </w:tcPr>
                <w:p>
                  <w:pPr>
                    <w:pStyle w:val="32"/>
                    <w:bidi w:val="0"/>
                    <w:ind w:firstLine="0" w:firstLineChars="0"/>
                    <w:rPr>
                      <w:rFonts w:ascii="Times New Roman" w:hAnsi="Times New Roman" w:eastAsia="宋体" w:cs="Times New Roman"/>
                      <w:color w:val="auto"/>
                      <w:kern w:val="0"/>
                      <w:sz w:val="20"/>
                      <w:szCs w:val="20"/>
                      <w:highlight w:val="none"/>
                      <w:lang w:val="en-US" w:eastAsia="zh-CN" w:bidi="ar-SA"/>
                    </w:rPr>
                  </w:pPr>
                  <w:r>
                    <w:rPr>
                      <w:color w:val="auto"/>
                      <w:highlight w:val="none"/>
                      <w:lang w:val="zh-CN"/>
                    </w:rPr>
                    <w:t>浓度</w:t>
                  </w:r>
                </w:p>
              </w:tc>
              <w:tc>
                <w:tcPr>
                  <w:tcW w:w="588" w:type="pct"/>
                  <w:tcBorders>
                    <w:tl2br w:val="nil"/>
                    <w:tr2bl w:val="nil"/>
                  </w:tcBorders>
                  <w:noWrap w:val="0"/>
                  <w:vAlign w:val="center"/>
                </w:tcPr>
                <w:p>
                  <w:pPr>
                    <w:pStyle w:val="32"/>
                    <w:bidi w:val="0"/>
                    <w:ind w:firstLine="0" w:firstLineChars="0"/>
                    <w:rPr>
                      <w:rFonts w:ascii="Times New Roman" w:hAnsi="Times New Roman" w:eastAsia="宋体" w:cs="Times New Roman"/>
                      <w:color w:val="auto"/>
                      <w:kern w:val="0"/>
                      <w:sz w:val="20"/>
                      <w:szCs w:val="20"/>
                      <w:highlight w:val="none"/>
                      <w:lang w:val="en-US" w:eastAsia="zh-CN" w:bidi="ar-SA"/>
                    </w:rPr>
                  </w:pPr>
                  <w:r>
                    <w:rPr>
                      <w:color w:val="auto"/>
                      <w:highlight w:val="none"/>
                      <w:lang w:val="zh-CN"/>
                    </w:rPr>
                    <w:t>单位</w:t>
                  </w: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restart"/>
                  <w:tcBorders>
                    <w:tl2br w:val="nil"/>
                    <w:tr2bl w:val="nil"/>
                  </w:tcBorders>
                  <w:noWrap w:val="0"/>
                  <w:vAlign w:val="center"/>
                </w:tcPr>
                <w:p>
                  <w:pPr>
                    <w:pStyle w:val="32"/>
                    <w:bidi w:val="0"/>
                    <w:rPr>
                      <w:color w:val="auto"/>
                      <w:highlight w:val="none"/>
                    </w:rPr>
                  </w:pPr>
                </w:p>
              </w:tc>
              <w:tc>
                <w:tcPr>
                  <w:tcW w:w="534" w:type="pct"/>
                  <w:vMerge w:val="restart"/>
                  <w:tcBorders>
                    <w:tl2br w:val="nil"/>
                    <w:tr2bl w:val="nil"/>
                  </w:tcBorders>
                  <w:noWrap w:val="0"/>
                  <w:vAlign w:val="center"/>
                </w:tcPr>
                <w:p>
                  <w:pPr>
                    <w:pStyle w:val="32"/>
                    <w:bidi w:val="0"/>
                    <w:rPr>
                      <w:color w:val="auto"/>
                      <w:highlight w:val="none"/>
                    </w:rPr>
                  </w:pPr>
                  <w:r>
                    <w:rPr>
                      <w:color w:val="auto"/>
                      <w:highlight w:val="none"/>
                    </w:rPr>
                    <w:t>PM</w:t>
                  </w:r>
                  <w:r>
                    <w:rPr>
                      <w:color w:val="auto"/>
                      <w:highlight w:val="none"/>
                      <w:vertAlign w:val="subscript"/>
                    </w:rPr>
                    <w:t>2.5</w:t>
                  </w:r>
                </w:p>
              </w:tc>
              <w:tc>
                <w:tcPr>
                  <w:tcW w:w="1040" w:type="pct"/>
                  <w:tcBorders>
                    <w:tl2br w:val="nil"/>
                    <w:tr2bl w:val="nil"/>
                  </w:tcBorders>
                  <w:noWrap w:val="0"/>
                  <w:vAlign w:val="center"/>
                </w:tcPr>
                <w:p>
                  <w:pPr>
                    <w:pStyle w:val="32"/>
                    <w:bidi w:val="0"/>
                    <w:rPr>
                      <w:color w:val="auto"/>
                      <w:highlight w:val="none"/>
                    </w:rPr>
                  </w:pPr>
                  <w:r>
                    <w:rPr>
                      <w:color w:val="auto"/>
                      <w:highlight w:val="none"/>
                    </w:rPr>
                    <w:t>年平均</w:t>
                  </w:r>
                </w:p>
              </w:tc>
              <w:tc>
                <w:tcPr>
                  <w:tcW w:w="462" w:type="pct"/>
                  <w:vMerge w:val="restart"/>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35</w:t>
                  </w:r>
                </w:p>
              </w:tc>
              <w:tc>
                <w:tcPr>
                  <w:tcW w:w="588" w:type="pct"/>
                  <w:vMerge w:val="restart"/>
                  <w:tcBorders>
                    <w:tl2br w:val="nil"/>
                    <w:tr2bl w:val="nil"/>
                  </w:tcBorders>
                  <w:noWrap w:val="0"/>
                  <w:vAlign w:val="center"/>
                </w:tcPr>
                <w:p>
                  <w:pPr>
                    <w:pStyle w:val="32"/>
                    <w:bidi w:val="0"/>
                    <w:rPr>
                      <w:color w:val="auto"/>
                      <w:highlight w:val="none"/>
                    </w:rPr>
                  </w:pPr>
                </w:p>
              </w:tc>
              <w:tc>
                <w:tcPr>
                  <w:tcW w:w="1227" w:type="pct"/>
                  <w:vMerge w:val="restart"/>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tcBorders>
                    <w:tl2br w:val="nil"/>
                    <w:tr2bl w:val="nil"/>
                  </w:tcBorders>
                  <w:noWrap w:val="0"/>
                  <w:vAlign w:val="center"/>
                </w:tcPr>
                <w:p>
                  <w:pPr>
                    <w:pStyle w:val="32"/>
                    <w:bidi w:val="0"/>
                    <w:rPr>
                      <w:color w:val="auto"/>
                      <w:highlight w:val="none"/>
                    </w:rPr>
                  </w:pPr>
                  <w:r>
                    <w:rPr>
                      <w:color w:val="auto"/>
                      <w:highlight w:val="none"/>
                    </w:rPr>
                    <w:t>24小时平均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75</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restart"/>
                  <w:tcBorders>
                    <w:tl2br w:val="nil"/>
                    <w:tr2bl w:val="nil"/>
                  </w:tcBorders>
                  <w:noWrap w:val="0"/>
                  <w:vAlign w:val="center"/>
                </w:tcPr>
                <w:p>
                  <w:pPr>
                    <w:pStyle w:val="32"/>
                    <w:bidi w:val="0"/>
                    <w:rPr>
                      <w:color w:val="auto"/>
                      <w:highlight w:val="none"/>
                    </w:rPr>
                  </w:pPr>
                  <w:r>
                    <w:rPr>
                      <w:color w:val="auto"/>
                      <w:highlight w:val="none"/>
                    </w:rPr>
                    <w:t>O</w:t>
                  </w:r>
                  <w:r>
                    <w:rPr>
                      <w:color w:val="auto"/>
                      <w:highlight w:val="none"/>
                      <w:vertAlign w:val="subscript"/>
                    </w:rPr>
                    <w:t>3</w:t>
                  </w:r>
                </w:p>
              </w:tc>
              <w:tc>
                <w:tcPr>
                  <w:tcW w:w="1040" w:type="pct"/>
                  <w:tcBorders>
                    <w:tl2br w:val="nil"/>
                    <w:tr2bl w:val="nil"/>
                  </w:tcBorders>
                  <w:noWrap w:val="0"/>
                  <w:vAlign w:val="center"/>
                </w:tcPr>
                <w:p>
                  <w:pPr>
                    <w:pStyle w:val="32"/>
                    <w:bidi w:val="0"/>
                    <w:rPr>
                      <w:color w:val="auto"/>
                      <w:highlight w:val="none"/>
                    </w:rPr>
                  </w:pPr>
                  <w:r>
                    <w:rPr>
                      <w:color w:val="auto"/>
                      <w:highlight w:val="none"/>
                    </w:rPr>
                    <w:t>日最大8小时平时</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160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tcBorders>
                    <w:tl2br w:val="nil"/>
                    <w:tr2bl w:val="nil"/>
                  </w:tcBorders>
                  <w:noWrap w:val="0"/>
                  <w:vAlign w:val="center"/>
                </w:tcPr>
                <w:p>
                  <w:pPr>
                    <w:pStyle w:val="32"/>
                    <w:bidi w:val="0"/>
                    <w:rPr>
                      <w:color w:val="auto"/>
                      <w:highlight w:val="none"/>
                    </w:rPr>
                  </w:pPr>
                  <w:r>
                    <w:rPr>
                      <w:color w:val="auto"/>
                      <w:highlight w:val="none"/>
                    </w:rPr>
                    <w:t>1小时平均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200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restart"/>
                  <w:tcBorders>
                    <w:tl2br w:val="nil"/>
                    <w:tr2bl w:val="nil"/>
                  </w:tcBorders>
                  <w:noWrap w:val="0"/>
                  <w:vAlign w:val="center"/>
                </w:tcPr>
                <w:p>
                  <w:pPr>
                    <w:pStyle w:val="32"/>
                    <w:bidi w:val="0"/>
                    <w:rPr>
                      <w:color w:val="auto"/>
                      <w:highlight w:val="none"/>
                    </w:rPr>
                  </w:pPr>
                  <w:r>
                    <w:rPr>
                      <w:color w:val="auto"/>
                      <w:highlight w:val="none"/>
                    </w:rPr>
                    <w:t>CO</w:t>
                  </w:r>
                </w:p>
              </w:tc>
              <w:tc>
                <w:tcPr>
                  <w:tcW w:w="1040" w:type="pct"/>
                  <w:tcBorders>
                    <w:tl2br w:val="nil"/>
                    <w:tr2bl w:val="nil"/>
                  </w:tcBorders>
                  <w:noWrap w:val="0"/>
                  <w:vAlign w:val="center"/>
                </w:tcPr>
                <w:p>
                  <w:pPr>
                    <w:pStyle w:val="32"/>
                    <w:bidi w:val="0"/>
                    <w:rPr>
                      <w:color w:val="auto"/>
                      <w:highlight w:val="none"/>
                    </w:rPr>
                  </w:pPr>
                  <w:r>
                    <w:rPr>
                      <w:color w:val="auto"/>
                      <w:highlight w:val="none"/>
                    </w:rPr>
                    <w:t>24小时平均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4</w:t>
                  </w:r>
                </w:p>
              </w:tc>
              <w:tc>
                <w:tcPr>
                  <w:tcW w:w="588" w:type="pct"/>
                  <w:vMerge w:val="restart"/>
                  <w:tcBorders>
                    <w:tl2br w:val="nil"/>
                    <w:tr2bl w:val="nil"/>
                  </w:tcBorders>
                  <w:noWrap w:val="0"/>
                  <w:vAlign w:val="center"/>
                </w:tcPr>
                <w:p>
                  <w:pPr>
                    <w:pStyle w:val="32"/>
                    <w:bidi w:val="0"/>
                    <w:rPr>
                      <w:color w:val="auto"/>
                      <w:highlight w:val="none"/>
                    </w:rPr>
                  </w:pPr>
                  <w:r>
                    <w:rPr>
                      <w:color w:val="auto"/>
                      <w:highlight w:val="none"/>
                    </w:rPr>
                    <w:t>mg/Nm</w:t>
                  </w:r>
                  <w:r>
                    <w:rPr>
                      <w:color w:val="auto"/>
                      <w:highlight w:val="none"/>
                      <w:vertAlign w:val="superscript"/>
                    </w:rPr>
                    <w:t>3</w:t>
                  </w: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tcBorders>
                    <w:tl2br w:val="nil"/>
                    <w:tr2bl w:val="nil"/>
                  </w:tcBorders>
                  <w:noWrap w:val="0"/>
                  <w:vAlign w:val="center"/>
                </w:tcPr>
                <w:p>
                  <w:pPr>
                    <w:pStyle w:val="32"/>
                    <w:bidi w:val="0"/>
                    <w:rPr>
                      <w:color w:val="auto"/>
                      <w:highlight w:val="none"/>
                    </w:rPr>
                  </w:pPr>
                  <w:r>
                    <w:rPr>
                      <w:color w:val="auto"/>
                      <w:highlight w:val="none"/>
                    </w:rPr>
                    <w:t>1小时平均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10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restart"/>
                  <w:tcBorders>
                    <w:tl2br w:val="nil"/>
                    <w:tr2bl w:val="nil"/>
                  </w:tcBorders>
                  <w:noWrap w:val="0"/>
                  <w:vAlign w:val="center"/>
                </w:tcPr>
                <w:p>
                  <w:pPr>
                    <w:pStyle w:val="32"/>
                    <w:bidi w:val="0"/>
                    <w:rPr>
                      <w:rFonts w:hint="eastAsia"/>
                      <w:color w:val="auto"/>
                      <w:highlight w:val="none"/>
                    </w:rPr>
                  </w:pPr>
                  <w:r>
                    <w:rPr>
                      <w:rFonts w:hint="eastAsia"/>
                      <w:color w:val="auto"/>
                      <w:highlight w:val="none"/>
                    </w:rPr>
                    <w:t>苯并[a]芘</w:t>
                  </w:r>
                </w:p>
              </w:tc>
              <w:tc>
                <w:tcPr>
                  <w:tcW w:w="1040" w:type="pct"/>
                  <w:tcBorders>
                    <w:tl2br w:val="nil"/>
                    <w:tr2bl w:val="nil"/>
                  </w:tcBorders>
                  <w:noWrap w:val="0"/>
                  <w:vAlign w:val="center"/>
                </w:tcPr>
                <w:p>
                  <w:pPr>
                    <w:pStyle w:val="32"/>
                    <w:bidi w:val="0"/>
                    <w:rPr>
                      <w:color w:val="auto"/>
                      <w:highlight w:val="none"/>
                    </w:rPr>
                  </w:pPr>
                  <w:r>
                    <w:rPr>
                      <w:rFonts w:hint="eastAsia"/>
                      <w:color w:val="auto"/>
                      <w:highlight w:val="none"/>
                    </w:rPr>
                    <w:t>年平均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rFonts w:hint="eastAsia"/>
                      <w:color w:val="auto"/>
                      <w:highlight w:val="none"/>
                    </w:rPr>
                    <w:t>0.001</w:t>
                  </w:r>
                </w:p>
              </w:tc>
              <w:tc>
                <w:tcPr>
                  <w:tcW w:w="588" w:type="pct"/>
                  <w:vMerge w:val="restart"/>
                  <w:tcBorders>
                    <w:tl2br w:val="nil"/>
                    <w:tr2bl w:val="nil"/>
                  </w:tcBorders>
                  <w:noWrap w:val="0"/>
                  <w:vAlign w:val="center"/>
                </w:tcPr>
                <w:p>
                  <w:pPr>
                    <w:pStyle w:val="32"/>
                    <w:bidi w:val="0"/>
                    <w:rPr>
                      <w:color w:val="auto"/>
                      <w:highlight w:val="none"/>
                    </w:rPr>
                  </w:pPr>
                  <w:r>
                    <w:rPr>
                      <w:color w:val="auto"/>
                      <w:highlight w:val="none"/>
                    </w:rPr>
                    <w:t>μg/Nm</w:t>
                  </w:r>
                  <w:r>
                    <w:rPr>
                      <w:color w:val="auto"/>
                      <w:highlight w:val="none"/>
                      <w:vertAlign w:val="superscript"/>
                    </w:rPr>
                    <w:t>3</w:t>
                  </w: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rFonts w:hint="eastAsia"/>
                      <w:color w:val="auto"/>
                      <w:highlight w:val="none"/>
                    </w:rPr>
                  </w:pPr>
                </w:p>
              </w:tc>
              <w:tc>
                <w:tcPr>
                  <w:tcW w:w="104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24小时平均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rFonts w:hint="eastAsia"/>
                      <w:color w:val="auto"/>
                      <w:highlight w:val="none"/>
                    </w:rPr>
                    <w:t>0.0025</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restart"/>
                  <w:tcBorders>
                    <w:tl2br w:val="nil"/>
                    <w:tr2bl w:val="nil"/>
                  </w:tcBorders>
                  <w:noWrap w:val="0"/>
                  <w:vAlign w:val="center"/>
                </w:tcPr>
                <w:p>
                  <w:pPr>
                    <w:pStyle w:val="32"/>
                    <w:bidi w:val="0"/>
                    <w:rPr>
                      <w:color w:val="auto"/>
                      <w:highlight w:val="none"/>
                    </w:rPr>
                  </w:pPr>
                  <w:r>
                    <w:rPr>
                      <w:color w:val="auto"/>
                      <w:highlight w:val="none"/>
                    </w:rPr>
                    <w:t>TSP</w:t>
                  </w:r>
                </w:p>
              </w:tc>
              <w:tc>
                <w:tcPr>
                  <w:tcW w:w="104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年平均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rFonts w:hint="eastAsia"/>
                      <w:color w:val="auto"/>
                      <w:highlight w:val="none"/>
                    </w:rPr>
                    <w:t>200</w:t>
                  </w:r>
                </w:p>
              </w:tc>
              <w:tc>
                <w:tcPr>
                  <w:tcW w:w="588" w:type="pct"/>
                  <w:vMerge w:val="restart"/>
                  <w:tcBorders>
                    <w:tl2br w:val="nil"/>
                    <w:tr2bl w:val="nil"/>
                  </w:tcBorders>
                  <w:noWrap w:val="0"/>
                  <w:vAlign w:val="center"/>
                </w:tcPr>
                <w:p>
                  <w:pPr>
                    <w:pStyle w:val="32"/>
                    <w:bidi w:val="0"/>
                    <w:rPr>
                      <w:color w:val="auto"/>
                      <w:highlight w:val="none"/>
                    </w:rPr>
                  </w:pPr>
                  <w:r>
                    <w:rPr>
                      <w:color w:val="auto"/>
                      <w:highlight w:val="none"/>
                    </w:rPr>
                    <w:t>μg/Nm</w:t>
                  </w:r>
                  <w:r>
                    <w:rPr>
                      <w:color w:val="auto"/>
                      <w:highlight w:val="none"/>
                      <w:vertAlign w:val="superscript"/>
                    </w:rPr>
                    <w:t>3</w:t>
                  </w:r>
                </w:p>
              </w:tc>
              <w:tc>
                <w:tcPr>
                  <w:tcW w:w="1227"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cantSplit/>
                <w:trHeight w:val="340" w:hRule="atLeast"/>
                <w:jc w:val="center"/>
              </w:trPr>
              <w:tc>
                <w:tcPr>
                  <w:tcW w:w="595" w:type="pct"/>
                  <w:vMerge w:val="continue"/>
                  <w:tcBorders>
                    <w:tl2br w:val="nil"/>
                    <w:tr2bl w:val="nil"/>
                  </w:tcBorders>
                  <w:noWrap w:val="0"/>
                  <w:vAlign w:val="center"/>
                </w:tcPr>
                <w:p>
                  <w:pPr>
                    <w:pStyle w:val="32"/>
                    <w:bidi w:val="0"/>
                    <w:rPr>
                      <w:color w:val="auto"/>
                      <w:highlight w:val="none"/>
                    </w:rPr>
                  </w:pPr>
                </w:p>
              </w:tc>
              <w:tc>
                <w:tcPr>
                  <w:tcW w:w="534" w:type="pct"/>
                  <w:vMerge w:val="continue"/>
                  <w:tcBorders>
                    <w:tl2br w:val="nil"/>
                    <w:tr2bl w:val="nil"/>
                  </w:tcBorders>
                  <w:noWrap w:val="0"/>
                  <w:vAlign w:val="center"/>
                </w:tcPr>
                <w:p>
                  <w:pPr>
                    <w:pStyle w:val="32"/>
                    <w:bidi w:val="0"/>
                    <w:rPr>
                      <w:color w:val="auto"/>
                      <w:highlight w:val="none"/>
                    </w:rPr>
                  </w:pPr>
                </w:p>
              </w:tc>
              <w:tc>
                <w:tcPr>
                  <w:tcW w:w="1040" w:type="pct"/>
                  <w:tcBorders>
                    <w:tl2br w:val="nil"/>
                    <w:tr2bl w:val="nil"/>
                  </w:tcBorders>
                  <w:noWrap w:val="0"/>
                  <w:vAlign w:val="center"/>
                </w:tcPr>
                <w:p>
                  <w:pPr>
                    <w:pStyle w:val="32"/>
                    <w:bidi w:val="0"/>
                    <w:rPr>
                      <w:color w:val="auto"/>
                      <w:highlight w:val="none"/>
                    </w:rPr>
                  </w:pPr>
                  <w:r>
                    <w:rPr>
                      <w:color w:val="auto"/>
                      <w:highlight w:val="none"/>
                    </w:rPr>
                    <w:t>24小时均</w:t>
                  </w:r>
                </w:p>
              </w:tc>
              <w:tc>
                <w:tcPr>
                  <w:tcW w:w="462" w:type="pct"/>
                  <w:vMerge w:val="continue"/>
                  <w:tcBorders>
                    <w:tl2br w:val="nil"/>
                    <w:tr2bl w:val="nil"/>
                  </w:tcBorders>
                  <w:noWrap w:val="0"/>
                  <w:vAlign w:val="center"/>
                </w:tcPr>
                <w:p>
                  <w:pPr>
                    <w:pStyle w:val="32"/>
                    <w:bidi w:val="0"/>
                    <w:rPr>
                      <w:color w:val="auto"/>
                      <w:highlight w:val="none"/>
                    </w:rPr>
                  </w:pPr>
                </w:p>
              </w:tc>
              <w:tc>
                <w:tcPr>
                  <w:tcW w:w="552" w:type="pct"/>
                  <w:tcBorders>
                    <w:tl2br w:val="nil"/>
                    <w:tr2bl w:val="nil"/>
                  </w:tcBorders>
                  <w:noWrap w:val="0"/>
                  <w:vAlign w:val="center"/>
                </w:tcPr>
                <w:p>
                  <w:pPr>
                    <w:pStyle w:val="32"/>
                    <w:bidi w:val="0"/>
                    <w:rPr>
                      <w:color w:val="auto"/>
                      <w:highlight w:val="none"/>
                    </w:rPr>
                  </w:pPr>
                  <w:r>
                    <w:rPr>
                      <w:color w:val="auto"/>
                      <w:highlight w:val="none"/>
                    </w:rPr>
                    <w:t>300</w:t>
                  </w:r>
                </w:p>
              </w:tc>
              <w:tc>
                <w:tcPr>
                  <w:tcW w:w="588" w:type="pct"/>
                  <w:vMerge w:val="continue"/>
                  <w:tcBorders>
                    <w:tl2br w:val="nil"/>
                    <w:tr2bl w:val="nil"/>
                  </w:tcBorders>
                  <w:noWrap w:val="0"/>
                  <w:vAlign w:val="center"/>
                </w:tcPr>
                <w:p>
                  <w:pPr>
                    <w:pStyle w:val="32"/>
                    <w:bidi w:val="0"/>
                    <w:rPr>
                      <w:color w:val="auto"/>
                      <w:highlight w:val="none"/>
                    </w:rPr>
                  </w:pPr>
                </w:p>
              </w:tc>
              <w:tc>
                <w:tcPr>
                  <w:tcW w:w="1227" w:type="pct"/>
                  <w:vMerge w:val="continue"/>
                  <w:tcBorders>
                    <w:tl2br w:val="nil"/>
                    <w:tr2bl w:val="nil"/>
                  </w:tcBorders>
                  <w:noWrap w:val="0"/>
                  <w:vAlign w:val="center"/>
                </w:tcPr>
                <w:p>
                  <w:pPr>
                    <w:pStyle w:val="32"/>
                    <w:bidi w:val="0"/>
                    <w:rPr>
                      <w:color w:val="auto"/>
                      <w:highlight w:val="none"/>
                    </w:rPr>
                  </w:pPr>
                </w:p>
              </w:tc>
            </w:tr>
          </w:tbl>
          <w:p>
            <w:pPr>
              <w:pStyle w:val="33"/>
              <w:bidi w:val="0"/>
              <w:rPr>
                <w:rFonts w:hint="eastAsia"/>
                <w:color w:val="auto"/>
                <w:highlight w:val="none"/>
              </w:rPr>
            </w:pPr>
            <w:r>
              <w:rPr>
                <w:color w:val="auto"/>
                <w:highlight w:val="none"/>
              </w:rPr>
              <w:t>（2）</w:t>
            </w:r>
            <w:r>
              <w:rPr>
                <w:rFonts w:hint="eastAsia"/>
                <w:color w:val="auto"/>
                <w:highlight w:val="none"/>
              </w:rPr>
              <w:t>声环境</w:t>
            </w:r>
          </w:p>
          <w:p>
            <w:pPr>
              <w:pStyle w:val="33"/>
              <w:bidi w:val="0"/>
              <w:rPr>
                <w:rFonts w:hint="eastAsia" w:eastAsia="宋体"/>
                <w:color w:val="auto"/>
                <w:highlight w:val="none"/>
                <w:lang w:eastAsia="zh-CN"/>
              </w:rPr>
            </w:pPr>
            <w:r>
              <w:rPr>
                <w:rFonts w:hint="eastAsia"/>
                <w:color w:val="auto"/>
                <w:highlight w:val="none"/>
              </w:rPr>
              <w:t>声环境质量执行</w:t>
            </w:r>
            <w:r>
              <w:rPr>
                <w:color w:val="auto"/>
                <w:highlight w:val="none"/>
              </w:rPr>
              <w:t>《声环境质量标准》（GB3096</w:t>
            </w:r>
            <w:r>
              <w:rPr>
                <w:rFonts w:hint="eastAsia"/>
                <w:color w:val="auto"/>
                <w:highlight w:val="none"/>
                <w:lang w:val="en-US" w:eastAsia="zh-CN"/>
              </w:rPr>
              <w:t>-</w:t>
            </w:r>
            <w:r>
              <w:rPr>
                <w:color w:val="auto"/>
                <w:highlight w:val="none"/>
              </w:rPr>
              <w:t>2008）</w:t>
            </w:r>
            <w:r>
              <w:rPr>
                <w:rFonts w:hint="eastAsia"/>
                <w:color w:val="auto"/>
                <w:highlight w:val="none"/>
              </w:rPr>
              <w:t>中 4a类</w:t>
            </w:r>
            <w:r>
              <w:rPr>
                <w:rFonts w:hint="eastAsia"/>
                <w:color w:val="auto"/>
                <w:highlight w:val="none"/>
                <w:lang w:eastAsia="zh-CN"/>
              </w:rPr>
              <w:t>、</w:t>
            </w:r>
            <w:r>
              <w:rPr>
                <w:rFonts w:hint="eastAsia"/>
                <w:color w:val="auto"/>
                <w:highlight w:val="none"/>
              </w:rPr>
              <w:t>3类</w:t>
            </w:r>
            <w:r>
              <w:rPr>
                <w:rFonts w:hint="eastAsia"/>
                <w:color w:val="auto"/>
                <w:highlight w:val="none"/>
                <w:lang w:eastAsia="zh-CN"/>
              </w:rPr>
              <w:t>、</w:t>
            </w:r>
            <w:r>
              <w:rPr>
                <w:rFonts w:hint="eastAsia"/>
                <w:color w:val="auto"/>
                <w:highlight w:val="none"/>
                <w:lang w:val="en-US" w:eastAsia="zh-CN"/>
              </w:rPr>
              <w:t>2类</w:t>
            </w:r>
            <w:r>
              <w:rPr>
                <w:rFonts w:hint="eastAsia"/>
                <w:color w:val="auto"/>
                <w:highlight w:val="none"/>
              </w:rPr>
              <w:t>标准</w:t>
            </w:r>
            <w:r>
              <w:rPr>
                <w:rFonts w:hint="eastAsia"/>
                <w:color w:val="auto"/>
                <w:highlight w:val="none"/>
                <w:lang w:eastAsia="zh-CN"/>
              </w:rPr>
              <w:t>限值要求。</w:t>
            </w: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施工期噪声排放限值要求</w:t>
            </w:r>
          </w:p>
          <w:tbl>
            <w:tblPr>
              <w:tblStyle w:val="22"/>
              <w:tblW w:w="4993" w:type="pct"/>
              <w:tblInd w:w="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55"/>
              <w:gridCol w:w="1434"/>
              <w:gridCol w:w="1429"/>
              <w:gridCol w:w="371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854" w:type="pct"/>
                  <w:tcBorders>
                    <w:tl2br w:val="nil"/>
                    <w:tr2bl w:val="nil"/>
                  </w:tcBorders>
                  <w:noWrap w:val="0"/>
                  <w:vAlign w:val="center"/>
                </w:tcPr>
                <w:p>
                  <w:pPr>
                    <w:pStyle w:val="32"/>
                    <w:rPr>
                      <w:rFonts w:hint="eastAsia" w:eastAsia="宋体"/>
                      <w:color w:val="auto"/>
                      <w:highlight w:val="none"/>
                      <w:lang w:eastAsia="zh-CN"/>
                    </w:rPr>
                  </w:pPr>
                  <w:r>
                    <w:rPr>
                      <w:rFonts w:hint="eastAsia"/>
                      <w:color w:val="auto"/>
                      <w:highlight w:val="none"/>
                      <w:lang w:eastAsia="zh-CN"/>
                    </w:rPr>
                    <w:t>分类</w:t>
                  </w:r>
                </w:p>
              </w:tc>
              <w:tc>
                <w:tcPr>
                  <w:tcW w:w="903" w:type="pct"/>
                  <w:tcBorders>
                    <w:tl2br w:val="nil"/>
                    <w:tr2bl w:val="nil"/>
                  </w:tcBorders>
                  <w:noWrap w:val="0"/>
                  <w:vAlign w:val="center"/>
                </w:tcPr>
                <w:p>
                  <w:pPr>
                    <w:pStyle w:val="32"/>
                    <w:rPr>
                      <w:color w:val="auto"/>
                      <w:highlight w:val="none"/>
                    </w:rPr>
                  </w:pPr>
                  <w:r>
                    <w:rPr>
                      <w:rFonts w:hint="eastAsia"/>
                      <w:color w:val="auto"/>
                      <w:highlight w:val="none"/>
                    </w:rPr>
                    <w:t>昼间</w:t>
                  </w:r>
                </w:p>
              </w:tc>
              <w:tc>
                <w:tcPr>
                  <w:tcW w:w="900" w:type="pct"/>
                  <w:tcBorders>
                    <w:tl2br w:val="nil"/>
                    <w:tr2bl w:val="nil"/>
                  </w:tcBorders>
                  <w:noWrap w:val="0"/>
                  <w:vAlign w:val="center"/>
                </w:tcPr>
                <w:p>
                  <w:pPr>
                    <w:pStyle w:val="32"/>
                    <w:rPr>
                      <w:color w:val="auto"/>
                      <w:highlight w:val="none"/>
                    </w:rPr>
                  </w:pPr>
                  <w:r>
                    <w:rPr>
                      <w:rFonts w:hint="eastAsia"/>
                      <w:color w:val="auto"/>
                      <w:highlight w:val="none"/>
                    </w:rPr>
                    <w:t>夜间</w:t>
                  </w:r>
                </w:p>
              </w:tc>
              <w:tc>
                <w:tcPr>
                  <w:tcW w:w="2342" w:type="pct"/>
                  <w:tcBorders>
                    <w:tl2br w:val="nil"/>
                    <w:tr2bl w:val="nil"/>
                  </w:tcBorders>
                  <w:noWrap w:val="0"/>
                  <w:vAlign w:val="center"/>
                </w:tcPr>
                <w:p>
                  <w:pPr>
                    <w:pStyle w:val="32"/>
                    <w:rPr>
                      <w:color w:val="auto"/>
                      <w:highlight w:val="none"/>
                    </w:rPr>
                  </w:pPr>
                  <w:r>
                    <w:rPr>
                      <w:rFonts w:hint="eastAsia"/>
                      <w:color w:val="auto"/>
                      <w:highlight w:val="none"/>
                    </w:rPr>
                    <w:t>执行标准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854" w:type="pct"/>
                  <w:tcBorders>
                    <w:tl2br w:val="nil"/>
                    <w:tr2bl w:val="nil"/>
                  </w:tcBorders>
                  <w:noWrap w:val="0"/>
                  <w:vAlign w:val="center"/>
                </w:tcPr>
                <w:p>
                  <w:pPr>
                    <w:pStyle w:val="32"/>
                    <w:rPr>
                      <w:rFonts w:hint="default"/>
                      <w:color w:val="auto"/>
                      <w:highlight w:val="none"/>
                      <w:lang w:val="en-US" w:eastAsia="zh-CN"/>
                    </w:rPr>
                  </w:pPr>
                  <w:r>
                    <w:rPr>
                      <w:rFonts w:hint="eastAsia"/>
                      <w:color w:val="auto"/>
                      <w:highlight w:val="none"/>
                      <w:lang w:val="en-US" w:eastAsia="zh-CN"/>
                    </w:rPr>
                    <w:t>2类</w:t>
                  </w:r>
                </w:p>
              </w:tc>
              <w:tc>
                <w:tcPr>
                  <w:tcW w:w="903" w:type="pct"/>
                  <w:tcBorders>
                    <w:tl2br w:val="nil"/>
                    <w:tr2bl w:val="nil"/>
                  </w:tcBorders>
                  <w:noWrap w:val="0"/>
                  <w:vAlign w:val="center"/>
                </w:tcPr>
                <w:p>
                  <w:pPr>
                    <w:pStyle w:val="32"/>
                    <w:rPr>
                      <w:rFonts w:hint="default"/>
                      <w:color w:val="auto"/>
                      <w:highlight w:val="none"/>
                      <w:lang w:val="en-US" w:eastAsia="zh-CN"/>
                    </w:rPr>
                  </w:pPr>
                  <w:r>
                    <w:rPr>
                      <w:rFonts w:hint="eastAsia"/>
                      <w:color w:val="auto"/>
                      <w:highlight w:val="none"/>
                      <w:lang w:val="en-US" w:eastAsia="zh-CN"/>
                    </w:rPr>
                    <w:t>60</w:t>
                  </w:r>
                  <w:r>
                    <w:rPr>
                      <w:rFonts w:hint="eastAsia"/>
                      <w:color w:val="auto"/>
                      <w:highlight w:val="none"/>
                    </w:rPr>
                    <w:t>dB（A）</w:t>
                  </w:r>
                </w:p>
              </w:tc>
              <w:tc>
                <w:tcPr>
                  <w:tcW w:w="900" w:type="pct"/>
                  <w:tcBorders>
                    <w:tl2br w:val="nil"/>
                    <w:tr2bl w:val="nil"/>
                  </w:tcBorders>
                  <w:noWrap w:val="0"/>
                  <w:vAlign w:val="center"/>
                </w:tcPr>
                <w:p>
                  <w:pPr>
                    <w:pStyle w:val="32"/>
                    <w:rPr>
                      <w:rFonts w:hint="default" w:eastAsia="宋体"/>
                      <w:color w:val="auto"/>
                      <w:highlight w:val="none"/>
                      <w:lang w:val="en-US" w:eastAsia="zh-CN"/>
                    </w:rPr>
                  </w:pPr>
                  <w:r>
                    <w:rPr>
                      <w:rFonts w:hint="eastAsia"/>
                      <w:color w:val="auto"/>
                      <w:highlight w:val="none"/>
                      <w:lang w:val="en-US" w:eastAsia="zh-CN"/>
                    </w:rPr>
                    <w:t>50</w:t>
                  </w:r>
                  <w:r>
                    <w:rPr>
                      <w:rFonts w:hint="eastAsia"/>
                      <w:color w:val="auto"/>
                      <w:highlight w:val="none"/>
                    </w:rPr>
                    <w:t>dB（A）</w:t>
                  </w:r>
                </w:p>
              </w:tc>
              <w:tc>
                <w:tcPr>
                  <w:tcW w:w="2342" w:type="pct"/>
                  <w:vMerge w:val="restart"/>
                  <w:tcBorders>
                    <w:tl2br w:val="nil"/>
                    <w:tr2bl w:val="nil"/>
                  </w:tcBorders>
                  <w:noWrap w:val="0"/>
                  <w:vAlign w:val="center"/>
                </w:tcPr>
                <w:p>
                  <w:pPr>
                    <w:pStyle w:val="32"/>
                    <w:rPr>
                      <w:color w:val="auto"/>
                      <w:highlight w:val="none"/>
                    </w:rPr>
                  </w:pPr>
                  <w:r>
                    <w:rPr>
                      <w:color w:val="auto"/>
                      <w:highlight w:val="none"/>
                    </w:rPr>
                    <w:t>《声环境质量标准》（GB3096</w:t>
                  </w:r>
                  <w:r>
                    <w:rPr>
                      <w:rFonts w:hint="eastAsia"/>
                      <w:color w:val="auto"/>
                      <w:highlight w:val="none"/>
                      <w:lang w:val="en-US" w:eastAsia="zh-CN"/>
                    </w:rPr>
                    <w:t>-</w:t>
                  </w:r>
                  <w:r>
                    <w:rPr>
                      <w:color w:val="auto"/>
                      <w:highlight w:val="none"/>
                    </w:rPr>
                    <w:t>2008）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854" w:type="pct"/>
                  <w:tcBorders>
                    <w:tl2br w:val="nil"/>
                    <w:tr2bl w:val="nil"/>
                  </w:tcBorders>
                  <w:noWrap w:val="0"/>
                  <w:vAlign w:val="center"/>
                </w:tcPr>
                <w:p>
                  <w:pPr>
                    <w:pStyle w:val="32"/>
                    <w:rPr>
                      <w:rFonts w:hint="eastAsia" w:eastAsia="宋体"/>
                      <w:color w:val="auto"/>
                      <w:highlight w:val="none"/>
                      <w:lang w:eastAsia="zh-CN"/>
                    </w:rPr>
                  </w:pPr>
                  <w:r>
                    <w:rPr>
                      <w:rFonts w:hint="eastAsia"/>
                      <w:color w:val="auto"/>
                      <w:highlight w:val="none"/>
                      <w:lang w:val="en-US" w:eastAsia="zh-CN"/>
                    </w:rPr>
                    <w:t>3类</w:t>
                  </w:r>
                </w:p>
              </w:tc>
              <w:tc>
                <w:tcPr>
                  <w:tcW w:w="903" w:type="pct"/>
                  <w:tcBorders>
                    <w:tl2br w:val="nil"/>
                    <w:tr2bl w:val="nil"/>
                  </w:tcBorders>
                  <w:noWrap w:val="0"/>
                  <w:vAlign w:val="center"/>
                </w:tcPr>
                <w:p>
                  <w:pPr>
                    <w:pStyle w:val="32"/>
                    <w:rPr>
                      <w:color w:val="auto"/>
                      <w:highlight w:val="none"/>
                    </w:rPr>
                  </w:pPr>
                  <w:r>
                    <w:rPr>
                      <w:rFonts w:hint="eastAsia"/>
                      <w:color w:val="auto"/>
                      <w:highlight w:val="none"/>
                      <w:lang w:val="en-US" w:eastAsia="zh-CN"/>
                    </w:rPr>
                    <w:t>65</w:t>
                  </w:r>
                  <w:r>
                    <w:rPr>
                      <w:rFonts w:hint="eastAsia"/>
                      <w:color w:val="auto"/>
                      <w:highlight w:val="none"/>
                    </w:rPr>
                    <w:t>dB（A）</w:t>
                  </w:r>
                </w:p>
              </w:tc>
              <w:tc>
                <w:tcPr>
                  <w:tcW w:w="900" w:type="pct"/>
                  <w:tcBorders>
                    <w:tl2br w:val="nil"/>
                    <w:tr2bl w:val="nil"/>
                  </w:tcBorders>
                  <w:noWrap w:val="0"/>
                  <w:vAlign w:val="center"/>
                </w:tcPr>
                <w:p>
                  <w:pPr>
                    <w:pStyle w:val="32"/>
                    <w:rPr>
                      <w:color w:val="auto"/>
                      <w:highlight w:val="none"/>
                    </w:rPr>
                  </w:pPr>
                  <w:r>
                    <w:rPr>
                      <w:rFonts w:hint="eastAsia"/>
                      <w:color w:val="auto"/>
                      <w:highlight w:val="none"/>
                    </w:rPr>
                    <w:t>55dB（A）</w:t>
                  </w:r>
                </w:p>
              </w:tc>
              <w:tc>
                <w:tcPr>
                  <w:tcW w:w="2342" w:type="pct"/>
                  <w:vMerge w:val="continue"/>
                  <w:tcBorders>
                    <w:tl2br w:val="nil"/>
                    <w:tr2bl w:val="nil"/>
                  </w:tcBorders>
                  <w:noWrap w:val="0"/>
                  <w:vAlign w:val="center"/>
                </w:tcPr>
                <w:p>
                  <w:pPr>
                    <w:pStyle w:val="32"/>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854" w:type="pct"/>
                  <w:tcBorders>
                    <w:tl2br w:val="nil"/>
                    <w:tr2bl w:val="nil"/>
                  </w:tcBorders>
                  <w:noWrap w:val="0"/>
                  <w:vAlign w:val="center"/>
                </w:tcPr>
                <w:p>
                  <w:pPr>
                    <w:pStyle w:val="32"/>
                    <w:rPr>
                      <w:rFonts w:hint="default" w:eastAsia="宋体"/>
                      <w:color w:val="auto"/>
                      <w:highlight w:val="none"/>
                      <w:lang w:val="en-US" w:eastAsia="zh-CN"/>
                    </w:rPr>
                  </w:pPr>
                  <w:r>
                    <w:rPr>
                      <w:rFonts w:hint="eastAsia"/>
                      <w:color w:val="auto"/>
                      <w:highlight w:val="none"/>
                      <w:lang w:val="en-US" w:eastAsia="zh-CN"/>
                    </w:rPr>
                    <w:t>4a</w:t>
                  </w:r>
                </w:p>
              </w:tc>
              <w:tc>
                <w:tcPr>
                  <w:tcW w:w="903" w:type="pct"/>
                  <w:tcBorders>
                    <w:tl2br w:val="nil"/>
                    <w:tr2bl w:val="nil"/>
                  </w:tcBorders>
                  <w:noWrap w:val="0"/>
                  <w:vAlign w:val="center"/>
                </w:tcPr>
                <w:p>
                  <w:pPr>
                    <w:pStyle w:val="32"/>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rPr>
                    <w:t>70dB（A）</w:t>
                  </w:r>
                </w:p>
              </w:tc>
              <w:tc>
                <w:tcPr>
                  <w:tcW w:w="900" w:type="pct"/>
                  <w:tcBorders>
                    <w:tl2br w:val="nil"/>
                    <w:tr2bl w:val="nil"/>
                  </w:tcBorders>
                  <w:noWrap w:val="0"/>
                  <w:vAlign w:val="center"/>
                </w:tcPr>
                <w:p>
                  <w:pPr>
                    <w:pStyle w:val="32"/>
                    <w:ind w:firstLine="0" w:firstLineChars="0"/>
                    <w:rPr>
                      <w:rFonts w:hint="eastAsia" w:ascii="Times New Roman" w:hAnsi="Times New Roman" w:eastAsia="宋体"/>
                      <w:color w:val="auto"/>
                      <w:kern w:val="0"/>
                      <w:sz w:val="20"/>
                      <w:szCs w:val="20"/>
                      <w:highlight w:val="none"/>
                      <w:lang w:val="en-US" w:eastAsia="zh-CN" w:bidi="ar-SA"/>
                    </w:rPr>
                  </w:pPr>
                  <w:r>
                    <w:rPr>
                      <w:rFonts w:hint="eastAsia"/>
                      <w:color w:val="auto"/>
                      <w:highlight w:val="none"/>
                    </w:rPr>
                    <w:t>55dB（A）</w:t>
                  </w:r>
                </w:p>
              </w:tc>
              <w:tc>
                <w:tcPr>
                  <w:tcW w:w="2342" w:type="pct"/>
                  <w:vMerge w:val="continue"/>
                  <w:tcBorders>
                    <w:tl2br w:val="nil"/>
                    <w:tr2bl w:val="nil"/>
                  </w:tcBorders>
                  <w:noWrap w:val="0"/>
                  <w:vAlign w:val="center"/>
                </w:tcPr>
                <w:p>
                  <w:pPr>
                    <w:pStyle w:val="32"/>
                    <w:rPr>
                      <w:rFonts w:hint="eastAsia"/>
                      <w:color w:val="auto"/>
                      <w:highlight w:val="none"/>
                    </w:rPr>
                  </w:pPr>
                </w:p>
              </w:tc>
            </w:tr>
          </w:tbl>
          <w:p>
            <w:pPr>
              <w:pStyle w:val="33"/>
              <w:bidi w:val="0"/>
              <w:rPr>
                <w:b/>
                <w:bCs/>
                <w:color w:val="auto"/>
                <w:highlight w:val="none"/>
              </w:rPr>
            </w:pPr>
            <w:r>
              <w:rPr>
                <w:rFonts w:hint="eastAsia"/>
                <w:b/>
                <w:bCs/>
                <w:color w:val="auto"/>
                <w:highlight w:val="none"/>
                <w:lang w:val="en-US" w:eastAsia="zh-CN"/>
              </w:rPr>
              <w:t>2</w:t>
            </w:r>
            <w:r>
              <w:rPr>
                <w:b/>
                <w:bCs/>
                <w:color w:val="auto"/>
                <w:highlight w:val="none"/>
              </w:rPr>
              <w:t>、污染物排放控制标准</w:t>
            </w:r>
          </w:p>
          <w:p>
            <w:pPr>
              <w:pStyle w:val="33"/>
              <w:bidi w:val="0"/>
              <w:rPr>
                <w:color w:val="auto"/>
                <w:highlight w:val="none"/>
              </w:rPr>
            </w:pPr>
            <w:r>
              <w:rPr>
                <w:color w:val="auto"/>
                <w:highlight w:val="none"/>
              </w:rPr>
              <w:t>（1）</w:t>
            </w:r>
            <w:r>
              <w:rPr>
                <w:rFonts w:hint="eastAsia"/>
                <w:color w:val="auto"/>
                <w:highlight w:val="none"/>
              </w:rPr>
              <w:t>施工废气</w:t>
            </w:r>
          </w:p>
          <w:p>
            <w:pPr>
              <w:pStyle w:val="33"/>
              <w:bidi w:val="0"/>
              <w:rPr>
                <w:color w:val="auto"/>
                <w:highlight w:val="none"/>
              </w:rPr>
            </w:pPr>
            <w:r>
              <w:rPr>
                <w:rFonts w:hint="eastAsia"/>
                <w:color w:val="auto"/>
                <w:highlight w:val="none"/>
              </w:rPr>
              <w:t>施工期扬尘执行河北省地方标准《施工场地扬尘排放标准》（DB13/2934-2019）表1 限值要求。</w:t>
            </w: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扬尘排放浓度限值要求</w:t>
            </w:r>
          </w:p>
          <w:tbl>
            <w:tblPr>
              <w:tblStyle w:val="23"/>
              <w:tblW w:w="4999" w:type="pct"/>
              <w:tblInd w:w="1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46"/>
              <w:gridCol w:w="2648"/>
              <w:gridCol w:w="26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tcBorders>
                    <w:tl2br w:val="nil"/>
                    <w:tr2bl w:val="nil"/>
                  </w:tcBorders>
                  <w:noWrap w:val="0"/>
                  <w:vAlign w:val="center"/>
                </w:tcPr>
                <w:p>
                  <w:pPr>
                    <w:pStyle w:val="32"/>
                    <w:rPr>
                      <w:color w:val="auto"/>
                      <w:highlight w:val="none"/>
                    </w:rPr>
                  </w:pPr>
                  <w:r>
                    <w:rPr>
                      <w:rFonts w:hint="eastAsia"/>
                      <w:color w:val="auto"/>
                      <w:highlight w:val="none"/>
                    </w:rPr>
                    <w:t>控制项目</w:t>
                  </w:r>
                </w:p>
              </w:tc>
              <w:tc>
                <w:tcPr>
                  <w:tcW w:w="1666" w:type="pct"/>
                  <w:tcBorders>
                    <w:tl2br w:val="nil"/>
                    <w:tr2bl w:val="nil"/>
                  </w:tcBorders>
                  <w:noWrap w:val="0"/>
                  <w:vAlign w:val="center"/>
                </w:tcPr>
                <w:p>
                  <w:pPr>
                    <w:pStyle w:val="32"/>
                    <w:rPr>
                      <w:color w:val="auto"/>
                      <w:highlight w:val="none"/>
                    </w:rPr>
                  </w:pPr>
                  <w:r>
                    <w:rPr>
                      <w:rFonts w:hint="eastAsia"/>
                      <w:color w:val="auto"/>
                      <w:highlight w:val="none"/>
                    </w:rPr>
                    <w:t>监测点浓度限值</w:t>
                  </w:r>
                  <w:r>
                    <w:rPr>
                      <w:rFonts w:hint="eastAsia"/>
                      <w:color w:val="auto"/>
                      <w:highlight w:val="none"/>
                      <w:vertAlign w:val="superscript"/>
                    </w:rPr>
                    <w:t>a</w:t>
                  </w:r>
                  <w:r>
                    <w:rPr>
                      <w:rFonts w:hint="eastAsia"/>
                      <w:color w:val="auto"/>
                      <w:highlight w:val="none"/>
                    </w:rPr>
                    <w:t>（</w:t>
                  </w:r>
                  <w:r>
                    <w:rPr>
                      <w:color w:val="auto"/>
                      <w:highlight w:val="none"/>
                    </w:rPr>
                    <w:t>μ</w:t>
                  </w:r>
                  <w:r>
                    <w:rPr>
                      <w:rFonts w:hint="eastAsia"/>
                      <w:color w:val="auto"/>
                      <w:highlight w:val="none"/>
                    </w:rPr>
                    <w:t>g/m</w:t>
                  </w:r>
                  <w:r>
                    <w:rPr>
                      <w:rFonts w:hint="eastAsia"/>
                      <w:color w:val="auto"/>
                      <w:highlight w:val="none"/>
                      <w:vertAlign w:val="superscript"/>
                    </w:rPr>
                    <w:t>3</w:t>
                  </w:r>
                  <w:r>
                    <w:rPr>
                      <w:rFonts w:hint="eastAsia"/>
                      <w:color w:val="auto"/>
                      <w:highlight w:val="none"/>
                    </w:rPr>
                    <w:t>）</w:t>
                  </w:r>
                </w:p>
              </w:tc>
              <w:tc>
                <w:tcPr>
                  <w:tcW w:w="1668" w:type="pct"/>
                  <w:tcBorders>
                    <w:tl2br w:val="nil"/>
                    <w:tr2bl w:val="nil"/>
                  </w:tcBorders>
                  <w:noWrap w:val="0"/>
                  <w:vAlign w:val="center"/>
                </w:tcPr>
                <w:p>
                  <w:pPr>
                    <w:pStyle w:val="32"/>
                    <w:rPr>
                      <w:color w:val="auto"/>
                      <w:highlight w:val="none"/>
                    </w:rPr>
                  </w:pPr>
                  <w:r>
                    <w:rPr>
                      <w:rFonts w:hint="eastAsia"/>
                      <w:color w:val="auto"/>
                      <w:highlight w:val="none"/>
                    </w:rPr>
                    <w:t>达标判定依据（次/天）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5" w:type="pct"/>
                  <w:tcBorders>
                    <w:tl2br w:val="nil"/>
                    <w:tr2bl w:val="nil"/>
                  </w:tcBorders>
                  <w:noWrap w:val="0"/>
                  <w:vAlign w:val="center"/>
                </w:tcPr>
                <w:p>
                  <w:pPr>
                    <w:pStyle w:val="32"/>
                    <w:rPr>
                      <w:color w:val="auto"/>
                      <w:highlight w:val="none"/>
                    </w:rPr>
                  </w:pPr>
                  <w:r>
                    <w:rPr>
                      <w:rFonts w:hint="eastAsia"/>
                      <w:color w:val="auto"/>
                      <w:highlight w:val="none"/>
                    </w:rPr>
                    <w:t>PM</w:t>
                  </w:r>
                  <w:r>
                    <w:rPr>
                      <w:rFonts w:hint="eastAsia"/>
                      <w:color w:val="auto"/>
                      <w:highlight w:val="none"/>
                      <w:vertAlign w:val="subscript"/>
                    </w:rPr>
                    <w:t>10</w:t>
                  </w:r>
                </w:p>
              </w:tc>
              <w:tc>
                <w:tcPr>
                  <w:tcW w:w="1666" w:type="pct"/>
                  <w:tcBorders>
                    <w:tl2br w:val="nil"/>
                    <w:tr2bl w:val="nil"/>
                  </w:tcBorders>
                  <w:noWrap w:val="0"/>
                  <w:vAlign w:val="center"/>
                </w:tcPr>
                <w:p>
                  <w:pPr>
                    <w:pStyle w:val="32"/>
                    <w:rPr>
                      <w:color w:val="auto"/>
                      <w:highlight w:val="none"/>
                    </w:rPr>
                  </w:pPr>
                  <w:r>
                    <w:rPr>
                      <w:rFonts w:hint="eastAsia"/>
                      <w:color w:val="auto"/>
                      <w:highlight w:val="none"/>
                    </w:rPr>
                    <w:t>80</w:t>
                  </w:r>
                </w:p>
              </w:tc>
              <w:tc>
                <w:tcPr>
                  <w:tcW w:w="1668" w:type="pct"/>
                  <w:tcBorders>
                    <w:tl2br w:val="nil"/>
                    <w:tr2bl w:val="nil"/>
                  </w:tcBorders>
                  <w:noWrap w:val="0"/>
                  <w:vAlign w:val="center"/>
                </w:tcPr>
                <w:p>
                  <w:pPr>
                    <w:pStyle w:val="32"/>
                    <w:rPr>
                      <w:color w:val="auto"/>
                      <w:highlight w:val="none"/>
                    </w:rPr>
                  </w:pPr>
                  <w:r>
                    <w:rPr>
                      <w:rFonts w:hint="eastAsia"/>
                      <w:color w:val="auto"/>
                      <w:highlight w:val="none"/>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gridSpan w:val="3"/>
                  <w:tcBorders>
                    <w:tl2br w:val="nil"/>
                    <w:tr2bl w:val="nil"/>
                  </w:tcBorders>
                  <w:noWrap w:val="0"/>
                  <w:vAlign w:val="center"/>
                </w:tcPr>
                <w:p>
                  <w:pPr>
                    <w:pStyle w:val="32"/>
                    <w:jc w:val="left"/>
                    <w:rPr>
                      <w:color w:val="auto"/>
                      <w:highlight w:val="none"/>
                    </w:rPr>
                  </w:pPr>
                  <w:r>
                    <w:rPr>
                      <w:rFonts w:hint="eastAsia"/>
                      <w:color w:val="auto"/>
                      <w:highlight w:val="none"/>
                    </w:rPr>
                    <w:t>a：监测点PM</w:t>
                  </w:r>
                  <w:r>
                    <w:rPr>
                      <w:rFonts w:hint="eastAsia"/>
                      <w:color w:val="auto"/>
                      <w:highlight w:val="none"/>
                      <w:vertAlign w:val="subscript"/>
                    </w:rPr>
                    <w:t>10</w:t>
                  </w:r>
                  <w:r>
                    <w:rPr>
                      <w:rFonts w:hint="eastAsia"/>
                      <w:color w:val="auto"/>
                      <w:highlight w:val="none"/>
                    </w:rPr>
                    <w:t>小时平均浓度实测值与同时段所属县（市、区）PM</w:t>
                  </w:r>
                  <w:r>
                    <w:rPr>
                      <w:rFonts w:hint="eastAsia"/>
                      <w:color w:val="auto"/>
                      <w:highlight w:val="none"/>
                      <w:vertAlign w:val="subscript"/>
                    </w:rPr>
                    <w:t>10</w:t>
                  </w:r>
                  <w:r>
                    <w:rPr>
                      <w:rFonts w:hint="eastAsia"/>
                      <w:color w:val="auto"/>
                      <w:highlight w:val="none"/>
                    </w:rPr>
                    <w:t>小时平均浓度的差值。当县（市、区）PM</w:t>
                  </w:r>
                  <w:r>
                    <w:rPr>
                      <w:rFonts w:hint="eastAsia"/>
                      <w:color w:val="auto"/>
                      <w:highlight w:val="none"/>
                      <w:vertAlign w:val="subscript"/>
                    </w:rPr>
                    <w:t>10</w:t>
                  </w:r>
                  <w:r>
                    <w:rPr>
                      <w:rFonts w:hint="eastAsia"/>
                      <w:color w:val="auto"/>
                      <w:highlight w:val="none"/>
                    </w:rPr>
                    <w:t>小时平均浓度值大于150</w:t>
                  </w:r>
                  <w:r>
                    <w:rPr>
                      <w:color w:val="auto"/>
                      <w:highlight w:val="none"/>
                    </w:rPr>
                    <w:t>μ</w:t>
                  </w:r>
                  <w:r>
                    <w:rPr>
                      <w:rFonts w:hint="eastAsia"/>
                      <w:color w:val="auto"/>
                      <w:highlight w:val="none"/>
                    </w:rPr>
                    <w:t>g/m</w:t>
                  </w:r>
                  <w:r>
                    <w:rPr>
                      <w:rFonts w:hint="eastAsia"/>
                      <w:color w:val="auto"/>
                      <w:highlight w:val="none"/>
                      <w:vertAlign w:val="superscript"/>
                    </w:rPr>
                    <w:t>3</w:t>
                  </w:r>
                  <w:r>
                    <w:rPr>
                      <w:rFonts w:hint="eastAsia"/>
                      <w:color w:val="auto"/>
                      <w:highlight w:val="none"/>
                    </w:rPr>
                    <w:t>时，以150</w:t>
                  </w:r>
                  <w:r>
                    <w:rPr>
                      <w:color w:val="auto"/>
                      <w:highlight w:val="none"/>
                    </w:rPr>
                    <w:t>μ</w:t>
                  </w:r>
                  <w:r>
                    <w:rPr>
                      <w:rFonts w:hint="eastAsia"/>
                      <w:color w:val="auto"/>
                      <w:highlight w:val="none"/>
                    </w:rPr>
                    <w:t>g/m</w:t>
                  </w:r>
                  <w:r>
                    <w:rPr>
                      <w:rFonts w:hint="eastAsia"/>
                      <w:color w:val="auto"/>
                      <w:highlight w:val="none"/>
                      <w:vertAlign w:val="superscript"/>
                    </w:rPr>
                    <w:t>3</w:t>
                  </w:r>
                  <w:r>
                    <w:rPr>
                      <w:rFonts w:hint="eastAsia"/>
                      <w:color w:val="auto"/>
                      <w:highlight w:val="none"/>
                    </w:rPr>
                    <w:t>计</w:t>
                  </w:r>
                </w:p>
              </w:tc>
            </w:tr>
          </w:tbl>
          <w:p>
            <w:pPr>
              <w:pStyle w:val="33"/>
              <w:bidi w:val="0"/>
              <w:rPr>
                <w:color w:val="auto"/>
                <w:highlight w:val="none"/>
              </w:rPr>
            </w:pPr>
            <w:r>
              <w:rPr>
                <w:color w:val="auto"/>
                <w:highlight w:val="none"/>
              </w:rPr>
              <w:t>施工期沥青烟</w:t>
            </w:r>
            <w:r>
              <w:rPr>
                <w:rFonts w:hint="eastAsia"/>
                <w:color w:val="auto"/>
                <w:highlight w:val="none"/>
                <w:lang w:eastAsia="zh-CN"/>
              </w:rPr>
              <w:t>、</w:t>
            </w:r>
            <w:r>
              <w:rPr>
                <w:color w:val="auto"/>
                <w:highlight w:val="none"/>
              </w:rPr>
              <w:t>苯并[a]</w:t>
            </w:r>
            <w:r>
              <w:rPr>
                <w:rFonts w:hint="eastAsia"/>
                <w:color w:val="auto"/>
                <w:highlight w:val="none"/>
                <w:lang w:eastAsia="zh-CN"/>
              </w:rPr>
              <w:t>、</w:t>
            </w:r>
            <w:r>
              <w:rPr>
                <w:rFonts w:hint="eastAsia"/>
                <w:color w:val="auto"/>
                <w:highlight w:val="none"/>
              </w:rPr>
              <w:t>焊接</w:t>
            </w:r>
            <w:r>
              <w:rPr>
                <w:rFonts w:hint="eastAsia"/>
                <w:color w:val="auto"/>
                <w:highlight w:val="none"/>
                <w:lang w:eastAsia="zh-CN"/>
              </w:rPr>
              <w:t>烟尘</w:t>
            </w:r>
            <w:r>
              <w:rPr>
                <w:color w:val="auto"/>
                <w:highlight w:val="none"/>
              </w:rPr>
              <w:t>执行《大气污染物综合排放标准》</w:t>
            </w:r>
            <w:r>
              <w:rPr>
                <w:rFonts w:hint="eastAsia"/>
                <w:color w:val="auto"/>
                <w:highlight w:val="none"/>
                <w:lang w:eastAsia="zh-CN"/>
              </w:rPr>
              <w:t>表</w:t>
            </w:r>
            <w:r>
              <w:rPr>
                <w:rFonts w:hint="eastAsia"/>
                <w:color w:val="auto"/>
                <w:highlight w:val="none"/>
                <w:lang w:val="en-US" w:eastAsia="zh-CN"/>
              </w:rPr>
              <w:t>2中相关限值要求</w:t>
            </w:r>
            <w:r>
              <w:rPr>
                <w:color w:val="auto"/>
                <w:highlight w:val="none"/>
              </w:rPr>
              <w:t>。</w:t>
            </w:r>
          </w:p>
          <w:p>
            <w:pPr>
              <w:pStyle w:val="33"/>
              <w:bidi w:val="0"/>
              <w:rPr>
                <w:color w:val="auto"/>
                <w:highlight w:val="none"/>
              </w:rPr>
            </w:pPr>
          </w:p>
          <w:p>
            <w:pPr>
              <w:pStyle w:val="33"/>
              <w:bidi w:val="0"/>
              <w:rPr>
                <w:color w:val="auto"/>
                <w:highlight w:val="none"/>
              </w:rPr>
            </w:pP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大气污染物排放标准</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545"/>
              <w:gridCol w:w="1035"/>
              <w:gridCol w:w="987"/>
              <w:gridCol w:w="3363"/>
              <w:gridCol w:w="20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43" w:type="pct"/>
                  <w:tcBorders>
                    <w:tl2br w:val="nil"/>
                    <w:tr2bl w:val="nil"/>
                  </w:tcBorders>
                  <w:noWrap w:val="0"/>
                  <w:vAlign w:val="center"/>
                </w:tcPr>
                <w:p>
                  <w:pPr>
                    <w:pStyle w:val="32"/>
                    <w:rPr>
                      <w:color w:val="auto"/>
                      <w:highlight w:val="none"/>
                    </w:rPr>
                  </w:pPr>
                  <w:r>
                    <w:rPr>
                      <w:color w:val="auto"/>
                      <w:highlight w:val="none"/>
                    </w:rPr>
                    <w:t>序号</w:t>
                  </w:r>
                </w:p>
              </w:tc>
              <w:tc>
                <w:tcPr>
                  <w:tcW w:w="651" w:type="pct"/>
                  <w:tcBorders>
                    <w:tl2br w:val="nil"/>
                    <w:tr2bl w:val="nil"/>
                  </w:tcBorders>
                  <w:noWrap w:val="0"/>
                  <w:vAlign w:val="center"/>
                </w:tcPr>
                <w:p>
                  <w:pPr>
                    <w:pStyle w:val="32"/>
                    <w:rPr>
                      <w:color w:val="auto"/>
                      <w:highlight w:val="none"/>
                    </w:rPr>
                  </w:pPr>
                  <w:r>
                    <w:rPr>
                      <w:color w:val="auto"/>
                      <w:highlight w:val="none"/>
                    </w:rPr>
                    <w:t>控制项目</w:t>
                  </w:r>
                </w:p>
              </w:tc>
              <w:tc>
                <w:tcPr>
                  <w:tcW w:w="621" w:type="pct"/>
                  <w:tcBorders>
                    <w:tl2br w:val="nil"/>
                    <w:tr2bl w:val="nil"/>
                  </w:tcBorders>
                  <w:noWrap w:val="0"/>
                  <w:vAlign w:val="center"/>
                </w:tcPr>
                <w:p>
                  <w:pPr>
                    <w:pStyle w:val="32"/>
                    <w:rPr>
                      <w:rFonts w:hint="eastAsia" w:eastAsia="宋体"/>
                      <w:color w:val="auto"/>
                      <w:highlight w:val="none"/>
                      <w:lang w:eastAsia="zh-CN"/>
                    </w:rPr>
                  </w:pPr>
                  <w:r>
                    <w:rPr>
                      <w:rFonts w:hint="eastAsia"/>
                      <w:color w:val="auto"/>
                      <w:highlight w:val="none"/>
                      <w:lang w:eastAsia="zh-CN"/>
                    </w:rPr>
                    <w:t>排放方式</w:t>
                  </w:r>
                </w:p>
              </w:tc>
              <w:tc>
                <w:tcPr>
                  <w:tcW w:w="2115" w:type="pct"/>
                  <w:tcBorders>
                    <w:tl2br w:val="nil"/>
                    <w:tr2bl w:val="nil"/>
                  </w:tcBorders>
                  <w:noWrap w:val="0"/>
                  <w:vAlign w:val="center"/>
                </w:tcPr>
                <w:p>
                  <w:pPr>
                    <w:pStyle w:val="32"/>
                    <w:rPr>
                      <w:color w:val="auto"/>
                      <w:highlight w:val="none"/>
                    </w:rPr>
                  </w:pPr>
                  <w:r>
                    <w:rPr>
                      <w:rFonts w:hint="eastAsia"/>
                      <w:color w:val="auto"/>
                      <w:highlight w:val="none"/>
                    </w:rPr>
                    <w:t>排放量/浓度值</w:t>
                  </w:r>
                </w:p>
              </w:tc>
              <w:tc>
                <w:tcPr>
                  <w:tcW w:w="1267" w:type="pct"/>
                  <w:tcBorders>
                    <w:tl2br w:val="nil"/>
                    <w:tr2bl w:val="nil"/>
                  </w:tcBorders>
                  <w:noWrap w:val="0"/>
                  <w:vAlign w:val="center"/>
                </w:tcPr>
                <w:p>
                  <w:pPr>
                    <w:pStyle w:val="32"/>
                    <w:rPr>
                      <w:color w:val="auto"/>
                      <w:highlight w:val="none"/>
                    </w:rPr>
                  </w:pPr>
                  <w:r>
                    <w:rPr>
                      <w:rFonts w:hint="eastAsia"/>
                      <w:color w:val="auto"/>
                      <w:highlight w:val="none"/>
                    </w:rPr>
                    <w:t>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43" w:type="pct"/>
                  <w:tcBorders>
                    <w:tl2br w:val="nil"/>
                    <w:tr2bl w:val="nil"/>
                  </w:tcBorders>
                  <w:noWrap w:val="0"/>
                  <w:vAlign w:val="center"/>
                </w:tcPr>
                <w:p>
                  <w:pPr>
                    <w:pStyle w:val="32"/>
                    <w:rPr>
                      <w:rFonts w:hint="eastAsia" w:eastAsia="宋体"/>
                      <w:color w:val="auto"/>
                      <w:highlight w:val="none"/>
                      <w:lang w:eastAsia="zh-CN"/>
                    </w:rPr>
                  </w:pPr>
                  <w:r>
                    <w:rPr>
                      <w:rFonts w:hint="eastAsia"/>
                      <w:color w:val="auto"/>
                      <w:highlight w:val="none"/>
                      <w:lang w:val="en-US" w:eastAsia="zh-CN"/>
                    </w:rPr>
                    <w:t>1</w:t>
                  </w:r>
                </w:p>
              </w:tc>
              <w:tc>
                <w:tcPr>
                  <w:tcW w:w="651" w:type="pct"/>
                  <w:tcBorders>
                    <w:tl2br w:val="nil"/>
                    <w:tr2bl w:val="nil"/>
                  </w:tcBorders>
                  <w:noWrap w:val="0"/>
                  <w:vAlign w:val="center"/>
                </w:tcPr>
                <w:p>
                  <w:pPr>
                    <w:pStyle w:val="32"/>
                    <w:rPr>
                      <w:rFonts w:hint="eastAsia" w:eastAsia="宋体"/>
                      <w:color w:val="auto"/>
                      <w:highlight w:val="none"/>
                      <w:lang w:eastAsia="zh-CN"/>
                    </w:rPr>
                  </w:pPr>
                  <w:r>
                    <w:rPr>
                      <w:rFonts w:hint="eastAsia"/>
                      <w:color w:val="auto"/>
                      <w:highlight w:val="none"/>
                      <w:lang w:eastAsia="zh-CN"/>
                    </w:rPr>
                    <w:t>沥青烟</w:t>
                  </w:r>
                </w:p>
              </w:tc>
              <w:tc>
                <w:tcPr>
                  <w:tcW w:w="621" w:type="pct"/>
                  <w:vMerge w:val="restart"/>
                  <w:tcBorders>
                    <w:tl2br w:val="nil"/>
                    <w:tr2bl w:val="nil"/>
                  </w:tcBorders>
                  <w:noWrap w:val="0"/>
                  <w:vAlign w:val="center"/>
                </w:tcPr>
                <w:p>
                  <w:pPr>
                    <w:pStyle w:val="32"/>
                    <w:rPr>
                      <w:color w:val="auto"/>
                      <w:highlight w:val="none"/>
                    </w:rPr>
                  </w:pPr>
                  <w:r>
                    <w:rPr>
                      <w:rFonts w:hint="eastAsia"/>
                      <w:color w:val="auto"/>
                      <w:highlight w:val="none"/>
                    </w:rPr>
                    <w:t>无组织</w:t>
                  </w:r>
                </w:p>
              </w:tc>
              <w:tc>
                <w:tcPr>
                  <w:tcW w:w="2115" w:type="pct"/>
                  <w:tcBorders>
                    <w:tl2br w:val="nil"/>
                    <w:tr2bl w:val="nil"/>
                  </w:tcBorders>
                  <w:noWrap w:val="0"/>
                  <w:vAlign w:val="center"/>
                </w:tcPr>
                <w:p>
                  <w:pPr>
                    <w:pStyle w:val="32"/>
                    <w:rPr>
                      <w:color w:val="auto"/>
                      <w:highlight w:val="none"/>
                    </w:rPr>
                  </w:pPr>
                  <w:r>
                    <w:rPr>
                      <w:color w:val="auto"/>
                      <w:highlight w:val="none"/>
                    </w:rPr>
                    <w:t>生产设备不得有明显的无组织排放存在</w:t>
                  </w:r>
                </w:p>
              </w:tc>
              <w:tc>
                <w:tcPr>
                  <w:tcW w:w="1267" w:type="pct"/>
                  <w:vMerge w:val="restart"/>
                  <w:tcBorders>
                    <w:tl2br w:val="nil"/>
                    <w:tr2bl w:val="nil"/>
                  </w:tcBorders>
                  <w:noWrap w:val="0"/>
                  <w:vAlign w:val="center"/>
                </w:tcPr>
                <w:p>
                  <w:pPr>
                    <w:pStyle w:val="32"/>
                    <w:rPr>
                      <w:color w:val="auto"/>
                      <w:highlight w:val="none"/>
                    </w:rPr>
                  </w:pPr>
                  <w:r>
                    <w:rPr>
                      <w:color w:val="auto"/>
                      <w:highlight w:val="none"/>
                    </w:rPr>
                    <w:t>《大气污染物综合排放标准》（GB16297</w:t>
                  </w:r>
                  <w:r>
                    <w:rPr>
                      <w:rFonts w:hint="eastAsia"/>
                      <w:color w:val="auto"/>
                      <w:highlight w:val="none"/>
                      <w:lang w:val="en-US" w:eastAsia="zh-CN"/>
                    </w:rPr>
                    <w:t>-</w:t>
                  </w:r>
                  <w:r>
                    <w:rPr>
                      <w:color w:val="auto"/>
                      <w:highlight w:val="none"/>
                    </w:rPr>
                    <w:t>1996）表2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43" w:type="pct"/>
                  <w:tcBorders>
                    <w:tl2br w:val="nil"/>
                    <w:tr2bl w:val="nil"/>
                  </w:tcBorders>
                  <w:noWrap w:val="0"/>
                  <w:vAlign w:val="center"/>
                </w:tcPr>
                <w:p>
                  <w:pPr>
                    <w:pStyle w:val="32"/>
                    <w:rPr>
                      <w:rFonts w:hint="eastAsia" w:eastAsia="宋体"/>
                      <w:color w:val="auto"/>
                      <w:highlight w:val="none"/>
                      <w:lang w:eastAsia="zh-CN"/>
                    </w:rPr>
                  </w:pPr>
                  <w:r>
                    <w:rPr>
                      <w:rFonts w:hint="eastAsia"/>
                      <w:color w:val="auto"/>
                      <w:highlight w:val="none"/>
                      <w:lang w:val="en-US" w:eastAsia="zh-CN"/>
                    </w:rPr>
                    <w:t>2</w:t>
                  </w:r>
                </w:p>
              </w:tc>
              <w:tc>
                <w:tcPr>
                  <w:tcW w:w="651" w:type="pct"/>
                  <w:tcBorders>
                    <w:tl2br w:val="nil"/>
                    <w:tr2bl w:val="nil"/>
                  </w:tcBorders>
                  <w:noWrap w:val="0"/>
                  <w:vAlign w:val="center"/>
                </w:tcPr>
                <w:p>
                  <w:pPr>
                    <w:pStyle w:val="32"/>
                    <w:rPr>
                      <w:color w:val="auto"/>
                      <w:highlight w:val="none"/>
                    </w:rPr>
                  </w:pPr>
                  <w:r>
                    <w:rPr>
                      <w:color w:val="auto"/>
                      <w:highlight w:val="none"/>
                    </w:rPr>
                    <w:t>苯并[a]芘</w:t>
                  </w:r>
                </w:p>
              </w:tc>
              <w:tc>
                <w:tcPr>
                  <w:tcW w:w="621" w:type="pct"/>
                  <w:vMerge w:val="continue"/>
                  <w:tcBorders>
                    <w:tl2br w:val="nil"/>
                    <w:tr2bl w:val="nil"/>
                  </w:tcBorders>
                  <w:noWrap w:val="0"/>
                  <w:vAlign w:val="center"/>
                </w:tcPr>
                <w:p>
                  <w:pPr>
                    <w:pStyle w:val="32"/>
                    <w:rPr>
                      <w:color w:val="auto"/>
                      <w:highlight w:val="none"/>
                    </w:rPr>
                  </w:pPr>
                </w:p>
              </w:tc>
              <w:tc>
                <w:tcPr>
                  <w:tcW w:w="2115" w:type="pct"/>
                  <w:tcBorders>
                    <w:tl2br w:val="nil"/>
                    <w:tr2bl w:val="nil"/>
                  </w:tcBorders>
                  <w:noWrap w:val="0"/>
                  <w:vAlign w:val="center"/>
                </w:tcPr>
                <w:p>
                  <w:pPr>
                    <w:pStyle w:val="32"/>
                    <w:rPr>
                      <w:color w:val="auto"/>
                      <w:highlight w:val="none"/>
                    </w:rPr>
                  </w:pPr>
                  <w:r>
                    <w:rPr>
                      <w:color w:val="auto"/>
                      <w:highlight w:val="none"/>
                    </w:rPr>
                    <w:t>0.008μg/m</w:t>
                  </w:r>
                  <w:r>
                    <w:rPr>
                      <w:color w:val="auto"/>
                      <w:highlight w:val="none"/>
                      <w:vertAlign w:val="superscript"/>
                    </w:rPr>
                    <w:t>3</w:t>
                  </w:r>
                </w:p>
              </w:tc>
              <w:tc>
                <w:tcPr>
                  <w:tcW w:w="1267" w:type="pct"/>
                  <w:vMerge w:val="continue"/>
                  <w:tcBorders>
                    <w:tl2br w:val="nil"/>
                    <w:tr2bl w:val="nil"/>
                  </w:tcBorders>
                  <w:noWrap w:val="0"/>
                  <w:vAlign w:val="center"/>
                </w:tcPr>
                <w:p>
                  <w:pPr>
                    <w:pStyle w:val="32"/>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343" w:type="pct"/>
                  <w:tcBorders>
                    <w:tl2br w:val="nil"/>
                    <w:tr2bl w:val="nil"/>
                  </w:tcBorders>
                  <w:noWrap w:val="0"/>
                  <w:vAlign w:val="center"/>
                </w:tcPr>
                <w:p>
                  <w:pPr>
                    <w:pStyle w:val="32"/>
                    <w:rPr>
                      <w:rFonts w:hint="eastAsia" w:eastAsia="宋体"/>
                      <w:color w:val="auto"/>
                      <w:highlight w:val="none"/>
                      <w:lang w:eastAsia="zh-CN"/>
                    </w:rPr>
                  </w:pPr>
                  <w:r>
                    <w:rPr>
                      <w:rFonts w:hint="eastAsia"/>
                      <w:color w:val="auto"/>
                      <w:highlight w:val="none"/>
                      <w:lang w:val="en-US" w:eastAsia="zh-CN"/>
                    </w:rPr>
                    <w:t>3</w:t>
                  </w:r>
                </w:p>
              </w:tc>
              <w:tc>
                <w:tcPr>
                  <w:tcW w:w="651" w:type="pct"/>
                  <w:tcBorders>
                    <w:tl2br w:val="nil"/>
                    <w:tr2bl w:val="nil"/>
                  </w:tcBorders>
                  <w:noWrap w:val="0"/>
                  <w:vAlign w:val="center"/>
                </w:tcPr>
                <w:p>
                  <w:pPr>
                    <w:pStyle w:val="32"/>
                    <w:rPr>
                      <w:color w:val="auto"/>
                      <w:highlight w:val="none"/>
                    </w:rPr>
                  </w:pPr>
                  <w:r>
                    <w:rPr>
                      <w:rFonts w:hint="eastAsia"/>
                      <w:color w:val="auto"/>
                      <w:highlight w:val="none"/>
                    </w:rPr>
                    <w:t>焊接</w:t>
                  </w:r>
                  <w:r>
                    <w:rPr>
                      <w:rFonts w:hint="eastAsia"/>
                      <w:color w:val="auto"/>
                      <w:highlight w:val="none"/>
                      <w:lang w:eastAsia="zh-CN"/>
                    </w:rPr>
                    <w:t>烟尘</w:t>
                  </w:r>
                </w:p>
              </w:tc>
              <w:tc>
                <w:tcPr>
                  <w:tcW w:w="621" w:type="pct"/>
                  <w:vMerge w:val="continue"/>
                  <w:tcBorders>
                    <w:tl2br w:val="nil"/>
                    <w:tr2bl w:val="nil"/>
                  </w:tcBorders>
                  <w:noWrap w:val="0"/>
                  <w:vAlign w:val="center"/>
                </w:tcPr>
                <w:p>
                  <w:pPr>
                    <w:pStyle w:val="32"/>
                    <w:rPr>
                      <w:rFonts w:hint="eastAsia"/>
                      <w:color w:val="auto"/>
                      <w:highlight w:val="none"/>
                    </w:rPr>
                  </w:pPr>
                </w:p>
              </w:tc>
              <w:tc>
                <w:tcPr>
                  <w:tcW w:w="2115" w:type="pct"/>
                  <w:tcBorders>
                    <w:tl2br w:val="nil"/>
                    <w:tr2bl w:val="nil"/>
                  </w:tcBorders>
                  <w:noWrap w:val="0"/>
                  <w:vAlign w:val="center"/>
                </w:tcPr>
                <w:p>
                  <w:pPr>
                    <w:pStyle w:val="32"/>
                    <w:rPr>
                      <w:color w:val="auto"/>
                      <w:highlight w:val="none"/>
                    </w:rPr>
                  </w:pPr>
                  <w:r>
                    <w:rPr>
                      <w:rFonts w:hint="eastAsia"/>
                      <w:color w:val="auto"/>
                      <w:highlight w:val="none"/>
                    </w:rPr>
                    <w:t>1.0mg/m</w:t>
                  </w:r>
                  <w:r>
                    <w:rPr>
                      <w:rFonts w:hint="eastAsia"/>
                      <w:color w:val="auto"/>
                      <w:highlight w:val="none"/>
                      <w:vertAlign w:val="superscript"/>
                    </w:rPr>
                    <w:t>3</w:t>
                  </w:r>
                </w:p>
              </w:tc>
              <w:tc>
                <w:tcPr>
                  <w:tcW w:w="1267" w:type="pct"/>
                  <w:vMerge w:val="continue"/>
                  <w:tcBorders>
                    <w:tl2br w:val="nil"/>
                    <w:tr2bl w:val="nil"/>
                  </w:tcBorders>
                  <w:noWrap w:val="0"/>
                  <w:vAlign w:val="center"/>
                </w:tcPr>
                <w:p>
                  <w:pPr>
                    <w:pStyle w:val="32"/>
                    <w:rPr>
                      <w:color w:val="auto"/>
                      <w:highlight w:val="none"/>
                    </w:rPr>
                  </w:pPr>
                </w:p>
              </w:tc>
            </w:tr>
          </w:tbl>
          <w:p>
            <w:pPr>
              <w:pStyle w:val="33"/>
              <w:bidi w:val="0"/>
              <w:rPr>
                <w:color w:val="auto"/>
                <w:highlight w:val="none"/>
              </w:rPr>
            </w:pPr>
            <w:r>
              <w:rPr>
                <w:color w:val="auto"/>
                <w:highlight w:val="none"/>
              </w:rPr>
              <w:t>（</w:t>
            </w:r>
            <w:r>
              <w:rPr>
                <w:rFonts w:hint="eastAsia"/>
                <w:color w:val="auto"/>
                <w:highlight w:val="none"/>
                <w:lang w:val="en-US" w:eastAsia="zh-CN"/>
              </w:rPr>
              <w:t>2</w:t>
            </w:r>
            <w:r>
              <w:rPr>
                <w:color w:val="auto"/>
                <w:highlight w:val="none"/>
              </w:rPr>
              <w:t>）</w:t>
            </w:r>
            <w:r>
              <w:rPr>
                <w:rFonts w:hint="eastAsia"/>
                <w:color w:val="auto"/>
                <w:highlight w:val="none"/>
              </w:rPr>
              <w:t>施工噪声</w:t>
            </w:r>
          </w:p>
          <w:p>
            <w:pPr>
              <w:pStyle w:val="33"/>
              <w:bidi w:val="0"/>
              <w:rPr>
                <w:color w:val="auto"/>
                <w:highlight w:val="none"/>
              </w:rPr>
            </w:pPr>
            <w:r>
              <w:rPr>
                <w:rFonts w:hint="eastAsia"/>
                <w:color w:val="auto"/>
                <w:highlight w:val="none"/>
              </w:rPr>
              <w:t>施工期噪声执行《建筑施工场界环境噪声排放标准》(GB12523-2011)中噪声标准限值要求。</w:t>
            </w:r>
          </w:p>
          <w:p>
            <w:pPr>
              <w:pStyle w:val="36"/>
              <w:numPr>
                <w:ilvl w:val="0"/>
                <w:numId w:val="11"/>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施工期噪声排放限值要求</w:t>
            </w:r>
          </w:p>
          <w:tbl>
            <w:tblPr>
              <w:tblStyle w:val="22"/>
              <w:tblW w:w="4997" w:type="pct"/>
              <w:tblInd w:w="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82"/>
              <w:gridCol w:w="1075"/>
              <w:gridCol w:w="1086"/>
              <w:gridCol w:w="47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681" w:type="pct"/>
                  <w:tcBorders>
                    <w:tl2br w:val="nil"/>
                    <w:tr2bl w:val="nil"/>
                  </w:tcBorders>
                  <w:noWrap w:val="0"/>
                  <w:vAlign w:val="center"/>
                </w:tcPr>
                <w:p>
                  <w:pPr>
                    <w:pStyle w:val="32"/>
                    <w:rPr>
                      <w:color w:val="auto"/>
                      <w:highlight w:val="none"/>
                    </w:rPr>
                  </w:pPr>
                  <w:r>
                    <w:rPr>
                      <w:rFonts w:hint="eastAsia"/>
                      <w:color w:val="auto"/>
                      <w:highlight w:val="none"/>
                    </w:rPr>
                    <w:t>污染源</w:t>
                  </w:r>
                </w:p>
              </w:tc>
              <w:tc>
                <w:tcPr>
                  <w:tcW w:w="676" w:type="pct"/>
                  <w:tcBorders>
                    <w:tl2br w:val="nil"/>
                    <w:tr2bl w:val="nil"/>
                  </w:tcBorders>
                  <w:noWrap w:val="0"/>
                  <w:vAlign w:val="center"/>
                </w:tcPr>
                <w:p>
                  <w:pPr>
                    <w:pStyle w:val="32"/>
                    <w:rPr>
                      <w:color w:val="auto"/>
                      <w:highlight w:val="none"/>
                    </w:rPr>
                  </w:pPr>
                  <w:r>
                    <w:rPr>
                      <w:rFonts w:hint="eastAsia"/>
                      <w:color w:val="auto"/>
                      <w:highlight w:val="none"/>
                    </w:rPr>
                    <w:t>昼间</w:t>
                  </w:r>
                </w:p>
              </w:tc>
              <w:tc>
                <w:tcPr>
                  <w:tcW w:w="683" w:type="pct"/>
                  <w:tcBorders>
                    <w:tl2br w:val="nil"/>
                    <w:tr2bl w:val="nil"/>
                  </w:tcBorders>
                  <w:noWrap w:val="0"/>
                  <w:vAlign w:val="center"/>
                </w:tcPr>
                <w:p>
                  <w:pPr>
                    <w:pStyle w:val="32"/>
                    <w:rPr>
                      <w:color w:val="auto"/>
                      <w:highlight w:val="none"/>
                    </w:rPr>
                  </w:pPr>
                  <w:r>
                    <w:rPr>
                      <w:rFonts w:hint="eastAsia"/>
                      <w:color w:val="auto"/>
                      <w:highlight w:val="none"/>
                    </w:rPr>
                    <w:t>夜间</w:t>
                  </w:r>
                </w:p>
              </w:tc>
              <w:tc>
                <w:tcPr>
                  <w:tcW w:w="2957" w:type="pct"/>
                  <w:tcBorders>
                    <w:tl2br w:val="nil"/>
                    <w:tr2bl w:val="nil"/>
                  </w:tcBorders>
                  <w:noWrap w:val="0"/>
                  <w:vAlign w:val="center"/>
                </w:tcPr>
                <w:p>
                  <w:pPr>
                    <w:pStyle w:val="32"/>
                    <w:rPr>
                      <w:color w:val="auto"/>
                      <w:highlight w:val="none"/>
                    </w:rPr>
                  </w:pPr>
                  <w:r>
                    <w:rPr>
                      <w:rFonts w:hint="eastAsia"/>
                      <w:color w:val="auto"/>
                      <w:highlight w:val="none"/>
                    </w:rPr>
                    <w:t>执行标准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681" w:type="pct"/>
                  <w:tcBorders>
                    <w:tl2br w:val="nil"/>
                    <w:tr2bl w:val="nil"/>
                  </w:tcBorders>
                  <w:noWrap w:val="0"/>
                  <w:vAlign w:val="center"/>
                </w:tcPr>
                <w:p>
                  <w:pPr>
                    <w:pStyle w:val="32"/>
                    <w:rPr>
                      <w:color w:val="auto"/>
                      <w:highlight w:val="none"/>
                    </w:rPr>
                  </w:pPr>
                  <w:r>
                    <w:rPr>
                      <w:rFonts w:hint="eastAsia"/>
                      <w:color w:val="auto"/>
                      <w:highlight w:val="none"/>
                    </w:rPr>
                    <w:t>施工期场界</w:t>
                  </w:r>
                </w:p>
              </w:tc>
              <w:tc>
                <w:tcPr>
                  <w:tcW w:w="676" w:type="pct"/>
                  <w:tcBorders>
                    <w:tl2br w:val="nil"/>
                    <w:tr2bl w:val="nil"/>
                  </w:tcBorders>
                  <w:noWrap w:val="0"/>
                  <w:vAlign w:val="center"/>
                </w:tcPr>
                <w:p>
                  <w:pPr>
                    <w:pStyle w:val="32"/>
                    <w:rPr>
                      <w:color w:val="auto"/>
                      <w:highlight w:val="none"/>
                    </w:rPr>
                  </w:pPr>
                  <w:r>
                    <w:rPr>
                      <w:rFonts w:hint="eastAsia"/>
                      <w:color w:val="auto"/>
                      <w:highlight w:val="none"/>
                    </w:rPr>
                    <w:t>70dB（A）</w:t>
                  </w:r>
                </w:p>
              </w:tc>
              <w:tc>
                <w:tcPr>
                  <w:tcW w:w="683" w:type="pct"/>
                  <w:tcBorders>
                    <w:tl2br w:val="nil"/>
                    <w:tr2bl w:val="nil"/>
                  </w:tcBorders>
                  <w:noWrap w:val="0"/>
                  <w:vAlign w:val="center"/>
                </w:tcPr>
                <w:p>
                  <w:pPr>
                    <w:pStyle w:val="32"/>
                    <w:rPr>
                      <w:color w:val="auto"/>
                      <w:highlight w:val="none"/>
                    </w:rPr>
                  </w:pPr>
                  <w:r>
                    <w:rPr>
                      <w:rFonts w:hint="eastAsia"/>
                      <w:color w:val="auto"/>
                      <w:highlight w:val="none"/>
                    </w:rPr>
                    <w:t>55dB（A）</w:t>
                  </w:r>
                </w:p>
              </w:tc>
              <w:tc>
                <w:tcPr>
                  <w:tcW w:w="2957" w:type="pct"/>
                  <w:tcBorders>
                    <w:tl2br w:val="nil"/>
                    <w:tr2bl w:val="nil"/>
                  </w:tcBorders>
                  <w:noWrap w:val="0"/>
                  <w:vAlign w:val="center"/>
                </w:tcPr>
                <w:p>
                  <w:pPr>
                    <w:pStyle w:val="32"/>
                    <w:rPr>
                      <w:color w:val="auto"/>
                      <w:highlight w:val="none"/>
                    </w:rPr>
                  </w:pPr>
                  <w:r>
                    <w:rPr>
                      <w:rFonts w:hint="eastAsia"/>
                      <w:color w:val="auto"/>
                      <w:highlight w:val="none"/>
                    </w:rPr>
                    <w:t>《建筑施工场界环境噪声排放标准》(GB12523-2011)</w:t>
                  </w:r>
                </w:p>
              </w:tc>
            </w:tr>
          </w:tbl>
          <w:p>
            <w:pPr>
              <w:pStyle w:val="33"/>
              <w:bidi w:val="0"/>
              <w:rPr>
                <w:rFonts w:hint="eastAsia" w:eastAsia="宋体"/>
                <w:color w:val="FF0000"/>
                <w:highlight w:val="none"/>
                <w:lang w:eastAsia="zh-CN"/>
              </w:rPr>
            </w:pPr>
            <w:r>
              <w:rPr>
                <w:rFonts w:hint="eastAsia"/>
                <w:color w:val="FF0000"/>
                <w:highlight w:val="none"/>
                <w:lang w:eastAsia="zh-CN"/>
              </w:rPr>
              <w:t>（</w:t>
            </w:r>
            <w:r>
              <w:rPr>
                <w:rFonts w:hint="eastAsia"/>
                <w:color w:val="FF0000"/>
                <w:highlight w:val="none"/>
                <w:lang w:val="en-US" w:eastAsia="zh-CN"/>
              </w:rPr>
              <w:t>3</w:t>
            </w:r>
            <w:r>
              <w:rPr>
                <w:rFonts w:hint="eastAsia"/>
                <w:color w:val="FF0000"/>
                <w:highlight w:val="none"/>
                <w:lang w:eastAsia="zh-CN"/>
              </w:rPr>
              <w:t>）固废</w:t>
            </w:r>
          </w:p>
          <w:p>
            <w:pPr>
              <w:pStyle w:val="33"/>
              <w:bidi w:val="0"/>
              <w:rPr>
                <w:rFonts w:hint="eastAsia"/>
                <w:color w:val="FF0000"/>
                <w:highlight w:val="none"/>
                <w:lang w:eastAsia="zh-CN"/>
              </w:rPr>
            </w:pPr>
            <w:r>
              <w:rPr>
                <w:rFonts w:hint="eastAsia"/>
                <w:color w:val="FF0000"/>
                <w:highlight w:val="none"/>
                <w:lang w:eastAsia="zh-CN"/>
              </w:rPr>
              <w:t>本项目产生的固体废物参照执行《</w:t>
            </w:r>
            <w:r>
              <w:rPr>
                <w:rFonts w:hint="eastAsia"/>
                <w:color w:val="FF0000"/>
                <w:highlight w:val="none"/>
                <w:lang w:val="en-US" w:eastAsia="zh-CN"/>
              </w:rPr>
              <w:t>中华人民共和国固体废物污染环境防治法</w:t>
            </w:r>
            <w:r>
              <w:rPr>
                <w:rFonts w:hint="eastAsia"/>
                <w:color w:val="FF0000"/>
                <w:highlight w:val="none"/>
                <w:lang w:eastAsia="zh-CN"/>
              </w:rPr>
              <w:t>》等相关法规要求。</w:t>
            </w:r>
          </w:p>
          <w:p>
            <w:pPr>
              <w:pStyle w:val="33"/>
              <w:bidi w:val="0"/>
              <w:rPr>
                <w:rFonts w:hint="eastAsia"/>
                <w:color w:val="FF0000"/>
                <w:highlight w:val="none"/>
                <w:lang w:eastAsia="zh-CN"/>
              </w:rPr>
            </w:pPr>
          </w:p>
          <w:p>
            <w:pPr>
              <w:pStyle w:val="33"/>
              <w:bidi w:val="0"/>
              <w:rPr>
                <w:rFonts w:hint="eastAsia"/>
                <w:color w:val="FF0000"/>
                <w:highlight w:val="none"/>
                <w:lang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1275" w:hRule="atLeast"/>
          <w:jc w:val="center"/>
        </w:trPr>
        <w:tc>
          <w:tcPr>
            <w:tcW w:w="492" w:type="pct"/>
            <w:noWrap w:val="0"/>
            <w:vAlign w:val="center"/>
          </w:tcPr>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color w:val="auto"/>
                <w:kern w:val="0"/>
                <w:szCs w:val="21"/>
                <w:highlight w:val="none"/>
              </w:rPr>
            </w:pPr>
            <w:r>
              <w:rPr>
                <w:rFonts w:ascii="Times New Roman" w:hAnsi="Times New Roman" w:eastAsia="宋体" w:cs="Times New Roman"/>
                <w:color w:val="auto"/>
                <w:kern w:val="2"/>
                <w:sz w:val="21"/>
                <w:szCs w:val="24"/>
                <w:highlight w:val="none"/>
                <w:lang w:val="en-US" w:eastAsia="zh-CN" w:bidi="ar-SA"/>
              </w:rPr>
              <w:t>其他</w:t>
            </w:r>
          </w:p>
        </w:tc>
        <w:tc>
          <w:tcPr>
            <w:tcW w:w="4507" w:type="pct"/>
            <w:noWrap w:val="0"/>
            <w:vAlign w:val="center"/>
          </w:tcPr>
          <w:p>
            <w:pPr>
              <w:pStyle w:val="33"/>
              <w:bidi w:val="0"/>
              <w:rPr>
                <w:color w:val="auto"/>
                <w:highlight w:val="none"/>
              </w:rPr>
            </w:pPr>
          </w:p>
          <w:p>
            <w:pPr>
              <w:pStyle w:val="33"/>
              <w:bidi w:val="0"/>
              <w:rPr>
                <w:color w:val="auto"/>
                <w:highlight w:val="none"/>
              </w:rPr>
            </w:pPr>
          </w:p>
          <w:p>
            <w:pPr>
              <w:pStyle w:val="33"/>
              <w:bidi w:val="0"/>
              <w:rPr>
                <w:color w:val="auto"/>
                <w:highlight w:val="none"/>
              </w:rPr>
            </w:pPr>
          </w:p>
          <w:p>
            <w:pPr>
              <w:pStyle w:val="33"/>
              <w:bidi w:val="0"/>
              <w:rPr>
                <w:color w:val="auto"/>
                <w:highlight w:val="none"/>
              </w:rPr>
            </w:pPr>
          </w:p>
          <w:p>
            <w:pPr>
              <w:pStyle w:val="33"/>
              <w:bidi w:val="0"/>
              <w:rPr>
                <w:color w:val="auto"/>
                <w:highlight w:val="none"/>
              </w:rPr>
            </w:pPr>
          </w:p>
          <w:p>
            <w:pPr>
              <w:pStyle w:val="33"/>
              <w:bidi w:val="0"/>
              <w:rPr>
                <w:color w:val="auto"/>
                <w:highlight w:val="none"/>
              </w:rPr>
            </w:pPr>
            <w:r>
              <w:rPr>
                <w:color w:val="auto"/>
                <w:highlight w:val="none"/>
              </w:rPr>
              <w:t>本项目建成后，主要污染物为路面行驶车辆产生的噪声和车辆排放的尾气，无废水排放，因此无需申请总量控制指标。</w:t>
            </w:r>
          </w:p>
          <w:p>
            <w:pPr>
              <w:pStyle w:val="33"/>
              <w:bidi w:val="0"/>
              <w:rPr>
                <w:color w:val="auto"/>
                <w:highlight w:val="none"/>
              </w:rPr>
            </w:pPr>
          </w:p>
          <w:p>
            <w:pPr>
              <w:pStyle w:val="33"/>
              <w:bidi w:val="0"/>
              <w:rPr>
                <w:color w:val="auto"/>
                <w:highlight w:val="none"/>
              </w:rPr>
            </w:pPr>
          </w:p>
          <w:p>
            <w:pPr>
              <w:pStyle w:val="33"/>
              <w:bidi w:val="0"/>
              <w:rPr>
                <w:color w:val="auto"/>
                <w:highlight w:val="none"/>
              </w:rPr>
            </w:pPr>
          </w:p>
          <w:p>
            <w:pPr>
              <w:pStyle w:val="33"/>
              <w:bidi w:val="0"/>
              <w:rPr>
                <w:color w:val="auto"/>
                <w:highlight w:val="none"/>
              </w:rPr>
            </w:pPr>
          </w:p>
          <w:p>
            <w:pPr>
              <w:pStyle w:val="33"/>
              <w:bidi w:val="0"/>
              <w:rPr>
                <w:color w:val="auto"/>
                <w:highlight w:val="none"/>
              </w:rPr>
            </w:pPr>
          </w:p>
        </w:tc>
      </w:tr>
    </w:tbl>
    <w:p>
      <w:pPr>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jc w:val="center"/>
        <w:textAlignment w:val="auto"/>
        <w:outlineLvl w:val="0"/>
        <w:rPr>
          <w:rFonts w:ascii="Times New Roman" w:hAnsi="Times New Roman" w:eastAsia="黑体" w:cs="Times New Roman"/>
          <w:snapToGrid w:val="0"/>
          <w:color w:val="auto"/>
          <w:sz w:val="30"/>
          <w:szCs w:val="30"/>
          <w:highlight w:val="none"/>
        </w:rPr>
        <w:sectPr>
          <w:pgSz w:w="11905" w:h="16838"/>
          <w:pgMar w:top="1701" w:right="1531" w:bottom="1701" w:left="1531" w:header="851" w:footer="1077" w:gutter="0"/>
          <w:pgBorders w:offsetFrom="page">
            <w:top w:val="none" w:sz="0" w:space="0"/>
            <w:left w:val="none" w:sz="0" w:space="0"/>
            <w:bottom w:val="none" w:sz="0" w:space="0"/>
            <w:right w:val="none" w:sz="0" w:space="0"/>
          </w:pgBorders>
          <w:pgNumType w:fmt="decimal"/>
          <w:cols w:space="720" w:num="1"/>
          <w:rtlGutter w:val="0"/>
          <w:docGrid w:type="linesAndChars" w:linePitch="312" w:charSpace="-205"/>
        </w:sectPr>
      </w:pPr>
    </w:p>
    <w:p>
      <w:pPr>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jc w:val="center"/>
        <w:textAlignment w:val="auto"/>
        <w:outlineLvl w:val="0"/>
        <w:rPr>
          <w:rFonts w:ascii="Times New Roman" w:hAnsi="Times New Roman" w:eastAsia="黑体"/>
          <w:snapToGrid w:val="0"/>
          <w:color w:val="auto"/>
          <w:sz w:val="30"/>
          <w:szCs w:val="30"/>
          <w:highlight w:val="none"/>
        </w:rPr>
      </w:pPr>
      <w:r>
        <w:rPr>
          <w:rFonts w:ascii="Times New Roman" w:hAnsi="Times New Roman" w:eastAsia="黑体" w:cs="Times New Roman"/>
          <w:snapToGrid w:val="0"/>
          <w:color w:val="auto"/>
          <w:sz w:val="30"/>
          <w:szCs w:val="30"/>
          <w:highlight w:val="none"/>
        </w:rPr>
        <w:t>四、生态环境影响分析</w:t>
      </w:r>
    </w:p>
    <w:tbl>
      <w:tblPr>
        <w:tblStyle w:val="22"/>
        <w:tblW w:w="4999"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393"/>
        <w:gridCol w:w="858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9" w:type="pct"/>
            <w:noWrap w:val="0"/>
            <w:tcMar>
              <w:left w:w="28" w:type="dxa"/>
              <w:right w:w="28" w:type="dxa"/>
            </w:tcMar>
            <w:vAlign w:val="center"/>
          </w:tcPr>
          <w:p>
            <w:pPr>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Times New Roman" w:hAnsi="Times New Roman"/>
                <w:bCs/>
                <w:color w:val="auto"/>
                <w:kern w:val="2"/>
                <w:sz w:val="21"/>
                <w:szCs w:val="21"/>
                <w:highlight w:val="none"/>
                <w:lang w:val="en-US" w:eastAsia="zh-CN"/>
              </w:rPr>
            </w:pPr>
            <w:bookmarkStart w:id="14" w:name="_Hlk49796138"/>
            <w:r>
              <w:rPr>
                <w:rFonts w:ascii="Times New Roman" w:hAnsi="Times New Roman" w:eastAsia="宋体" w:cs="Times New Roman"/>
                <w:color w:val="auto"/>
                <w:kern w:val="2"/>
                <w:sz w:val="21"/>
                <w:szCs w:val="24"/>
                <w:highlight w:val="none"/>
                <w:lang w:val="en-US" w:eastAsia="zh-CN" w:bidi="ar-SA"/>
              </w:rPr>
              <w:t>施工期生态环境影响分析</w:t>
            </w:r>
            <w:bookmarkEnd w:id="14"/>
          </w:p>
        </w:tc>
        <w:tc>
          <w:tcPr>
            <w:tcW w:w="4780" w:type="pct"/>
            <w:noWrap w:val="0"/>
            <w:vAlign w:val="top"/>
          </w:tcPr>
          <w:p>
            <w:pPr>
              <w:pStyle w:val="33"/>
              <w:bidi w:val="0"/>
              <w:rPr>
                <w:rFonts w:hint="default" w:eastAsia="宋体"/>
                <w:b/>
                <w:bCs/>
                <w:color w:val="auto"/>
                <w:highlight w:val="none"/>
                <w:lang w:val="en-US" w:eastAsia="zh-CN"/>
              </w:rPr>
            </w:pPr>
            <w:r>
              <w:rPr>
                <w:rFonts w:hint="eastAsia"/>
                <w:b/>
                <w:bCs/>
                <w:color w:val="auto"/>
                <w:highlight w:val="none"/>
                <w:lang w:val="en-US" w:eastAsia="zh-CN"/>
              </w:rPr>
              <w:t>4.1施工期影响分析</w:t>
            </w:r>
          </w:p>
          <w:p>
            <w:pPr>
              <w:pStyle w:val="33"/>
              <w:bidi w:val="0"/>
              <w:rPr>
                <w:color w:val="auto"/>
                <w:highlight w:val="none"/>
              </w:rPr>
            </w:pPr>
            <w:r>
              <w:rPr>
                <w:rFonts w:hint="eastAsia"/>
                <w:color w:val="auto"/>
                <w:highlight w:val="none"/>
              </w:rPr>
              <w:t>施工期是项目对环境产生影响较明显的阶段，本项目施工期环境影响分析</w:t>
            </w:r>
            <w:r>
              <w:rPr>
                <w:rFonts w:hint="eastAsia"/>
                <w:color w:val="auto"/>
                <w:highlight w:val="none"/>
                <w:lang w:eastAsia="zh-CN"/>
              </w:rPr>
              <w:t>详见下表</w:t>
            </w:r>
            <w:r>
              <w:rPr>
                <w:rFonts w:hint="eastAsia"/>
                <w:color w:val="auto"/>
                <w:highlight w:val="none"/>
              </w:rPr>
              <w:t>。</w:t>
            </w:r>
          </w:p>
          <w:p>
            <w:pPr>
              <w:pStyle w:val="36"/>
              <w:numPr>
                <w:ilvl w:val="0"/>
                <w:numId w:val="12"/>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施工期主要环境影响因素一览表</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978"/>
              <w:gridCol w:w="1772"/>
              <w:gridCol w:w="1208"/>
              <w:gridCol w:w="43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tcBorders>
                    <w:tl2br w:val="nil"/>
                    <w:tr2bl w:val="nil"/>
                  </w:tcBorders>
                  <w:noWrap w:val="0"/>
                  <w:vAlign w:val="center"/>
                </w:tcPr>
                <w:p>
                  <w:pPr>
                    <w:pStyle w:val="32"/>
                    <w:bidi w:val="0"/>
                    <w:rPr>
                      <w:color w:val="auto"/>
                      <w:highlight w:val="none"/>
                    </w:rPr>
                  </w:pPr>
                  <w:r>
                    <w:rPr>
                      <w:color w:val="auto"/>
                      <w:highlight w:val="none"/>
                    </w:rPr>
                    <w:t>环境因素</w:t>
                  </w:r>
                </w:p>
              </w:tc>
              <w:tc>
                <w:tcPr>
                  <w:tcW w:w="1060" w:type="pct"/>
                  <w:tcBorders>
                    <w:tl2br w:val="nil"/>
                    <w:tr2bl w:val="nil"/>
                  </w:tcBorders>
                  <w:noWrap w:val="0"/>
                  <w:vAlign w:val="center"/>
                </w:tcPr>
                <w:p>
                  <w:pPr>
                    <w:pStyle w:val="32"/>
                    <w:bidi w:val="0"/>
                    <w:rPr>
                      <w:color w:val="auto"/>
                      <w:highlight w:val="none"/>
                    </w:rPr>
                  </w:pPr>
                  <w:r>
                    <w:rPr>
                      <w:color w:val="auto"/>
                      <w:highlight w:val="none"/>
                    </w:rPr>
                    <w:t>主要影响因素</w:t>
                  </w:r>
                </w:p>
              </w:tc>
              <w:tc>
                <w:tcPr>
                  <w:tcW w:w="723" w:type="pct"/>
                  <w:tcBorders>
                    <w:tl2br w:val="nil"/>
                    <w:tr2bl w:val="nil"/>
                  </w:tcBorders>
                  <w:noWrap w:val="0"/>
                  <w:vAlign w:val="center"/>
                </w:tcPr>
                <w:p>
                  <w:pPr>
                    <w:pStyle w:val="32"/>
                    <w:bidi w:val="0"/>
                    <w:rPr>
                      <w:color w:val="auto"/>
                      <w:highlight w:val="none"/>
                    </w:rPr>
                  </w:pPr>
                  <w:r>
                    <w:rPr>
                      <w:color w:val="auto"/>
                      <w:highlight w:val="none"/>
                    </w:rPr>
                    <w:t>影响的性质</w:t>
                  </w:r>
                </w:p>
              </w:tc>
              <w:tc>
                <w:tcPr>
                  <w:tcW w:w="2631" w:type="pct"/>
                  <w:tcBorders>
                    <w:tl2br w:val="nil"/>
                    <w:tr2bl w:val="nil"/>
                  </w:tcBorders>
                  <w:noWrap w:val="0"/>
                  <w:vAlign w:val="center"/>
                </w:tcPr>
                <w:p>
                  <w:pPr>
                    <w:pStyle w:val="32"/>
                    <w:bidi w:val="0"/>
                    <w:rPr>
                      <w:color w:val="auto"/>
                      <w:highlight w:val="none"/>
                    </w:rPr>
                  </w:pPr>
                  <w:r>
                    <w:rPr>
                      <w:color w:val="auto"/>
                      <w:highlight w:val="none"/>
                    </w:rPr>
                    <w:t>影响分析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restart"/>
                  <w:tcBorders>
                    <w:tl2br w:val="nil"/>
                    <w:tr2bl w:val="nil"/>
                  </w:tcBorders>
                  <w:noWrap w:val="0"/>
                  <w:vAlign w:val="center"/>
                </w:tcPr>
                <w:p>
                  <w:pPr>
                    <w:pStyle w:val="32"/>
                    <w:bidi w:val="0"/>
                    <w:rPr>
                      <w:color w:val="auto"/>
                      <w:highlight w:val="none"/>
                    </w:rPr>
                  </w:pPr>
                  <w:r>
                    <w:rPr>
                      <w:color w:val="auto"/>
                      <w:highlight w:val="none"/>
                    </w:rPr>
                    <w:t>环境空气</w:t>
                  </w:r>
                </w:p>
              </w:tc>
              <w:tc>
                <w:tcPr>
                  <w:tcW w:w="106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施工</w:t>
                  </w:r>
                  <w:r>
                    <w:rPr>
                      <w:color w:val="auto"/>
                      <w:highlight w:val="none"/>
                    </w:rPr>
                    <w:t>扬尘</w:t>
                  </w:r>
                </w:p>
              </w:tc>
              <w:tc>
                <w:tcPr>
                  <w:tcW w:w="723" w:type="pct"/>
                  <w:vMerge w:val="restart"/>
                  <w:tcBorders>
                    <w:tl2br w:val="nil"/>
                    <w:tr2bl w:val="nil"/>
                  </w:tcBorders>
                  <w:noWrap w:val="0"/>
                  <w:vAlign w:val="center"/>
                </w:tcPr>
                <w:p>
                  <w:pPr>
                    <w:pStyle w:val="32"/>
                    <w:bidi w:val="0"/>
                    <w:rPr>
                      <w:color w:val="auto"/>
                      <w:highlight w:val="none"/>
                    </w:rPr>
                  </w:pPr>
                  <w:r>
                    <w:rPr>
                      <w:color w:val="auto"/>
                      <w:highlight w:val="none"/>
                    </w:rPr>
                    <w:t>短期、</w:t>
                  </w:r>
                  <w:r>
                    <w:rPr>
                      <w:rFonts w:hint="eastAsia"/>
                      <w:color w:val="auto"/>
                      <w:highlight w:val="none"/>
                      <w:lang w:eastAsia="zh-CN"/>
                    </w:rPr>
                    <w:t>不</w:t>
                  </w:r>
                  <w:r>
                    <w:rPr>
                      <w:color w:val="auto"/>
                      <w:highlight w:val="none"/>
                    </w:rPr>
                    <w:t>可逆、不利</w:t>
                  </w:r>
                </w:p>
              </w:tc>
              <w:tc>
                <w:tcPr>
                  <w:tcW w:w="2631" w:type="pct"/>
                  <w:vMerge w:val="restart"/>
                  <w:tcBorders>
                    <w:tl2br w:val="nil"/>
                    <w:tr2bl w:val="nil"/>
                  </w:tcBorders>
                  <w:noWrap w:val="0"/>
                  <w:vAlign w:val="center"/>
                </w:tcPr>
                <w:p>
                  <w:pPr>
                    <w:pStyle w:val="32"/>
                    <w:bidi w:val="0"/>
                    <w:jc w:val="left"/>
                    <w:rPr>
                      <w:color w:val="auto"/>
                      <w:highlight w:val="none"/>
                    </w:rPr>
                  </w:pPr>
                  <w:r>
                    <w:rPr>
                      <w:rFonts w:hint="eastAsia"/>
                      <w:color w:val="auto"/>
                      <w:highlight w:val="none"/>
                    </w:rPr>
                    <w:t>物料的装卸、运输、堆放过程产生粉尘</w:t>
                  </w:r>
                  <w:r>
                    <w:rPr>
                      <w:rFonts w:hint="eastAsia"/>
                      <w:color w:val="auto"/>
                      <w:highlight w:val="none"/>
                      <w:lang w:eastAsia="zh-CN"/>
                    </w:rPr>
                    <w:t>，</w:t>
                  </w:r>
                  <w:r>
                    <w:rPr>
                      <w:rFonts w:hint="eastAsia"/>
                      <w:color w:val="auto"/>
                      <w:highlight w:val="none"/>
                    </w:rPr>
                    <w:t>沥青铺设过程产生沥青烟</w:t>
                  </w:r>
                  <w:r>
                    <w:rPr>
                      <w:rFonts w:hint="eastAsia"/>
                      <w:color w:val="auto"/>
                      <w:highlight w:val="none"/>
                      <w:lang w:eastAsia="zh-CN"/>
                    </w:rPr>
                    <w:t>、钢筋</w:t>
                  </w:r>
                  <w:r>
                    <w:rPr>
                      <w:rFonts w:hint="eastAsia"/>
                      <w:color w:val="auto"/>
                      <w:highlight w:val="none"/>
                    </w:rPr>
                    <w:t>焊接过程产生焊接烟尘</w:t>
                  </w:r>
                  <w:r>
                    <w:rPr>
                      <w:rFonts w:hint="eastAsia"/>
                      <w:color w:val="auto"/>
                      <w:highlight w:val="none"/>
                      <w:lang w:eastAsia="zh-CN"/>
                    </w:rPr>
                    <w:t>、</w:t>
                  </w:r>
                  <w:r>
                    <w:rPr>
                      <w:rFonts w:hint="eastAsia"/>
                      <w:color w:val="auto"/>
                      <w:highlight w:val="none"/>
                    </w:rPr>
                    <w:t>以柴油为燃料的施工机械及运输车辆排放的废气</w:t>
                  </w:r>
                  <w:r>
                    <w:rPr>
                      <w:rFonts w:hint="eastAsia"/>
                      <w:color w:val="auto"/>
                      <w:highlight w:val="none"/>
                      <w:lang w:eastAsia="zh-CN"/>
                    </w:rPr>
                    <w:t>，以上废气会对大气环境产生影响</w:t>
                  </w:r>
                  <w:r>
                    <w:rPr>
                      <w:rFonts w:hint="eastAsia"/>
                      <w:color w:val="auto"/>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color w:val="auto"/>
                      <w:highlight w:val="none"/>
                    </w:rPr>
                  </w:pPr>
                  <w:r>
                    <w:rPr>
                      <w:color w:val="auto"/>
                      <w:highlight w:val="none"/>
                    </w:rPr>
                    <w:t>沥青烟气</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jc w:val="left"/>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焊接烟气</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jc w:val="left"/>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color w:val="auto"/>
                      <w:highlight w:val="none"/>
                    </w:rPr>
                  </w:pPr>
                  <w:r>
                    <w:rPr>
                      <w:color w:val="auto"/>
                      <w:highlight w:val="none"/>
                    </w:rPr>
                    <w:t>施工机械及运输车辆废气</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jc w:val="left"/>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restart"/>
                  <w:tcBorders>
                    <w:tl2br w:val="nil"/>
                    <w:tr2bl w:val="nil"/>
                  </w:tcBorders>
                  <w:noWrap w:val="0"/>
                  <w:vAlign w:val="center"/>
                </w:tcPr>
                <w:p>
                  <w:pPr>
                    <w:pStyle w:val="32"/>
                    <w:bidi w:val="0"/>
                    <w:rPr>
                      <w:color w:val="auto"/>
                      <w:highlight w:val="none"/>
                    </w:rPr>
                  </w:pPr>
                  <w:r>
                    <w:rPr>
                      <w:color w:val="auto"/>
                      <w:highlight w:val="none"/>
                    </w:rPr>
                    <w:t>地表水</w:t>
                  </w:r>
                </w:p>
                <w:p>
                  <w:pPr>
                    <w:pStyle w:val="32"/>
                    <w:bidi w:val="0"/>
                    <w:rPr>
                      <w:color w:val="auto"/>
                      <w:highlight w:val="none"/>
                    </w:rPr>
                  </w:pPr>
                  <w:r>
                    <w:rPr>
                      <w:color w:val="auto"/>
                      <w:highlight w:val="none"/>
                    </w:rPr>
                    <w:t>环境</w:t>
                  </w:r>
                </w:p>
              </w:tc>
              <w:tc>
                <w:tcPr>
                  <w:tcW w:w="1060" w:type="pct"/>
                  <w:tcBorders>
                    <w:tl2br w:val="nil"/>
                    <w:tr2bl w:val="nil"/>
                  </w:tcBorders>
                  <w:noWrap w:val="0"/>
                  <w:vAlign w:val="center"/>
                </w:tcPr>
                <w:p>
                  <w:pPr>
                    <w:pStyle w:val="32"/>
                    <w:bidi w:val="0"/>
                    <w:rPr>
                      <w:color w:val="auto"/>
                      <w:highlight w:val="none"/>
                    </w:rPr>
                  </w:pPr>
                  <w:r>
                    <w:rPr>
                      <w:color w:val="auto"/>
                      <w:highlight w:val="none"/>
                    </w:rPr>
                    <w:t>工程施工</w:t>
                  </w:r>
                </w:p>
              </w:tc>
              <w:tc>
                <w:tcPr>
                  <w:tcW w:w="723" w:type="pct"/>
                  <w:vMerge w:val="restart"/>
                  <w:tcBorders>
                    <w:tl2br w:val="nil"/>
                    <w:tr2bl w:val="nil"/>
                  </w:tcBorders>
                  <w:noWrap w:val="0"/>
                  <w:vAlign w:val="center"/>
                </w:tcPr>
                <w:p>
                  <w:pPr>
                    <w:pStyle w:val="32"/>
                    <w:bidi w:val="0"/>
                    <w:rPr>
                      <w:color w:val="auto"/>
                      <w:highlight w:val="none"/>
                    </w:rPr>
                  </w:pPr>
                  <w:r>
                    <w:rPr>
                      <w:color w:val="auto"/>
                      <w:highlight w:val="none"/>
                    </w:rPr>
                    <w:t>短期、可逆、</w:t>
                  </w:r>
                </w:p>
                <w:p>
                  <w:pPr>
                    <w:pStyle w:val="32"/>
                    <w:bidi w:val="0"/>
                    <w:rPr>
                      <w:color w:val="auto"/>
                      <w:highlight w:val="none"/>
                    </w:rPr>
                  </w:pPr>
                  <w:r>
                    <w:rPr>
                      <w:color w:val="auto"/>
                      <w:highlight w:val="none"/>
                    </w:rPr>
                    <w:t>不利</w:t>
                  </w:r>
                </w:p>
              </w:tc>
              <w:tc>
                <w:tcPr>
                  <w:tcW w:w="2631" w:type="pct"/>
                  <w:vMerge w:val="restar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施工场地机械、车辆冲洗废水</w:t>
                  </w:r>
                  <w:r>
                    <w:rPr>
                      <w:rFonts w:hint="eastAsia"/>
                      <w:color w:val="auto"/>
                      <w:highlight w:val="none"/>
                      <w:lang w:eastAsia="zh-CN"/>
                    </w:rPr>
                    <w:t>经沉淀池沉淀处理后重复利用于场地洒水抑尘，不外排</w:t>
                  </w:r>
                  <w:r>
                    <w:rPr>
                      <w:rFonts w:hint="eastAsia"/>
                      <w:color w:val="auto"/>
                      <w:highlight w:val="none"/>
                    </w:rPr>
                    <w:t>；管道试压过程产生的废水，雨污水管道铺设完成试压过程中会产生废水，收集后泼洒地面抑尘</w:t>
                  </w:r>
                  <w:r>
                    <w:rPr>
                      <w:rFonts w:hint="eastAsia"/>
                      <w:color w:val="auto"/>
                      <w:highlight w:val="none"/>
                      <w:lang w:eastAsia="zh-CN"/>
                    </w:rPr>
                    <w:t>；</w:t>
                  </w:r>
                  <w:r>
                    <w:rPr>
                      <w:rFonts w:hint="eastAsia"/>
                      <w:color w:val="auto"/>
                      <w:highlight w:val="none"/>
                    </w:rPr>
                    <w:t>施工人员产生生活污水</w:t>
                  </w:r>
                  <w:r>
                    <w:rPr>
                      <w:rFonts w:hint="eastAsia"/>
                      <w:color w:val="auto"/>
                      <w:highlight w:val="none"/>
                      <w:lang w:eastAsia="zh-CN"/>
                    </w:rPr>
                    <w:t>用于泼洒抑尘，不外排</w:t>
                  </w:r>
                  <w:r>
                    <w:rPr>
                      <w:rFonts w:hint="eastAsia"/>
                      <w:color w:val="auto"/>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rFonts w:hint="eastAsia"/>
                      <w:color w:val="auto"/>
                      <w:highlight w:val="none"/>
                    </w:rPr>
                  </w:pPr>
                  <w:r>
                    <w:rPr>
                      <w:color w:val="auto"/>
                      <w:highlight w:val="none"/>
                    </w:rPr>
                    <w:t>降水地表径流</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jc w:val="left"/>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rFonts w:hint="eastAsia"/>
                      <w:color w:val="auto"/>
                      <w:highlight w:val="none"/>
                      <w:lang w:eastAsia="zh-CN"/>
                    </w:rPr>
                  </w:pPr>
                  <w:r>
                    <w:rPr>
                      <w:color w:val="auto"/>
                      <w:highlight w:val="none"/>
                    </w:rPr>
                    <w:t>施工</w:t>
                  </w:r>
                  <w:r>
                    <w:rPr>
                      <w:rFonts w:hint="eastAsia"/>
                      <w:color w:val="auto"/>
                      <w:highlight w:val="none"/>
                      <w:lang w:eastAsia="zh-CN"/>
                    </w:rPr>
                    <w:t>生活污染</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jc w:val="left"/>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restart"/>
                  <w:tcBorders>
                    <w:tl2br w:val="nil"/>
                    <w:tr2bl w:val="nil"/>
                  </w:tcBorders>
                  <w:noWrap w:val="0"/>
                  <w:vAlign w:val="center"/>
                </w:tcPr>
                <w:p>
                  <w:pPr>
                    <w:pStyle w:val="32"/>
                    <w:bidi w:val="0"/>
                    <w:rPr>
                      <w:color w:val="auto"/>
                      <w:highlight w:val="none"/>
                    </w:rPr>
                  </w:pPr>
                  <w:r>
                    <w:rPr>
                      <w:color w:val="auto"/>
                      <w:highlight w:val="none"/>
                    </w:rPr>
                    <w:t>声环境</w:t>
                  </w:r>
                </w:p>
              </w:tc>
              <w:tc>
                <w:tcPr>
                  <w:tcW w:w="1060" w:type="pct"/>
                  <w:tcBorders>
                    <w:tl2br w:val="nil"/>
                    <w:tr2bl w:val="nil"/>
                  </w:tcBorders>
                  <w:noWrap w:val="0"/>
                  <w:vAlign w:val="center"/>
                </w:tcPr>
                <w:p>
                  <w:pPr>
                    <w:pStyle w:val="32"/>
                    <w:bidi w:val="0"/>
                    <w:rPr>
                      <w:rFonts w:hint="eastAsia"/>
                      <w:color w:val="auto"/>
                      <w:highlight w:val="none"/>
                    </w:rPr>
                  </w:pPr>
                  <w:r>
                    <w:rPr>
                      <w:color w:val="auto"/>
                      <w:highlight w:val="none"/>
                    </w:rPr>
                    <w:t>施工机械</w:t>
                  </w:r>
                  <w:r>
                    <w:rPr>
                      <w:rFonts w:hint="eastAsia"/>
                      <w:color w:val="auto"/>
                      <w:highlight w:val="none"/>
                    </w:rPr>
                    <w:t>噪声</w:t>
                  </w:r>
                </w:p>
              </w:tc>
              <w:tc>
                <w:tcPr>
                  <w:tcW w:w="723" w:type="pct"/>
                  <w:vMerge w:val="restart"/>
                  <w:tcBorders>
                    <w:tl2br w:val="nil"/>
                    <w:tr2bl w:val="nil"/>
                  </w:tcBorders>
                  <w:noWrap w:val="0"/>
                  <w:vAlign w:val="center"/>
                </w:tcPr>
                <w:p>
                  <w:pPr>
                    <w:pStyle w:val="32"/>
                    <w:bidi w:val="0"/>
                    <w:rPr>
                      <w:color w:val="auto"/>
                      <w:highlight w:val="none"/>
                    </w:rPr>
                  </w:pPr>
                  <w:r>
                    <w:rPr>
                      <w:color w:val="auto"/>
                      <w:highlight w:val="none"/>
                    </w:rPr>
                    <w:t>短期、可逆、</w:t>
                  </w:r>
                </w:p>
                <w:p>
                  <w:pPr>
                    <w:pStyle w:val="32"/>
                    <w:bidi w:val="0"/>
                    <w:rPr>
                      <w:color w:val="auto"/>
                      <w:highlight w:val="none"/>
                    </w:rPr>
                  </w:pPr>
                  <w:r>
                    <w:rPr>
                      <w:color w:val="auto"/>
                      <w:highlight w:val="none"/>
                    </w:rPr>
                    <w:t>不利</w:t>
                  </w:r>
                </w:p>
              </w:tc>
              <w:tc>
                <w:tcPr>
                  <w:tcW w:w="2631" w:type="pct"/>
                  <w:vMerge w:val="restart"/>
                  <w:tcBorders>
                    <w:tl2br w:val="nil"/>
                    <w:tr2bl w:val="nil"/>
                  </w:tcBorders>
                  <w:noWrap w:val="0"/>
                  <w:vAlign w:val="center"/>
                </w:tcPr>
                <w:p>
                  <w:pPr>
                    <w:pStyle w:val="32"/>
                    <w:bidi w:val="0"/>
                    <w:jc w:val="left"/>
                    <w:rPr>
                      <w:color w:val="auto"/>
                      <w:highlight w:val="none"/>
                    </w:rPr>
                  </w:pPr>
                  <w:r>
                    <w:rPr>
                      <w:color w:val="auto"/>
                      <w:highlight w:val="none"/>
                    </w:rPr>
                    <w:t>不同施工阶段的施工机械设备、施工车辆，对沿线较近的声环境敏感点会造成不利影响。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rFonts w:hint="eastAsia"/>
                      <w:color w:val="auto"/>
                      <w:highlight w:val="none"/>
                    </w:rPr>
                  </w:pPr>
                  <w:r>
                    <w:rPr>
                      <w:color w:val="auto"/>
                      <w:highlight w:val="none"/>
                    </w:rPr>
                    <w:t>施工运输车辆</w:t>
                  </w:r>
                  <w:r>
                    <w:rPr>
                      <w:rFonts w:hint="eastAsia"/>
                      <w:color w:val="auto"/>
                      <w:highlight w:val="none"/>
                    </w:rPr>
                    <w:t>噪声</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jc w:val="left"/>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tcBorders>
                    <w:tl2br w:val="nil"/>
                    <w:tr2bl w:val="nil"/>
                  </w:tcBorders>
                  <w:noWrap w:val="0"/>
                  <w:vAlign w:val="center"/>
                </w:tcPr>
                <w:p>
                  <w:pPr>
                    <w:pStyle w:val="32"/>
                    <w:bidi w:val="0"/>
                    <w:rPr>
                      <w:color w:val="auto"/>
                      <w:highlight w:val="none"/>
                    </w:rPr>
                  </w:pPr>
                  <w:r>
                    <w:rPr>
                      <w:color w:val="auto"/>
                      <w:highlight w:val="none"/>
                    </w:rPr>
                    <w:t>固体</w:t>
                  </w:r>
                  <w:r>
                    <w:rPr>
                      <w:rFonts w:hint="eastAsia"/>
                      <w:color w:val="auto"/>
                      <w:highlight w:val="none"/>
                    </w:rPr>
                    <w:t>废</w:t>
                  </w:r>
                  <w:r>
                    <w:rPr>
                      <w:color w:val="auto"/>
                      <w:highlight w:val="none"/>
                    </w:rPr>
                    <w:t>物</w:t>
                  </w:r>
                </w:p>
              </w:tc>
              <w:tc>
                <w:tcPr>
                  <w:tcW w:w="1060" w:type="pct"/>
                  <w:tcBorders>
                    <w:tl2br w:val="nil"/>
                    <w:tr2bl w:val="nil"/>
                  </w:tcBorders>
                  <w:noWrap w:val="0"/>
                  <w:vAlign w:val="center"/>
                </w:tcPr>
                <w:p>
                  <w:pPr>
                    <w:pStyle w:val="32"/>
                    <w:bidi w:val="0"/>
                    <w:rPr>
                      <w:rFonts w:hint="eastAsia"/>
                      <w:color w:val="auto"/>
                      <w:highlight w:val="none"/>
                      <w:lang w:eastAsia="zh-CN"/>
                    </w:rPr>
                  </w:pPr>
                  <w:r>
                    <w:rPr>
                      <w:color w:val="auto"/>
                      <w:highlight w:val="none"/>
                    </w:rPr>
                    <w:t>弃土、建筑垃圾</w:t>
                  </w:r>
                  <w:r>
                    <w:rPr>
                      <w:rFonts w:hint="eastAsia"/>
                      <w:color w:val="auto"/>
                      <w:highlight w:val="none"/>
                      <w:lang w:eastAsia="zh-CN"/>
                    </w:rPr>
                    <w:t>、施工生活垃圾</w:t>
                  </w:r>
                </w:p>
              </w:tc>
              <w:tc>
                <w:tcPr>
                  <w:tcW w:w="723" w:type="pct"/>
                  <w:tcBorders>
                    <w:tl2br w:val="nil"/>
                    <w:tr2bl w:val="nil"/>
                  </w:tcBorders>
                  <w:noWrap w:val="0"/>
                  <w:vAlign w:val="center"/>
                </w:tcPr>
                <w:p>
                  <w:pPr>
                    <w:pStyle w:val="32"/>
                    <w:bidi w:val="0"/>
                    <w:rPr>
                      <w:color w:val="auto"/>
                      <w:highlight w:val="none"/>
                    </w:rPr>
                  </w:pPr>
                  <w:r>
                    <w:rPr>
                      <w:color w:val="auto"/>
                      <w:highlight w:val="none"/>
                    </w:rPr>
                    <w:t>短期、可逆、</w:t>
                  </w:r>
                </w:p>
                <w:p>
                  <w:pPr>
                    <w:pStyle w:val="32"/>
                    <w:bidi w:val="0"/>
                    <w:rPr>
                      <w:color w:val="auto"/>
                      <w:highlight w:val="none"/>
                    </w:rPr>
                  </w:pPr>
                  <w:r>
                    <w:rPr>
                      <w:color w:val="auto"/>
                      <w:highlight w:val="none"/>
                    </w:rPr>
                    <w:t>不利</w:t>
                  </w:r>
                </w:p>
              </w:tc>
              <w:tc>
                <w:tcPr>
                  <w:tcW w:w="2631" w:type="pct"/>
                  <w:tcBorders>
                    <w:tl2br w:val="nil"/>
                    <w:tr2bl w:val="nil"/>
                  </w:tcBorders>
                  <w:noWrap w:val="0"/>
                  <w:vAlign w:val="center"/>
                </w:tcPr>
                <w:p>
                  <w:pPr>
                    <w:pStyle w:val="32"/>
                    <w:bidi w:val="0"/>
                    <w:jc w:val="left"/>
                    <w:rPr>
                      <w:color w:val="auto"/>
                      <w:highlight w:val="none"/>
                    </w:rPr>
                  </w:pPr>
                  <w:r>
                    <w:rPr>
                      <w:color w:val="auto"/>
                      <w:highlight w:val="none"/>
                    </w:rPr>
                    <w:t>弃土、建筑垃圾一旦进入附近河流，对地表水产生影响。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restart"/>
                  <w:tcBorders>
                    <w:tl2br w:val="nil"/>
                    <w:tr2bl w:val="nil"/>
                  </w:tcBorders>
                  <w:noWrap w:val="0"/>
                  <w:vAlign w:val="center"/>
                </w:tcPr>
                <w:p>
                  <w:pPr>
                    <w:pStyle w:val="32"/>
                    <w:bidi w:val="0"/>
                    <w:rPr>
                      <w:color w:val="auto"/>
                      <w:highlight w:val="none"/>
                    </w:rPr>
                  </w:pPr>
                  <w:r>
                    <w:rPr>
                      <w:color w:val="auto"/>
                      <w:highlight w:val="none"/>
                    </w:rPr>
                    <w:t>生态环境</w:t>
                  </w:r>
                </w:p>
              </w:tc>
              <w:tc>
                <w:tcPr>
                  <w:tcW w:w="1060" w:type="pct"/>
                  <w:tcBorders>
                    <w:tl2br w:val="nil"/>
                    <w:tr2bl w:val="nil"/>
                  </w:tcBorders>
                  <w:noWrap w:val="0"/>
                  <w:vAlign w:val="center"/>
                </w:tcPr>
                <w:p>
                  <w:pPr>
                    <w:pStyle w:val="32"/>
                    <w:bidi w:val="0"/>
                    <w:rPr>
                      <w:color w:val="auto"/>
                      <w:highlight w:val="none"/>
                    </w:rPr>
                  </w:pPr>
                  <w:r>
                    <w:rPr>
                      <w:color w:val="auto"/>
                      <w:highlight w:val="none"/>
                    </w:rPr>
                    <w:t>永久</w:t>
                  </w:r>
                  <w:r>
                    <w:rPr>
                      <w:rFonts w:hint="eastAsia"/>
                      <w:color w:val="auto"/>
                      <w:highlight w:val="none"/>
                      <w:lang w:eastAsia="zh-CN"/>
                    </w:rPr>
                    <w:t>占</w:t>
                  </w:r>
                  <w:r>
                    <w:rPr>
                      <w:color w:val="auto"/>
                      <w:highlight w:val="none"/>
                    </w:rPr>
                    <w:t>地</w:t>
                  </w:r>
                </w:p>
              </w:tc>
              <w:tc>
                <w:tcPr>
                  <w:tcW w:w="723" w:type="pct"/>
                  <w:tcBorders>
                    <w:tl2br w:val="nil"/>
                    <w:tr2bl w:val="nil"/>
                  </w:tcBorders>
                  <w:noWrap w:val="0"/>
                  <w:vAlign w:val="center"/>
                </w:tcPr>
                <w:p>
                  <w:pPr>
                    <w:pStyle w:val="32"/>
                    <w:bidi w:val="0"/>
                    <w:rPr>
                      <w:color w:val="auto"/>
                      <w:highlight w:val="none"/>
                    </w:rPr>
                  </w:pPr>
                  <w:r>
                    <w:rPr>
                      <w:rFonts w:hint="eastAsia"/>
                      <w:color w:val="auto"/>
                      <w:highlight w:val="none"/>
                    </w:rPr>
                    <w:t>长期、不可</w:t>
                  </w:r>
                </w:p>
                <w:p>
                  <w:pPr>
                    <w:pStyle w:val="32"/>
                    <w:bidi w:val="0"/>
                    <w:rPr>
                      <w:color w:val="auto"/>
                      <w:highlight w:val="none"/>
                    </w:rPr>
                  </w:pPr>
                  <w:r>
                    <w:rPr>
                      <w:rFonts w:hint="eastAsia"/>
                      <w:color w:val="auto"/>
                      <w:highlight w:val="none"/>
                    </w:rPr>
                    <w:t>逆、不利</w:t>
                  </w:r>
                </w:p>
              </w:tc>
              <w:tc>
                <w:tcPr>
                  <w:tcW w:w="2631" w:type="pct"/>
                  <w:vMerge w:val="restart"/>
                  <w:tcBorders>
                    <w:tl2br w:val="nil"/>
                    <w:tr2bl w:val="nil"/>
                  </w:tcBorders>
                  <w:noWrap w:val="0"/>
                  <w:vAlign w:val="center"/>
                </w:tcPr>
                <w:p>
                  <w:pPr>
                    <w:pStyle w:val="32"/>
                    <w:bidi w:val="0"/>
                    <w:jc w:val="left"/>
                    <w:rPr>
                      <w:rFonts w:hint="eastAsia"/>
                      <w:color w:val="auto"/>
                      <w:highlight w:val="none"/>
                      <w:lang w:eastAsia="zh-CN"/>
                    </w:rPr>
                  </w:pPr>
                  <w:r>
                    <w:rPr>
                      <w:rFonts w:hint="eastAsia"/>
                      <w:color w:val="auto"/>
                      <w:highlight w:val="none"/>
                    </w:rPr>
                    <w:t>1、工程永久和临时占地对沿线</w:t>
                  </w:r>
                  <w:r>
                    <w:rPr>
                      <w:rFonts w:hint="eastAsia"/>
                      <w:color w:val="auto"/>
                      <w:highlight w:val="none"/>
                      <w:lang w:eastAsia="zh-CN"/>
                    </w:rPr>
                    <w:t>生态</w:t>
                  </w:r>
                  <w:r>
                    <w:rPr>
                      <w:rFonts w:hint="eastAsia"/>
                      <w:color w:val="auto"/>
                      <w:highlight w:val="none"/>
                    </w:rPr>
                    <w:t>的影响</w:t>
                  </w:r>
                  <w:r>
                    <w:rPr>
                      <w:rFonts w:hint="eastAsia"/>
                      <w:color w:val="auto"/>
                      <w:highlight w:val="none"/>
                      <w:lang w:eastAsia="zh-CN"/>
                    </w:rPr>
                    <w:t>；</w:t>
                  </w:r>
                </w:p>
                <w:p>
                  <w:pPr>
                    <w:pStyle w:val="32"/>
                    <w:bidi w:val="0"/>
                    <w:jc w:val="left"/>
                    <w:rPr>
                      <w:rFonts w:hint="eastAsia"/>
                      <w:color w:val="auto"/>
                      <w:highlight w:val="none"/>
                      <w:lang w:eastAsia="zh-CN"/>
                    </w:rPr>
                  </w:pPr>
                  <w:r>
                    <w:rPr>
                      <w:rFonts w:hint="eastAsia"/>
                      <w:color w:val="auto"/>
                      <w:highlight w:val="none"/>
                    </w:rPr>
                    <w:t>2、施工过程中在路基开挖时易造成</w:t>
                  </w:r>
                  <w:r>
                    <w:rPr>
                      <w:rFonts w:hint="eastAsia"/>
                      <w:color w:val="auto"/>
                      <w:highlight w:val="none"/>
                      <w:lang w:eastAsia="zh-CN"/>
                    </w:rPr>
                    <w:t>所在地</w:t>
                  </w:r>
                  <w:r>
                    <w:rPr>
                      <w:rFonts w:hint="eastAsia"/>
                      <w:color w:val="auto"/>
                      <w:highlight w:val="none"/>
                    </w:rPr>
                    <w:t>短期、可逆、</w:t>
                  </w:r>
                  <w:r>
                    <w:rPr>
                      <w:rFonts w:hint="eastAsia"/>
                      <w:color w:val="auto"/>
                      <w:highlight w:val="none"/>
                      <w:lang w:eastAsia="zh-CN"/>
                    </w:rPr>
                    <w:t>地</w:t>
                  </w:r>
                  <w:r>
                    <w:rPr>
                      <w:rFonts w:hint="eastAsia"/>
                      <w:color w:val="auto"/>
                      <w:highlight w:val="none"/>
                    </w:rPr>
                    <w:t>表植被受损，将增加区域水土流失</w:t>
                  </w:r>
                  <w:r>
                    <w:rPr>
                      <w:rFonts w:hint="eastAsia"/>
                      <w:color w:val="auto"/>
                      <w:highlight w:val="none"/>
                      <w:lang w:eastAsia="zh-CN"/>
                    </w:rPr>
                    <w:t>；</w:t>
                  </w:r>
                </w:p>
                <w:p>
                  <w:pPr>
                    <w:pStyle w:val="32"/>
                    <w:bidi w:val="0"/>
                    <w:jc w:val="left"/>
                    <w:rPr>
                      <w:rFonts w:hint="eastAsia"/>
                      <w:color w:val="auto"/>
                      <w:highlight w:val="none"/>
                    </w:rPr>
                  </w:pPr>
                  <w:r>
                    <w:rPr>
                      <w:rFonts w:hint="eastAsia"/>
                      <w:color w:val="auto"/>
                      <w:highlight w:val="none"/>
                    </w:rPr>
                    <w:t>3、工程施工对沿线</w:t>
                  </w:r>
                  <w:r>
                    <w:rPr>
                      <w:rFonts w:hint="eastAsia"/>
                      <w:color w:val="auto"/>
                      <w:highlight w:val="none"/>
                      <w:lang w:eastAsia="zh-CN"/>
                    </w:rPr>
                    <w:t>生态环境</w:t>
                  </w:r>
                  <w:r>
                    <w:rPr>
                      <w:rFonts w:hint="eastAsia"/>
                      <w:color w:val="auto"/>
                      <w:highlight w:val="none"/>
                    </w:rPr>
                    <w:t>会产生一定影响，一般来讲其影响是不利的、可逆的、短暂的。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color w:val="auto"/>
                      <w:highlight w:val="none"/>
                    </w:rPr>
                  </w:pPr>
                  <w:r>
                    <w:rPr>
                      <w:color w:val="auto"/>
                      <w:highlight w:val="none"/>
                    </w:rPr>
                    <w:t>临时</w:t>
                  </w:r>
                  <w:r>
                    <w:rPr>
                      <w:rFonts w:hint="eastAsia"/>
                      <w:color w:val="auto"/>
                      <w:highlight w:val="none"/>
                      <w:lang w:eastAsia="zh-CN"/>
                    </w:rPr>
                    <w:t>占</w:t>
                  </w:r>
                  <w:r>
                    <w:rPr>
                      <w:color w:val="auto"/>
                      <w:highlight w:val="none"/>
                    </w:rPr>
                    <w:t>地</w:t>
                  </w:r>
                </w:p>
              </w:tc>
              <w:tc>
                <w:tcPr>
                  <w:tcW w:w="723" w:type="pct"/>
                  <w:vMerge w:val="restart"/>
                  <w:tcBorders>
                    <w:tl2br w:val="nil"/>
                    <w:tr2bl w:val="nil"/>
                  </w:tcBorders>
                  <w:noWrap w:val="0"/>
                  <w:vAlign w:val="center"/>
                </w:tcPr>
                <w:p>
                  <w:pPr>
                    <w:pStyle w:val="32"/>
                    <w:bidi w:val="0"/>
                    <w:rPr>
                      <w:color w:val="auto"/>
                      <w:highlight w:val="none"/>
                    </w:rPr>
                  </w:pPr>
                  <w:r>
                    <w:rPr>
                      <w:rFonts w:hint="eastAsia"/>
                      <w:color w:val="auto"/>
                      <w:highlight w:val="none"/>
                    </w:rPr>
                    <w:t>短期、可逆、</w:t>
                  </w:r>
                </w:p>
                <w:p>
                  <w:pPr>
                    <w:pStyle w:val="32"/>
                    <w:bidi w:val="0"/>
                    <w:rPr>
                      <w:color w:val="auto"/>
                      <w:highlight w:val="none"/>
                    </w:rPr>
                  </w:pPr>
                  <w:r>
                    <w:rPr>
                      <w:rFonts w:hint="eastAsia"/>
                      <w:color w:val="auto"/>
                      <w:highlight w:val="none"/>
                    </w:rPr>
                    <w:t>不利</w:t>
                  </w:r>
                </w:p>
              </w:tc>
              <w:tc>
                <w:tcPr>
                  <w:tcW w:w="2631"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color w:val="auto"/>
                      <w:highlight w:val="none"/>
                    </w:rPr>
                  </w:pPr>
                  <w:r>
                    <w:rPr>
                      <w:color w:val="auto"/>
                      <w:highlight w:val="none"/>
                    </w:rPr>
                    <w:t>水土流失</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585" w:type="pct"/>
                  <w:vMerge w:val="continue"/>
                  <w:tcBorders>
                    <w:tl2br w:val="nil"/>
                    <w:tr2bl w:val="nil"/>
                  </w:tcBorders>
                  <w:noWrap w:val="0"/>
                  <w:vAlign w:val="center"/>
                </w:tcPr>
                <w:p>
                  <w:pPr>
                    <w:pStyle w:val="32"/>
                    <w:bidi w:val="0"/>
                    <w:rPr>
                      <w:color w:val="auto"/>
                      <w:highlight w:val="none"/>
                    </w:rPr>
                  </w:pPr>
                </w:p>
              </w:tc>
              <w:tc>
                <w:tcPr>
                  <w:tcW w:w="1060" w:type="pct"/>
                  <w:tcBorders>
                    <w:tl2br w:val="nil"/>
                    <w:tr2bl w:val="nil"/>
                  </w:tcBorders>
                  <w:noWrap w:val="0"/>
                  <w:vAlign w:val="center"/>
                </w:tcPr>
                <w:p>
                  <w:pPr>
                    <w:pStyle w:val="32"/>
                    <w:bidi w:val="0"/>
                    <w:rPr>
                      <w:color w:val="auto"/>
                      <w:highlight w:val="none"/>
                    </w:rPr>
                  </w:pPr>
                  <w:r>
                    <w:rPr>
                      <w:color w:val="auto"/>
                      <w:highlight w:val="none"/>
                    </w:rPr>
                    <w:t>施工活动</w:t>
                  </w:r>
                </w:p>
              </w:tc>
              <w:tc>
                <w:tcPr>
                  <w:tcW w:w="723" w:type="pct"/>
                  <w:vMerge w:val="continue"/>
                  <w:tcBorders>
                    <w:tl2br w:val="nil"/>
                    <w:tr2bl w:val="nil"/>
                  </w:tcBorders>
                  <w:noWrap w:val="0"/>
                  <w:vAlign w:val="center"/>
                </w:tcPr>
                <w:p>
                  <w:pPr>
                    <w:pStyle w:val="32"/>
                    <w:bidi w:val="0"/>
                    <w:rPr>
                      <w:color w:val="auto"/>
                      <w:highlight w:val="none"/>
                    </w:rPr>
                  </w:pPr>
                </w:p>
              </w:tc>
              <w:tc>
                <w:tcPr>
                  <w:tcW w:w="2631" w:type="pct"/>
                  <w:vMerge w:val="continue"/>
                  <w:tcBorders>
                    <w:tl2br w:val="nil"/>
                    <w:tr2bl w:val="nil"/>
                  </w:tcBorders>
                  <w:noWrap w:val="0"/>
                  <w:vAlign w:val="center"/>
                </w:tcPr>
                <w:p>
                  <w:pPr>
                    <w:pStyle w:val="32"/>
                    <w:bidi w:val="0"/>
                    <w:rPr>
                      <w:color w:val="auto"/>
                      <w:highlight w:val="none"/>
                    </w:rPr>
                  </w:pPr>
                </w:p>
              </w:tc>
            </w:tr>
          </w:tbl>
          <w:p>
            <w:pPr>
              <w:pStyle w:val="33"/>
              <w:bidi w:val="0"/>
              <w:rPr>
                <w:b/>
                <w:bCs/>
                <w:color w:val="auto"/>
                <w:highlight w:val="none"/>
              </w:rPr>
            </w:pPr>
            <w:r>
              <w:rPr>
                <w:rFonts w:hint="eastAsia"/>
                <w:b/>
                <w:bCs/>
                <w:color w:val="auto"/>
                <w:highlight w:val="none"/>
                <w:lang w:val="en-US" w:eastAsia="zh-CN"/>
              </w:rPr>
              <w:t>4.1.1</w:t>
            </w:r>
            <w:r>
              <w:rPr>
                <w:b/>
                <w:bCs/>
                <w:color w:val="auto"/>
                <w:highlight w:val="none"/>
              </w:rPr>
              <w:t>施工期</w:t>
            </w:r>
            <w:r>
              <w:rPr>
                <w:rFonts w:hint="eastAsia"/>
                <w:b/>
                <w:bCs/>
                <w:color w:val="auto"/>
                <w:highlight w:val="none"/>
                <w:lang w:eastAsia="zh-CN"/>
              </w:rPr>
              <w:t>大气</w:t>
            </w:r>
            <w:r>
              <w:rPr>
                <w:b/>
                <w:bCs/>
                <w:color w:val="auto"/>
                <w:highlight w:val="none"/>
              </w:rPr>
              <w:t>影响分析</w:t>
            </w:r>
          </w:p>
          <w:p>
            <w:pPr>
              <w:pStyle w:val="33"/>
              <w:bidi w:val="0"/>
              <w:rPr>
                <w:color w:val="auto"/>
                <w:highlight w:val="none"/>
              </w:rPr>
            </w:pPr>
            <w:r>
              <w:rPr>
                <w:color w:val="auto"/>
                <w:highlight w:val="none"/>
              </w:rPr>
              <w:t>施工期对沿线环境空气</w:t>
            </w:r>
            <w:r>
              <w:rPr>
                <w:rFonts w:hint="eastAsia"/>
                <w:color w:val="auto"/>
                <w:highlight w:val="none"/>
                <w:lang w:eastAsia="zh-CN"/>
              </w:rPr>
              <w:t>的影响</w:t>
            </w:r>
            <w:r>
              <w:rPr>
                <w:color w:val="auto"/>
                <w:highlight w:val="none"/>
              </w:rPr>
              <w:t>主要是路基开挖过程</w:t>
            </w:r>
            <w:r>
              <w:rPr>
                <w:rFonts w:hint="eastAsia"/>
                <w:color w:val="auto"/>
                <w:highlight w:val="none"/>
                <w:lang w:eastAsia="zh-CN"/>
              </w:rPr>
              <w:t>、</w:t>
            </w:r>
            <w:r>
              <w:rPr>
                <w:color w:val="auto"/>
                <w:highlight w:val="none"/>
              </w:rPr>
              <w:t>筑路材料</w:t>
            </w:r>
            <w:r>
              <w:rPr>
                <w:rFonts w:hint="eastAsia"/>
                <w:color w:val="auto"/>
                <w:highlight w:val="none"/>
                <w:lang w:eastAsia="zh-CN"/>
              </w:rPr>
              <w:t>运输</w:t>
            </w:r>
            <w:r>
              <w:rPr>
                <w:color w:val="auto"/>
                <w:highlight w:val="none"/>
              </w:rPr>
              <w:t>、土方运输、堆存过程产生的扬尘</w:t>
            </w:r>
            <w:r>
              <w:rPr>
                <w:rFonts w:hint="eastAsia"/>
                <w:color w:val="auto"/>
                <w:highlight w:val="none"/>
              </w:rPr>
              <w:t>，</w:t>
            </w:r>
            <w:r>
              <w:rPr>
                <w:color w:val="auto"/>
                <w:highlight w:val="none"/>
              </w:rPr>
              <w:t>沥青摊铺时的沥青烟</w:t>
            </w:r>
            <w:r>
              <w:rPr>
                <w:rFonts w:hint="eastAsia"/>
                <w:color w:val="auto"/>
                <w:highlight w:val="none"/>
                <w:lang w:eastAsia="zh-CN"/>
              </w:rPr>
              <w:t>，焊接过程产生的</w:t>
            </w:r>
            <w:r>
              <w:rPr>
                <w:rFonts w:hint="eastAsia"/>
                <w:color w:val="auto"/>
                <w:highlight w:val="none"/>
              </w:rPr>
              <w:t>焊接废气</w:t>
            </w:r>
            <w:r>
              <w:rPr>
                <w:rFonts w:hint="eastAsia"/>
                <w:color w:val="auto"/>
                <w:highlight w:val="none"/>
                <w:lang w:eastAsia="zh-CN"/>
              </w:rPr>
              <w:t>，</w:t>
            </w:r>
            <w:r>
              <w:rPr>
                <w:rFonts w:hint="eastAsia"/>
                <w:color w:val="auto"/>
                <w:highlight w:val="none"/>
              </w:rPr>
              <w:t>施工机械排放的尾气</w:t>
            </w:r>
            <w:r>
              <w:rPr>
                <w:color w:val="auto"/>
                <w:highlight w:val="none"/>
              </w:rPr>
              <w:t>，</w:t>
            </w:r>
            <w:r>
              <w:rPr>
                <w:rFonts w:hint="eastAsia"/>
                <w:color w:val="auto"/>
                <w:highlight w:val="none"/>
                <w:lang w:eastAsia="zh-CN"/>
              </w:rPr>
              <w:t>施工期废气</w:t>
            </w:r>
            <w:r>
              <w:rPr>
                <w:color w:val="auto"/>
                <w:highlight w:val="none"/>
              </w:rPr>
              <w:t>污染是短期的，工程结束之后，这种污染将逐渐减轻并消失。</w:t>
            </w:r>
          </w:p>
          <w:p>
            <w:pPr>
              <w:pStyle w:val="33"/>
              <w:bidi w:val="0"/>
              <w:rPr>
                <w:color w:val="auto"/>
                <w:highlight w:val="none"/>
              </w:rPr>
            </w:pPr>
            <w:r>
              <w:rPr>
                <w:color w:val="auto"/>
                <w:highlight w:val="none"/>
              </w:rPr>
              <w:t>（1）</w:t>
            </w:r>
            <w:r>
              <w:rPr>
                <w:rFonts w:hint="eastAsia"/>
                <w:color w:val="auto"/>
                <w:highlight w:val="none"/>
                <w:lang w:eastAsia="zh-CN"/>
              </w:rPr>
              <w:t>车辆燃料燃烧</w:t>
            </w:r>
            <w:r>
              <w:rPr>
                <w:color w:val="auto"/>
                <w:highlight w:val="none"/>
              </w:rPr>
              <w:t>废气</w:t>
            </w:r>
          </w:p>
          <w:p>
            <w:pPr>
              <w:pStyle w:val="33"/>
              <w:bidi w:val="0"/>
              <w:rPr>
                <w:color w:val="auto"/>
                <w:highlight w:val="none"/>
              </w:rPr>
            </w:pPr>
            <w:r>
              <w:rPr>
                <w:color w:val="auto"/>
                <w:highlight w:val="none"/>
              </w:rPr>
              <w:t>施工机械</w:t>
            </w:r>
            <w:r>
              <w:rPr>
                <w:rFonts w:hint="eastAsia"/>
                <w:color w:val="auto"/>
                <w:highlight w:val="none"/>
                <w:lang w:eastAsia="zh-CN"/>
              </w:rPr>
              <w:t>及运输车辆</w:t>
            </w:r>
            <w:r>
              <w:rPr>
                <w:color w:val="auto"/>
                <w:highlight w:val="none"/>
              </w:rPr>
              <w:t>燃料使用过程中</w:t>
            </w:r>
            <w:r>
              <w:rPr>
                <w:rFonts w:hint="eastAsia"/>
                <w:color w:val="auto"/>
                <w:highlight w:val="none"/>
                <w:lang w:eastAsia="zh-CN"/>
              </w:rPr>
              <w:t>会</w:t>
            </w:r>
            <w:r>
              <w:rPr>
                <w:color w:val="auto"/>
                <w:highlight w:val="none"/>
              </w:rPr>
              <w:t>产生CO、THC、NO</w:t>
            </w:r>
            <w:r>
              <w:rPr>
                <w:rFonts w:hint="eastAsia"/>
                <w:color w:val="auto"/>
                <w:highlight w:val="none"/>
                <w:lang w:val="en-US" w:eastAsia="zh-CN"/>
              </w:rPr>
              <w:t>x</w:t>
            </w:r>
            <w:r>
              <w:rPr>
                <w:color w:val="auto"/>
                <w:highlight w:val="none"/>
              </w:rPr>
              <w:t>等污染物。施工期，频繁使用机动车运送原材料、设备和建筑机械设备，这些车辆及设备的运行会排放一定量的CO、NOx以及未完全燃烧的碳氢化物HC等，同时产生扬尘污染大气环境。本工程施工期将采用推土机、挖掘机、载重汽车等机械设备，这些设备在行驶和作业过程中将排放尾气，污染周边大气环境，但由于大气污染源较分散，且源强难于定量估算，因此主要在环保防治措施中提出对策建议，只要合理设置施工场地、有效落实各项环保措施，则施工机械尾气对环境空气的影响是较小、而且是暂时的。</w:t>
            </w:r>
          </w:p>
          <w:p>
            <w:pPr>
              <w:pStyle w:val="33"/>
              <w:bidi w:val="0"/>
              <w:rPr>
                <w:color w:val="auto"/>
                <w:highlight w:val="none"/>
              </w:rPr>
            </w:pPr>
            <w:r>
              <w:rPr>
                <w:color w:val="auto"/>
                <w:highlight w:val="none"/>
              </w:rPr>
              <w:t>（</w:t>
            </w:r>
            <w:r>
              <w:rPr>
                <w:rFonts w:hint="eastAsia"/>
                <w:color w:val="auto"/>
                <w:highlight w:val="none"/>
              </w:rPr>
              <w:t>2</w:t>
            </w:r>
            <w:r>
              <w:rPr>
                <w:color w:val="auto"/>
                <w:highlight w:val="none"/>
              </w:rPr>
              <w:t>）沥青烟</w:t>
            </w:r>
          </w:p>
          <w:p>
            <w:pPr>
              <w:pStyle w:val="33"/>
              <w:bidi w:val="0"/>
              <w:rPr>
                <w:color w:val="auto"/>
                <w:highlight w:val="none"/>
              </w:rPr>
            </w:pPr>
            <w:r>
              <w:rPr>
                <w:rFonts w:hint="eastAsia"/>
                <w:color w:val="auto"/>
                <w:highlight w:val="none"/>
              </w:rPr>
              <w:t>道路路面</w:t>
            </w:r>
            <w:r>
              <w:rPr>
                <w:color w:val="auto"/>
                <w:highlight w:val="none"/>
              </w:rPr>
              <w:t>建设过程中排放沥青烟最严重的是沥青熔融、搅拌工序，且主要以沥青产生的影响为主，沥青烟中主要物质为烃类和苯并</w:t>
            </w:r>
            <w:r>
              <w:rPr>
                <w:rFonts w:hint="eastAsia"/>
                <w:color w:val="auto"/>
                <w:highlight w:val="none"/>
                <w:lang w:val="en-US" w:eastAsia="zh-CN"/>
              </w:rPr>
              <w:t>[</w:t>
            </w:r>
            <w:r>
              <w:rPr>
                <w:color w:val="auto"/>
                <w:highlight w:val="none"/>
              </w:rPr>
              <w:t>a</w:t>
            </w:r>
            <w:r>
              <w:rPr>
                <w:rFonts w:hint="eastAsia"/>
                <w:color w:val="auto"/>
                <w:highlight w:val="none"/>
                <w:lang w:val="en-US" w:eastAsia="zh-CN"/>
              </w:rPr>
              <w:t>]</w:t>
            </w:r>
            <w:r>
              <w:rPr>
                <w:color w:val="auto"/>
                <w:highlight w:val="none"/>
              </w:rPr>
              <w:t>芘。</w:t>
            </w:r>
          </w:p>
          <w:p>
            <w:pPr>
              <w:pStyle w:val="33"/>
              <w:bidi w:val="0"/>
              <w:rPr>
                <w:color w:val="auto"/>
                <w:highlight w:val="none"/>
              </w:rPr>
            </w:pPr>
            <w:r>
              <w:rPr>
                <w:rFonts w:hint="eastAsia"/>
                <w:color w:val="auto"/>
                <w:highlight w:val="none"/>
                <w:lang w:eastAsia="zh-CN"/>
              </w:rPr>
              <w:t>本项目</w:t>
            </w:r>
            <w:r>
              <w:rPr>
                <w:color w:val="auto"/>
                <w:highlight w:val="none"/>
              </w:rPr>
              <w:t>沥青采取商品沥青混凝土形式，熔融和搅拌过程全部在专业工厂进行，沥青熔融、搅拌过程的沥青烟影响可以消除</w:t>
            </w:r>
            <w:r>
              <w:rPr>
                <w:rFonts w:hint="eastAsia"/>
                <w:color w:val="auto"/>
                <w:highlight w:val="none"/>
              </w:rPr>
              <w:t>，只在现场摊铺时有少量的沥青烟产生，本项目尽量避免中午作业，可减少对臭氧层的破坏</w:t>
            </w:r>
            <w:r>
              <w:rPr>
                <w:color w:val="auto"/>
                <w:highlight w:val="none"/>
              </w:rPr>
              <w:t>。据调查在沥青路面铺设过程中沥青温度大约140-150℃，摊铺时产生的有害物质HC和BaP比沥青熔融和搅拌时要少很多，加之沥青路面铺设过程相对较短，对周围环境影响相对较小，</w:t>
            </w:r>
            <w:r>
              <w:rPr>
                <w:rFonts w:hint="eastAsia"/>
                <w:color w:val="auto"/>
                <w:highlight w:val="none"/>
                <w:lang w:eastAsia="zh-CN"/>
              </w:rPr>
              <w:t>因此沥青烟、</w:t>
            </w:r>
            <w:r>
              <w:rPr>
                <w:color w:val="auto"/>
                <w:highlight w:val="none"/>
              </w:rPr>
              <w:t>苯并[a]芘</w:t>
            </w:r>
            <w:r>
              <w:rPr>
                <w:rFonts w:hint="eastAsia"/>
                <w:color w:val="auto"/>
                <w:highlight w:val="none"/>
                <w:lang w:eastAsia="zh-CN"/>
              </w:rPr>
              <w:t>均</w:t>
            </w:r>
            <w:r>
              <w:rPr>
                <w:color w:val="auto"/>
                <w:highlight w:val="none"/>
              </w:rPr>
              <w:t>可满足《大气污染物综合排放标准》（GB16297</w:t>
            </w:r>
            <w:r>
              <w:rPr>
                <w:rFonts w:hint="eastAsia"/>
                <w:color w:val="auto"/>
                <w:highlight w:val="none"/>
                <w:lang w:val="en-US" w:eastAsia="zh-CN"/>
              </w:rPr>
              <w:t>-</w:t>
            </w:r>
            <w:r>
              <w:rPr>
                <w:color w:val="auto"/>
                <w:highlight w:val="none"/>
              </w:rPr>
              <w:t>1996）表2</w:t>
            </w:r>
            <w:r>
              <w:rPr>
                <w:rFonts w:hint="eastAsia"/>
                <w:color w:val="auto"/>
                <w:highlight w:val="none"/>
                <w:lang w:eastAsia="zh-CN"/>
              </w:rPr>
              <w:t>相关</w:t>
            </w:r>
            <w:r>
              <w:rPr>
                <w:color w:val="auto"/>
                <w:highlight w:val="none"/>
              </w:rPr>
              <w:t>限值</w:t>
            </w:r>
            <w:r>
              <w:rPr>
                <w:rFonts w:hint="eastAsia"/>
                <w:color w:val="auto"/>
                <w:highlight w:val="none"/>
                <w:lang w:eastAsia="zh-CN"/>
              </w:rPr>
              <w:t>要求</w:t>
            </w:r>
            <w:r>
              <w:rPr>
                <w:color w:val="auto"/>
                <w:highlight w:val="none"/>
              </w:rPr>
              <w:t>。</w:t>
            </w:r>
          </w:p>
          <w:p>
            <w:pPr>
              <w:pStyle w:val="33"/>
              <w:bidi w:val="0"/>
              <w:rPr>
                <w:color w:val="auto"/>
                <w:highlight w:val="none"/>
              </w:rPr>
            </w:pPr>
            <w:r>
              <w:rPr>
                <w:rFonts w:hint="eastAsia"/>
                <w:color w:val="auto"/>
                <w:highlight w:val="none"/>
                <w:lang w:val="zh-CN"/>
              </w:rPr>
              <w:t>（</w:t>
            </w:r>
            <w:r>
              <w:rPr>
                <w:rFonts w:hint="eastAsia"/>
                <w:color w:val="auto"/>
                <w:highlight w:val="none"/>
                <w:lang w:val="en-US" w:eastAsia="zh-CN"/>
              </w:rPr>
              <w:t>3</w:t>
            </w:r>
            <w:r>
              <w:rPr>
                <w:rFonts w:hint="eastAsia"/>
                <w:color w:val="auto"/>
                <w:highlight w:val="none"/>
                <w:lang w:val="zh-CN"/>
              </w:rPr>
              <w:t>）</w:t>
            </w:r>
            <w:r>
              <w:rPr>
                <w:color w:val="auto"/>
                <w:highlight w:val="none"/>
                <w:lang w:val="zh-CN"/>
              </w:rPr>
              <w:t>施工扬尘</w:t>
            </w:r>
          </w:p>
          <w:p>
            <w:pPr>
              <w:pStyle w:val="33"/>
              <w:bidi w:val="0"/>
              <w:rPr>
                <w:color w:val="auto"/>
                <w:highlight w:val="none"/>
              </w:rPr>
            </w:pPr>
            <w:r>
              <w:rPr>
                <w:color w:val="auto"/>
                <w:highlight w:val="none"/>
              </w:rPr>
              <w:t>施工扬尘主要来自以下几个环节：</w:t>
            </w:r>
          </w:p>
          <w:p>
            <w:pPr>
              <w:pStyle w:val="33"/>
              <w:bidi w:val="0"/>
              <w:rPr>
                <w:color w:val="auto"/>
                <w:highlight w:val="none"/>
              </w:rPr>
            </w:pPr>
            <w:r>
              <w:rPr>
                <w:rFonts w:hint="eastAsia"/>
                <w:color w:val="auto"/>
                <w:highlight w:val="none"/>
              </w:rPr>
              <w:t>①</w:t>
            </w:r>
            <w:r>
              <w:rPr>
                <w:color w:val="auto"/>
                <w:highlight w:val="none"/>
              </w:rPr>
              <w:t>在基础开挖、地基处理、土地平整</w:t>
            </w:r>
            <w:r>
              <w:rPr>
                <w:rFonts w:hint="eastAsia"/>
                <w:color w:val="auto"/>
                <w:highlight w:val="none"/>
                <w:lang w:eastAsia="zh-CN"/>
              </w:rPr>
              <w:t>、</w:t>
            </w:r>
            <w:r>
              <w:rPr>
                <w:rFonts w:hint="eastAsia"/>
                <w:color w:val="FF0000"/>
                <w:highlight w:val="none"/>
                <w:lang w:eastAsia="zh-CN"/>
              </w:rPr>
              <w:t>拆除、铣刨</w:t>
            </w:r>
            <w:r>
              <w:rPr>
                <w:color w:val="auto"/>
                <w:highlight w:val="none"/>
              </w:rPr>
              <w:t>等过程中，由于表层土壤破坏，如遇干旱、大风天气，会造成扬尘污染；</w:t>
            </w:r>
            <w:r>
              <w:rPr>
                <w:rFonts w:hint="eastAsia"/>
                <w:color w:val="auto"/>
                <w:highlight w:val="none"/>
              </w:rPr>
              <w:t>②</w:t>
            </w:r>
            <w:r>
              <w:rPr>
                <w:color w:val="auto"/>
                <w:highlight w:val="none"/>
              </w:rPr>
              <w:t>建筑材料运输、装卸、储存过程产生的扬尘；</w:t>
            </w:r>
            <w:r>
              <w:rPr>
                <w:rFonts w:hint="eastAsia"/>
                <w:color w:val="auto"/>
                <w:highlight w:val="none"/>
              </w:rPr>
              <w:t>③</w:t>
            </w:r>
            <w:r>
              <w:rPr>
                <w:color w:val="auto"/>
                <w:highlight w:val="none"/>
              </w:rPr>
              <w:t>建筑垃圾的堆放、清理外运过程产生的扬尘。</w:t>
            </w:r>
          </w:p>
          <w:p>
            <w:pPr>
              <w:pStyle w:val="33"/>
              <w:bidi w:val="0"/>
              <w:rPr>
                <w:color w:val="auto"/>
                <w:highlight w:val="none"/>
              </w:rPr>
            </w:pPr>
            <w:r>
              <w:rPr>
                <w:color w:val="auto"/>
                <w:highlight w:val="none"/>
              </w:rPr>
              <w:t>上述各个扬尘环节属于无组织排放，在时间和空间上均较分散</w:t>
            </w:r>
            <w:r>
              <w:rPr>
                <w:rFonts w:hint="eastAsia"/>
                <w:color w:val="auto"/>
                <w:highlight w:val="none"/>
                <w:lang w:eastAsia="zh-CN"/>
              </w:rPr>
              <w:t>，</w:t>
            </w:r>
            <w:r>
              <w:rPr>
                <w:rFonts w:hint="eastAsia"/>
                <w:color w:val="auto"/>
                <w:highlight w:val="none"/>
              </w:rPr>
              <w:t>且</w:t>
            </w:r>
            <w:r>
              <w:rPr>
                <w:rFonts w:hint="eastAsia"/>
                <w:color w:val="auto"/>
                <w:highlight w:val="none"/>
                <w:lang w:eastAsia="zh-CN"/>
              </w:rPr>
              <w:t>施工</w:t>
            </w:r>
            <w:r>
              <w:rPr>
                <w:rFonts w:hint="eastAsia"/>
                <w:color w:val="auto"/>
                <w:highlight w:val="none"/>
              </w:rPr>
              <w:t>场地</w:t>
            </w:r>
            <w:r>
              <w:rPr>
                <w:rFonts w:hint="eastAsia"/>
                <w:color w:val="auto"/>
                <w:highlight w:val="none"/>
                <w:lang w:eastAsia="zh-CN"/>
              </w:rPr>
              <w:t>采取</w:t>
            </w:r>
            <w:r>
              <w:rPr>
                <w:rFonts w:hint="eastAsia"/>
                <w:color w:val="auto"/>
                <w:highlight w:val="none"/>
              </w:rPr>
              <w:t>洒水抑尘</w:t>
            </w:r>
            <w:r>
              <w:rPr>
                <w:rFonts w:hint="eastAsia"/>
                <w:color w:val="auto"/>
                <w:highlight w:val="none"/>
                <w:lang w:eastAsia="zh-CN"/>
              </w:rPr>
              <w:t>、裸露地面进行密目网苫盖、出入口设置车辆清洗设施等抑尘措施</w:t>
            </w:r>
            <w:r>
              <w:rPr>
                <w:color w:val="auto"/>
                <w:highlight w:val="none"/>
              </w:rPr>
              <w:t>。据类比调查，</w:t>
            </w:r>
            <w:r>
              <w:rPr>
                <w:rFonts w:hint="eastAsia"/>
                <w:color w:val="auto"/>
                <w:highlight w:val="none"/>
              </w:rPr>
              <w:t>经洒水抑尘</w:t>
            </w:r>
            <w:r>
              <w:rPr>
                <w:rFonts w:hint="eastAsia"/>
                <w:color w:val="auto"/>
                <w:highlight w:val="none"/>
                <w:lang w:eastAsia="zh-CN"/>
              </w:rPr>
              <w:t>、裸露地面苫盖</w:t>
            </w:r>
            <w:r>
              <w:rPr>
                <w:rFonts w:hint="eastAsia"/>
                <w:color w:val="auto"/>
                <w:highlight w:val="none"/>
              </w:rPr>
              <w:t>后</w:t>
            </w:r>
            <w:r>
              <w:rPr>
                <w:rFonts w:hint="eastAsia"/>
                <w:color w:val="auto"/>
                <w:highlight w:val="none"/>
                <w:lang w:eastAsia="zh-CN"/>
              </w:rPr>
              <w:t>扬尘</w:t>
            </w:r>
            <w:r>
              <w:rPr>
                <w:color w:val="auto"/>
                <w:highlight w:val="none"/>
              </w:rPr>
              <w:t>影响范围大约在距离施工现场1</w:t>
            </w:r>
            <w:r>
              <w:rPr>
                <w:rFonts w:hint="eastAsia"/>
                <w:color w:val="auto"/>
                <w:highlight w:val="none"/>
              </w:rPr>
              <w:t>0</w:t>
            </w:r>
            <w:r>
              <w:rPr>
                <w:color w:val="auto"/>
                <w:highlight w:val="none"/>
              </w:rPr>
              <w:t>0m内。项目施工期扬尘满足河北省地方标准《施工场地扬尘排放标准》（DB13/2934</w:t>
            </w:r>
            <w:r>
              <w:rPr>
                <w:rFonts w:hint="eastAsia"/>
                <w:color w:val="auto"/>
                <w:highlight w:val="none"/>
              </w:rPr>
              <w:t>-</w:t>
            </w:r>
            <w:r>
              <w:rPr>
                <w:color w:val="auto"/>
                <w:highlight w:val="none"/>
              </w:rPr>
              <w:t>2019）排放浓度限值</w:t>
            </w:r>
            <w:r>
              <w:rPr>
                <w:rFonts w:hint="eastAsia"/>
                <w:color w:val="auto"/>
                <w:highlight w:val="none"/>
                <w:lang w:eastAsia="zh-CN"/>
              </w:rPr>
              <w:t>要求</w:t>
            </w:r>
            <w:r>
              <w:rPr>
                <w:rFonts w:hint="eastAsia"/>
                <w:color w:val="auto"/>
                <w:highlight w:val="none"/>
              </w:rPr>
              <w:t>，对周围环境影响较小</w:t>
            </w:r>
            <w:r>
              <w:rPr>
                <w:color w:val="auto"/>
                <w:highlight w:val="none"/>
              </w:rPr>
              <w:t>。</w:t>
            </w:r>
          </w:p>
          <w:p>
            <w:pPr>
              <w:pStyle w:val="33"/>
              <w:bidi w:val="0"/>
              <w:rPr>
                <w:rFonts w:hint="eastAsia"/>
                <w:color w:val="auto"/>
                <w:highlight w:val="none"/>
                <w:lang w:val="zh-CN"/>
              </w:rPr>
            </w:pPr>
            <w:r>
              <w:rPr>
                <w:rFonts w:hint="eastAsia"/>
                <w:color w:val="auto"/>
                <w:highlight w:val="none"/>
                <w:lang w:val="zh-CN"/>
              </w:rPr>
              <w:t>（</w:t>
            </w:r>
            <w:r>
              <w:rPr>
                <w:rFonts w:hint="eastAsia"/>
                <w:color w:val="auto"/>
                <w:highlight w:val="none"/>
                <w:lang w:val="en-US" w:eastAsia="zh-CN"/>
              </w:rPr>
              <w:t>4</w:t>
            </w:r>
            <w:r>
              <w:rPr>
                <w:rFonts w:hint="eastAsia"/>
                <w:color w:val="auto"/>
                <w:highlight w:val="none"/>
                <w:lang w:val="zh-CN"/>
              </w:rPr>
              <w:t>）焊接烟气</w:t>
            </w:r>
          </w:p>
          <w:p>
            <w:pPr>
              <w:pStyle w:val="33"/>
              <w:bidi w:val="0"/>
              <w:rPr>
                <w:rFonts w:hint="eastAsia"/>
                <w:color w:val="auto"/>
                <w:highlight w:val="none"/>
                <w:lang w:val="zh-CN"/>
              </w:rPr>
            </w:pPr>
            <w:r>
              <w:rPr>
                <w:rFonts w:hint="eastAsia"/>
                <w:color w:val="auto"/>
                <w:highlight w:val="none"/>
                <w:lang w:val="zh-CN"/>
              </w:rPr>
              <w:t>施工过程需要进行钢筋等焊接，焊接过程产生的焊接烟气经移动焊接烟尘净化器处理后达标排放，对周围环境影响较小。</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4.1.2施工期声环境影响分析</w:t>
            </w:r>
          </w:p>
          <w:p>
            <w:pPr>
              <w:pStyle w:val="33"/>
              <w:bidi w:val="0"/>
              <w:rPr>
                <w:rFonts w:hint="eastAsia"/>
                <w:color w:val="auto"/>
                <w:highlight w:val="none"/>
              </w:rPr>
            </w:pPr>
            <w:r>
              <w:rPr>
                <w:rFonts w:hint="eastAsia"/>
                <w:color w:val="auto"/>
                <w:highlight w:val="none"/>
              </w:rPr>
              <w:t>施工期间的噪声主要为施工机械运行产生的噪声，机械主要有挖掘机、推土机等。噪声影响较大的施工机械是摊铺机、装载机、挖掘机等。在实际施工过程中可能存在多台机械同时一处工作。</w:t>
            </w:r>
          </w:p>
          <w:p>
            <w:pPr>
              <w:pStyle w:val="33"/>
              <w:bidi w:val="0"/>
              <w:rPr>
                <w:rFonts w:hint="eastAsia"/>
                <w:color w:val="auto"/>
                <w:highlight w:val="none"/>
              </w:rPr>
            </w:pPr>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w:t>
            </w:r>
            <w:r>
              <w:rPr>
                <w:rFonts w:hint="eastAsia"/>
                <w:color w:val="auto"/>
                <w:highlight w:val="none"/>
              </w:rPr>
              <w:t>施工期噪声源分析</w:t>
            </w:r>
          </w:p>
          <w:p>
            <w:pPr>
              <w:pStyle w:val="33"/>
              <w:bidi w:val="0"/>
              <w:rPr>
                <w:rFonts w:hint="eastAsia"/>
                <w:color w:val="auto"/>
                <w:highlight w:val="none"/>
              </w:rPr>
            </w:pPr>
            <w:r>
              <w:rPr>
                <w:rFonts w:hint="eastAsia"/>
                <w:color w:val="auto"/>
                <w:highlight w:val="none"/>
              </w:rPr>
              <w:t>施工期噪声影响主要表现为材料运输车辆行驶、施工作业机械产生的施工道路交通噪声以及施工机械噪声；施工单元主要在路面破除，基础工程、基础部分的挖土作业等。</w:t>
            </w:r>
          </w:p>
          <w:p>
            <w:pPr>
              <w:pStyle w:val="33"/>
              <w:bidi w:val="0"/>
              <w:rPr>
                <w:rFonts w:hint="eastAsia"/>
                <w:color w:val="auto"/>
                <w:highlight w:val="none"/>
              </w:rPr>
            </w:pPr>
            <w:r>
              <w:rPr>
                <w:rFonts w:hint="eastAsia"/>
                <w:color w:val="auto"/>
                <w:highlight w:val="none"/>
              </w:rPr>
              <w:t>常见的施工机械主要有装载机、挖掘机、推土机等机械，其源强根据常用机械的实测资料确定，如下表所示。此外在实际施工过程中，各类施工机械同时工作，各类噪声源辐射的相互叠加，噪声级将会更高，辐射面也会更大，远远高于《建筑施工场界环境噪声排放标准》（GB12523-2011）。由此施工期产生的噪声强度较大，尽管影响时间较短，但也要重视。</w:t>
            </w:r>
          </w:p>
          <w:p>
            <w:pPr>
              <w:pStyle w:val="36"/>
              <w:numPr>
                <w:ilvl w:val="0"/>
                <w:numId w:val="12"/>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主要施工机械不同距离处的噪声值</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959"/>
              <w:gridCol w:w="1881"/>
              <w:gridCol w:w="2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序号</w:t>
                  </w:r>
                </w:p>
              </w:tc>
              <w:tc>
                <w:tcPr>
                  <w:tcW w:w="1770" w:type="pct"/>
                  <w:tcBorders>
                    <w:tl2br w:val="nil"/>
                    <w:tr2bl w:val="nil"/>
                  </w:tcBorders>
                  <w:noWrap w:val="0"/>
                  <w:vAlign w:val="center"/>
                </w:tcPr>
                <w:p>
                  <w:pPr>
                    <w:pStyle w:val="32"/>
                    <w:bidi w:val="0"/>
                    <w:rPr>
                      <w:color w:val="auto"/>
                      <w:highlight w:val="none"/>
                    </w:rPr>
                  </w:pPr>
                  <w:r>
                    <w:rPr>
                      <w:rFonts w:hint="eastAsia"/>
                      <w:color w:val="auto"/>
                      <w:highlight w:val="none"/>
                    </w:rPr>
                    <w:t>机械名称</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测试距离（</w:t>
                  </w:r>
                  <w:r>
                    <w:rPr>
                      <w:color w:val="auto"/>
                      <w:highlight w:val="none"/>
                    </w:rPr>
                    <w:t>m</w:t>
                  </w:r>
                  <w:r>
                    <w:rPr>
                      <w:rFonts w:hint="eastAsia"/>
                      <w:color w:val="auto"/>
                      <w:highlight w:val="none"/>
                    </w:rPr>
                    <w:t>）</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噪声值</w:t>
                  </w:r>
                  <w:r>
                    <w:rPr>
                      <w:color w:val="auto"/>
                      <w:highlight w:val="none"/>
                    </w:rPr>
                    <w:t>[dB</w:t>
                  </w:r>
                  <w:r>
                    <w:rPr>
                      <w:rFonts w:hint="eastAsia"/>
                      <w:color w:val="auto"/>
                      <w:highlight w:val="none"/>
                      <w:lang w:val="en-US" w:eastAsia="zh-CN"/>
                    </w:rPr>
                    <w:t>(</w:t>
                  </w:r>
                  <w:r>
                    <w:rPr>
                      <w:color w:val="auto"/>
                      <w:highlight w:val="none"/>
                    </w:rPr>
                    <w:t>A</w:t>
                  </w:r>
                  <w:r>
                    <w:rPr>
                      <w:rFonts w:hint="eastAsia"/>
                      <w:color w:val="auto"/>
                      <w:highlight w:val="none"/>
                      <w:lang w:val="en-US" w:eastAsia="zh-CN"/>
                    </w:rPr>
                    <w:t>)</w:t>
                  </w:r>
                  <w:r>
                    <w:rPr>
                      <w:color w:val="auto"/>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1</w:t>
                  </w:r>
                </w:p>
              </w:tc>
              <w:tc>
                <w:tcPr>
                  <w:tcW w:w="1770" w:type="pct"/>
                  <w:tcBorders>
                    <w:tl2br w:val="nil"/>
                    <w:tr2bl w:val="nil"/>
                  </w:tcBorders>
                  <w:noWrap w:val="0"/>
                  <w:vAlign w:val="center"/>
                </w:tcPr>
                <w:p>
                  <w:pPr>
                    <w:pStyle w:val="32"/>
                    <w:bidi w:val="0"/>
                    <w:rPr>
                      <w:color w:val="auto"/>
                      <w:highlight w:val="none"/>
                    </w:rPr>
                  </w:pPr>
                  <w:r>
                    <w:rPr>
                      <w:color w:val="auto"/>
                      <w:highlight w:val="none"/>
                    </w:rPr>
                    <w:t>履带式推土机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2</w:t>
                  </w:r>
                </w:p>
              </w:tc>
              <w:tc>
                <w:tcPr>
                  <w:tcW w:w="1770" w:type="pct"/>
                  <w:tcBorders>
                    <w:tl2br w:val="nil"/>
                    <w:tr2bl w:val="nil"/>
                  </w:tcBorders>
                  <w:noWrap w:val="0"/>
                  <w:vAlign w:val="center"/>
                </w:tcPr>
                <w:p>
                  <w:pPr>
                    <w:pStyle w:val="32"/>
                    <w:bidi w:val="0"/>
                    <w:rPr>
                      <w:color w:val="auto"/>
                      <w:highlight w:val="none"/>
                    </w:rPr>
                  </w:pPr>
                  <w:r>
                    <w:rPr>
                      <w:color w:val="auto"/>
                      <w:highlight w:val="none"/>
                    </w:rPr>
                    <w:t>履带式单斗挖掘机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3</w:t>
                  </w:r>
                </w:p>
              </w:tc>
              <w:tc>
                <w:tcPr>
                  <w:tcW w:w="1770" w:type="pct"/>
                  <w:tcBorders>
                    <w:tl2br w:val="nil"/>
                    <w:tr2bl w:val="nil"/>
                  </w:tcBorders>
                  <w:noWrap w:val="0"/>
                  <w:vAlign w:val="center"/>
                </w:tcPr>
                <w:p>
                  <w:pPr>
                    <w:pStyle w:val="32"/>
                    <w:bidi w:val="0"/>
                    <w:rPr>
                      <w:color w:val="auto"/>
                      <w:highlight w:val="none"/>
                    </w:rPr>
                  </w:pPr>
                  <w:r>
                    <w:rPr>
                      <w:color w:val="auto"/>
                      <w:highlight w:val="none"/>
                    </w:rPr>
                    <w:t>轮胎式装载机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4</w:t>
                  </w:r>
                </w:p>
              </w:tc>
              <w:tc>
                <w:tcPr>
                  <w:tcW w:w="1770" w:type="pct"/>
                  <w:tcBorders>
                    <w:tl2br w:val="nil"/>
                    <w:tr2bl w:val="nil"/>
                  </w:tcBorders>
                  <w:noWrap w:val="0"/>
                  <w:vAlign w:val="center"/>
                </w:tcPr>
                <w:p>
                  <w:pPr>
                    <w:pStyle w:val="32"/>
                    <w:bidi w:val="0"/>
                    <w:rPr>
                      <w:color w:val="auto"/>
                      <w:highlight w:val="none"/>
                    </w:rPr>
                  </w:pPr>
                  <w:r>
                    <w:rPr>
                      <w:color w:val="auto"/>
                      <w:highlight w:val="none"/>
                    </w:rPr>
                    <w:t>平地机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5</w:t>
                  </w:r>
                </w:p>
              </w:tc>
              <w:tc>
                <w:tcPr>
                  <w:tcW w:w="1770" w:type="pct"/>
                  <w:tcBorders>
                    <w:tl2br w:val="nil"/>
                    <w:tr2bl w:val="nil"/>
                  </w:tcBorders>
                  <w:noWrap w:val="0"/>
                  <w:vAlign w:val="center"/>
                </w:tcPr>
                <w:p>
                  <w:pPr>
                    <w:pStyle w:val="32"/>
                    <w:bidi w:val="0"/>
                    <w:rPr>
                      <w:color w:val="auto"/>
                      <w:highlight w:val="none"/>
                    </w:rPr>
                  </w:pPr>
                  <w:r>
                    <w:rPr>
                      <w:color w:val="auto"/>
                      <w:highlight w:val="none"/>
                    </w:rPr>
                    <w:t>压路机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6</w:t>
                  </w:r>
                </w:p>
              </w:tc>
              <w:tc>
                <w:tcPr>
                  <w:tcW w:w="1770" w:type="pct"/>
                  <w:tcBorders>
                    <w:tl2br w:val="nil"/>
                    <w:tr2bl w:val="nil"/>
                  </w:tcBorders>
                  <w:noWrap w:val="0"/>
                  <w:vAlign w:val="center"/>
                </w:tcPr>
                <w:p>
                  <w:pPr>
                    <w:pStyle w:val="32"/>
                    <w:bidi w:val="0"/>
                    <w:rPr>
                      <w:color w:val="auto"/>
                      <w:highlight w:val="none"/>
                    </w:rPr>
                  </w:pPr>
                  <w:r>
                    <w:rPr>
                      <w:color w:val="auto"/>
                      <w:highlight w:val="none"/>
                    </w:rPr>
                    <w:t>蛙式夯土机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7</w:t>
                  </w:r>
                </w:p>
              </w:tc>
              <w:tc>
                <w:tcPr>
                  <w:tcW w:w="1770" w:type="pct"/>
                  <w:tcBorders>
                    <w:tl2br w:val="nil"/>
                    <w:tr2bl w:val="nil"/>
                  </w:tcBorders>
                  <w:noWrap w:val="0"/>
                  <w:vAlign w:val="center"/>
                </w:tcPr>
                <w:p>
                  <w:pPr>
                    <w:pStyle w:val="32"/>
                    <w:bidi w:val="0"/>
                    <w:rPr>
                      <w:color w:val="auto"/>
                      <w:highlight w:val="none"/>
                    </w:rPr>
                  </w:pPr>
                  <w:r>
                    <w:rPr>
                      <w:color w:val="auto"/>
                      <w:highlight w:val="none"/>
                    </w:rPr>
                    <w:t>稳定土摊铺机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color w:val="auto"/>
                      <w:highlight w:val="none"/>
                    </w:rPr>
                    <w:t>8</w:t>
                  </w:r>
                </w:p>
              </w:tc>
              <w:tc>
                <w:tcPr>
                  <w:tcW w:w="1770" w:type="pct"/>
                  <w:tcBorders>
                    <w:tl2br w:val="nil"/>
                    <w:tr2bl w:val="nil"/>
                  </w:tcBorders>
                  <w:noWrap w:val="0"/>
                  <w:vAlign w:val="center"/>
                </w:tcPr>
                <w:p>
                  <w:pPr>
                    <w:pStyle w:val="32"/>
                    <w:bidi w:val="0"/>
                    <w:rPr>
                      <w:color w:val="auto"/>
                      <w:highlight w:val="none"/>
                    </w:rPr>
                  </w:pPr>
                  <w:r>
                    <w:rPr>
                      <w:color w:val="auto"/>
                      <w:highlight w:val="none"/>
                    </w:rPr>
                    <w:t>沥青混合料摊铺机</w:t>
                  </w:r>
                </w:p>
              </w:tc>
              <w:tc>
                <w:tcPr>
                  <w:tcW w:w="1125" w:type="pct"/>
                  <w:tcBorders>
                    <w:tl2br w:val="nil"/>
                    <w:tr2bl w:val="nil"/>
                  </w:tcBorders>
                  <w:noWrap w:val="0"/>
                  <w:vAlign w:val="center"/>
                </w:tcPr>
                <w:p>
                  <w:pPr>
                    <w:pStyle w:val="32"/>
                    <w:bidi w:val="0"/>
                    <w:rPr>
                      <w:color w:val="auto"/>
                      <w:highlight w:val="none"/>
                    </w:rPr>
                  </w:pPr>
                  <w:r>
                    <w:rPr>
                      <w:color w:val="auto"/>
                      <w:highlight w:val="none"/>
                    </w:rPr>
                    <w:t>1</w:t>
                  </w:r>
                </w:p>
              </w:tc>
              <w:tc>
                <w:tcPr>
                  <w:tcW w:w="1606" w:type="pct"/>
                  <w:tcBorders>
                    <w:tl2br w:val="nil"/>
                    <w:tr2bl w:val="nil"/>
                  </w:tcBorders>
                  <w:noWrap w:val="0"/>
                  <w:vAlign w:val="center"/>
                </w:tcPr>
                <w:p>
                  <w:pPr>
                    <w:pStyle w:val="32"/>
                    <w:bidi w:val="0"/>
                    <w:rPr>
                      <w:color w:val="auto"/>
                      <w:highlight w:val="none"/>
                    </w:rPr>
                  </w:pPr>
                  <w:r>
                    <w:rPr>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9</w:t>
                  </w:r>
                </w:p>
              </w:tc>
              <w:tc>
                <w:tcPr>
                  <w:tcW w:w="177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液压反铲挖掘机</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177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吊车</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rFonts w:hint="eastAsia"/>
                      <w:color w:val="auto"/>
                      <w:highlight w:val="none"/>
                    </w:rPr>
                  </w:pPr>
                  <w:bookmarkStart w:id="15" w:name="_Hlk103928605"/>
                  <w:r>
                    <w:rPr>
                      <w:rFonts w:hint="eastAsia"/>
                      <w:color w:val="auto"/>
                      <w:highlight w:val="none"/>
                    </w:rPr>
                    <w:t>11</w:t>
                  </w:r>
                </w:p>
              </w:tc>
              <w:tc>
                <w:tcPr>
                  <w:tcW w:w="177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运输车</w:t>
                  </w:r>
                </w:p>
              </w:tc>
              <w:tc>
                <w:tcPr>
                  <w:tcW w:w="112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12</w:t>
                  </w:r>
                </w:p>
              </w:tc>
              <w:tc>
                <w:tcPr>
                  <w:tcW w:w="1770" w:type="pct"/>
                  <w:tcBorders>
                    <w:tl2br w:val="nil"/>
                    <w:tr2bl w:val="nil"/>
                  </w:tcBorders>
                  <w:noWrap w:val="0"/>
                  <w:vAlign w:val="center"/>
                </w:tcPr>
                <w:p>
                  <w:pPr>
                    <w:pStyle w:val="32"/>
                    <w:bidi w:val="0"/>
                    <w:rPr>
                      <w:rFonts w:hint="eastAsia"/>
                      <w:color w:val="auto"/>
                      <w:highlight w:val="none"/>
                    </w:rPr>
                  </w:pPr>
                  <w:r>
                    <w:rPr>
                      <w:color w:val="auto"/>
                      <w:highlight w:val="none"/>
                    </w:rPr>
                    <w:t>稀浆封层机</w:t>
                  </w:r>
                </w:p>
              </w:tc>
              <w:tc>
                <w:tcPr>
                  <w:tcW w:w="112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13</w:t>
                  </w:r>
                </w:p>
              </w:tc>
              <w:tc>
                <w:tcPr>
                  <w:tcW w:w="1770" w:type="pct"/>
                  <w:tcBorders>
                    <w:tl2br w:val="nil"/>
                    <w:tr2bl w:val="nil"/>
                  </w:tcBorders>
                  <w:noWrap w:val="0"/>
                  <w:vAlign w:val="center"/>
                </w:tcPr>
                <w:p>
                  <w:pPr>
                    <w:pStyle w:val="32"/>
                    <w:bidi w:val="0"/>
                    <w:rPr>
                      <w:rFonts w:hint="eastAsia"/>
                      <w:color w:val="auto"/>
                      <w:highlight w:val="none"/>
                    </w:rPr>
                  </w:pPr>
                  <w:r>
                    <w:rPr>
                      <w:color w:val="auto"/>
                      <w:highlight w:val="none"/>
                    </w:rPr>
                    <w:t>热熔标线设备</w:t>
                  </w:r>
                </w:p>
              </w:tc>
              <w:tc>
                <w:tcPr>
                  <w:tcW w:w="112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14</w:t>
                  </w:r>
                </w:p>
              </w:tc>
              <w:tc>
                <w:tcPr>
                  <w:tcW w:w="1770" w:type="pct"/>
                  <w:tcBorders>
                    <w:tl2br w:val="nil"/>
                    <w:tr2bl w:val="nil"/>
                  </w:tcBorders>
                  <w:noWrap w:val="0"/>
                  <w:vAlign w:val="center"/>
                </w:tcPr>
                <w:p>
                  <w:pPr>
                    <w:pStyle w:val="32"/>
                    <w:bidi w:val="0"/>
                    <w:rPr>
                      <w:rFonts w:hint="eastAsia"/>
                      <w:color w:val="auto"/>
                      <w:highlight w:val="none"/>
                    </w:rPr>
                  </w:pPr>
                  <w:r>
                    <w:rPr>
                      <w:color w:val="auto"/>
                      <w:highlight w:val="none"/>
                    </w:rPr>
                    <w:t>凸起振动标线机</w:t>
                  </w:r>
                </w:p>
              </w:tc>
              <w:tc>
                <w:tcPr>
                  <w:tcW w:w="112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15</w:t>
                  </w:r>
                </w:p>
              </w:tc>
              <w:tc>
                <w:tcPr>
                  <w:tcW w:w="1770" w:type="pct"/>
                  <w:tcBorders>
                    <w:tl2br w:val="nil"/>
                    <w:tr2bl w:val="nil"/>
                  </w:tcBorders>
                  <w:noWrap w:val="0"/>
                  <w:vAlign w:val="center"/>
                </w:tcPr>
                <w:p>
                  <w:pPr>
                    <w:pStyle w:val="32"/>
                    <w:bidi w:val="0"/>
                    <w:rPr>
                      <w:rFonts w:hint="eastAsia"/>
                      <w:color w:val="auto"/>
                      <w:highlight w:val="none"/>
                    </w:rPr>
                  </w:pPr>
                  <w:r>
                    <w:rPr>
                      <w:color w:val="auto"/>
                      <w:highlight w:val="none"/>
                    </w:rPr>
                    <w:t>水泥混凝土摊铺机</w:t>
                  </w:r>
                </w:p>
              </w:tc>
              <w:tc>
                <w:tcPr>
                  <w:tcW w:w="112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16</w:t>
                  </w:r>
                </w:p>
              </w:tc>
              <w:tc>
                <w:tcPr>
                  <w:tcW w:w="177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电焊机</w:t>
                  </w:r>
                </w:p>
              </w:tc>
              <w:tc>
                <w:tcPr>
                  <w:tcW w:w="112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17</w:t>
                  </w:r>
                </w:p>
              </w:tc>
              <w:tc>
                <w:tcPr>
                  <w:tcW w:w="1770" w:type="pct"/>
                  <w:tcBorders>
                    <w:tl2br w:val="nil"/>
                    <w:tr2bl w:val="nil"/>
                  </w:tcBorders>
                  <w:noWrap w:val="0"/>
                  <w:vAlign w:val="center"/>
                </w:tcPr>
                <w:p>
                  <w:pPr>
                    <w:pStyle w:val="32"/>
                    <w:bidi w:val="0"/>
                    <w:rPr>
                      <w:rFonts w:hint="eastAsia"/>
                      <w:color w:val="auto"/>
                      <w:highlight w:val="none"/>
                    </w:rPr>
                  </w:pPr>
                  <w:r>
                    <w:rPr>
                      <w:color w:val="auto"/>
                      <w:highlight w:val="none"/>
                    </w:rPr>
                    <w:t>混凝土路缘石机动铺筑机</w:t>
                  </w:r>
                </w:p>
              </w:tc>
              <w:tc>
                <w:tcPr>
                  <w:tcW w:w="1125"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18</w:t>
                  </w:r>
                </w:p>
              </w:tc>
              <w:tc>
                <w:tcPr>
                  <w:tcW w:w="1770" w:type="pct"/>
                  <w:tcBorders>
                    <w:tl2br w:val="nil"/>
                    <w:tr2bl w:val="nil"/>
                  </w:tcBorders>
                  <w:noWrap w:val="0"/>
                  <w:vAlign w:val="center"/>
                </w:tcPr>
                <w:p>
                  <w:pPr>
                    <w:pStyle w:val="32"/>
                    <w:bidi w:val="0"/>
                    <w:rPr>
                      <w:rFonts w:hint="eastAsia"/>
                      <w:color w:val="auto"/>
                      <w:highlight w:val="none"/>
                    </w:rPr>
                  </w:pPr>
                  <w:r>
                    <w:rPr>
                      <w:color w:val="auto"/>
                      <w:highlight w:val="none"/>
                    </w:rPr>
                    <w:t>路面铣刨机</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19</w:t>
                  </w:r>
                </w:p>
              </w:tc>
              <w:tc>
                <w:tcPr>
                  <w:tcW w:w="1770" w:type="pct"/>
                  <w:tcBorders>
                    <w:tl2br w:val="nil"/>
                    <w:tr2bl w:val="nil"/>
                  </w:tcBorders>
                  <w:noWrap w:val="0"/>
                  <w:vAlign w:val="center"/>
                </w:tcPr>
                <w:p>
                  <w:pPr>
                    <w:pStyle w:val="32"/>
                    <w:bidi w:val="0"/>
                    <w:rPr>
                      <w:rFonts w:hint="eastAsia"/>
                      <w:color w:val="auto"/>
                      <w:highlight w:val="none"/>
                    </w:rPr>
                  </w:pPr>
                  <w:r>
                    <w:rPr>
                      <w:color w:val="auto"/>
                      <w:highlight w:val="none"/>
                    </w:rPr>
                    <w:t>机动破路机</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20</w:t>
                  </w:r>
                </w:p>
              </w:tc>
              <w:tc>
                <w:tcPr>
                  <w:tcW w:w="177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移动雾炮</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21</w:t>
                  </w:r>
                </w:p>
              </w:tc>
              <w:tc>
                <w:tcPr>
                  <w:tcW w:w="177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移动焊接烟尘净化器</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7" w:type="pct"/>
                  <w:tcBorders>
                    <w:tl2br w:val="nil"/>
                    <w:tr2bl w:val="nil"/>
                  </w:tcBorders>
                  <w:noWrap w:val="0"/>
                  <w:vAlign w:val="center"/>
                </w:tcPr>
                <w:p>
                  <w:pPr>
                    <w:pStyle w:val="32"/>
                    <w:bidi w:val="0"/>
                    <w:rPr>
                      <w:color w:val="auto"/>
                      <w:highlight w:val="none"/>
                    </w:rPr>
                  </w:pPr>
                  <w:r>
                    <w:rPr>
                      <w:rFonts w:hint="eastAsia"/>
                      <w:color w:val="auto"/>
                      <w:highlight w:val="none"/>
                    </w:rPr>
                    <w:t>22</w:t>
                  </w:r>
                </w:p>
              </w:tc>
              <w:tc>
                <w:tcPr>
                  <w:tcW w:w="177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水泵</w:t>
                  </w:r>
                </w:p>
              </w:tc>
              <w:tc>
                <w:tcPr>
                  <w:tcW w:w="1125" w:type="pct"/>
                  <w:tcBorders>
                    <w:tl2br w:val="nil"/>
                    <w:tr2bl w:val="nil"/>
                  </w:tcBorders>
                  <w:noWrap w:val="0"/>
                  <w:vAlign w:val="center"/>
                </w:tcPr>
                <w:p>
                  <w:pPr>
                    <w:pStyle w:val="32"/>
                    <w:bidi w:val="0"/>
                    <w:rPr>
                      <w:color w:val="auto"/>
                      <w:highlight w:val="none"/>
                    </w:rPr>
                  </w:pPr>
                  <w:r>
                    <w:rPr>
                      <w:rFonts w:hint="eastAsia"/>
                      <w:color w:val="auto"/>
                      <w:highlight w:val="none"/>
                    </w:rPr>
                    <w:t>1</w:t>
                  </w:r>
                </w:p>
              </w:tc>
              <w:tc>
                <w:tcPr>
                  <w:tcW w:w="1606" w:type="pct"/>
                  <w:tcBorders>
                    <w:tl2br w:val="nil"/>
                    <w:tr2bl w:val="nil"/>
                  </w:tcBorders>
                  <w:noWrap w:val="0"/>
                  <w:vAlign w:val="center"/>
                </w:tcPr>
                <w:p>
                  <w:pPr>
                    <w:pStyle w:val="32"/>
                    <w:bidi w:val="0"/>
                    <w:rPr>
                      <w:color w:val="auto"/>
                      <w:highlight w:val="none"/>
                    </w:rPr>
                  </w:pPr>
                  <w:r>
                    <w:rPr>
                      <w:rFonts w:hint="eastAsia"/>
                      <w:color w:val="auto"/>
                      <w:highlight w:val="none"/>
                    </w:rPr>
                    <w:t>85</w:t>
                  </w:r>
                </w:p>
              </w:tc>
            </w:tr>
            <w:bookmarkEnd w:id="15"/>
          </w:tbl>
          <w:p>
            <w:pPr>
              <w:pStyle w:val="33"/>
              <w:bidi w:val="0"/>
              <w:rPr>
                <w:rFonts w:hint="eastAsia"/>
                <w:color w:val="auto"/>
                <w:highlight w:val="none"/>
              </w:rPr>
            </w:pPr>
            <w:r>
              <w:rPr>
                <w:rFonts w:hint="eastAsia"/>
                <w:color w:val="auto"/>
                <w:highlight w:val="none"/>
                <w:lang w:eastAsia="zh-CN"/>
              </w:rPr>
              <w:t>（</w:t>
            </w:r>
            <w:r>
              <w:rPr>
                <w:rFonts w:hint="eastAsia"/>
                <w:color w:val="auto"/>
                <w:highlight w:val="none"/>
                <w:lang w:val="en-US" w:eastAsia="zh-CN"/>
              </w:rPr>
              <w:t>2</w:t>
            </w:r>
            <w:r>
              <w:rPr>
                <w:rFonts w:hint="eastAsia"/>
                <w:color w:val="auto"/>
                <w:highlight w:val="none"/>
                <w:lang w:eastAsia="zh-CN"/>
              </w:rPr>
              <w:t>）</w:t>
            </w:r>
            <w:r>
              <w:rPr>
                <w:rFonts w:hint="eastAsia"/>
                <w:color w:val="auto"/>
                <w:highlight w:val="none"/>
              </w:rPr>
              <w:t>施工期声环境影响预测与评价</w:t>
            </w:r>
          </w:p>
          <w:p>
            <w:pPr>
              <w:pStyle w:val="33"/>
              <w:bidi w:val="0"/>
              <w:rPr>
                <w:color w:val="auto"/>
                <w:highlight w:val="none"/>
              </w:rPr>
            </w:pPr>
            <w:r>
              <w:rPr>
                <w:rFonts w:hint="eastAsia"/>
                <w:color w:val="auto"/>
                <w:highlight w:val="none"/>
              </w:rPr>
              <w:t>根据噪声源分析可知，施工场地的噪声源主要为各类高噪声施工机械，这些</w:t>
            </w:r>
            <w:r>
              <w:rPr>
                <w:color w:val="auto"/>
                <w:highlight w:val="none"/>
              </w:rPr>
              <w:t>机械的噪声级一般均在 75dB(A）以上，且各施工阶段均有大量的设备交互作业，这些设备在场地内的位置、使用率有较大变化，因此很难计算确切的施工场界噪声。本次评价采用类比分析法，根据工程施工量、各类噪声源的经验值和噪声在空间的衰减规律，对施工噪声的环境影响进行预测与分析。</w:t>
            </w:r>
          </w:p>
          <w:p>
            <w:pPr>
              <w:pStyle w:val="33"/>
              <w:bidi w:val="0"/>
              <w:rPr>
                <w:color w:val="auto"/>
                <w:highlight w:val="none"/>
              </w:rPr>
            </w:pPr>
            <w:r>
              <w:rPr>
                <w:rFonts w:hint="eastAsia"/>
                <w:color w:val="auto"/>
                <w:highlight w:val="none"/>
              </w:rPr>
              <w:t>本次评价将对各施工机械噪声做点源处理，采用点源噪声距离衰减公式和噪声叠加公式预测各主要施工机械噪声对环境的影响。</w:t>
            </w:r>
          </w:p>
          <w:p>
            <w:pPr>
              <w:pStyle w:val="33"/>
              <w:bidi w:val="0"/>
              <w:rPr>
                <w:rFonts w:hint="eastAsia"/>
                <w:color w:val="auto"/>
                <w:highlight w:val="none"/>
              </w:rPr>
            </w:pPr>
            <w:r>
              <w:rPr>
                <w:rFonts w:hint="eastAsia"/>
                <w:color w:val="auto"/>
                <w:highlight w:val="none"/>
              </w:rPr>
              <w:t>点源衰减公式：</w:t>
            </w:r>
          </w:p>
          <w:p>
            <w:pPr>
              <w:pStyle w:val="3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color w:val="auto"/>
                <w:highlight w:val="none"/>
              </w:rPr>
            </w:pPr>
            <w:r>
              <w:rPr>
                <w:rFonts w:hint="eastAsia"/>
                <w:color w:val="auto"/>
                <w:highlight w:val="none"/>
              </w:rPr>
              <w:drawing>
                <wp:inline distT="0" distB="0" distL="114300" distR="114300">
                  <wp:extent cx="1575435" cy="429895"/>
                  <wp:effectExtent l="0" t="0" r="5715" b="8255"/>
                  <wp:docPr id="12"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2.jpeg"/>
                          <pic:cNvPicPr>
                            <a:picLocks noChangeAspect="1"/>
                          </pic:cNvPicPr>
                        </pic:nvPicPr>
                        <pic:blipFill>
                          <a:blip r:embed="rId20"/>
                          <a:stretch>
                            <a:fillRect/>
                          </a:stretch>
                        </pic:blipFill>
                        <pic:spPr>
                          <a:xfrm>
                            <a:off x="0" y="0"/>
                            <a:ext cx="1575435" cy="429895"/>
                          </a:xfrm>
                          <a:prstGeom prst="rect">
                            <a:avLst/>
                          </a:prstGeom>
                          <a:noFill/>
                          <a:ln>
                            <a:noFill/>
                          </a:ln>
                        </pic:spPr>
                      </pic:pic>
                    </a:graphicData>
                  </a:graphic>
                </wp:inline>
              </w:drawing>
            </w:r>
          </w:p>
          <w:p>
            <w:pPr>
              <w:pStyle w:val="33"/>
              <w:bidi w:val="0"/>
              <w:rPr>
                <w:rFonts w:hint="eastAsia"/>
                <w:color w:val="auto"/>
                <w:highlight w:val="none"/>
              </w:rPr>
            </w:pPr>
            <w:r>
              <w:rPr>
                <w:rFonts w:hint="eastAsia"/>
                <w:color w:val="auto"/>
                <w:highlight w:val="none"/>
              </w:rPr>
              <w:t>噪声叠加公式：</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olor w:val="auto"/>
                <w:highlight w:val="none"/>
              </w:rPr>
            </w:pPr>
            <w:r>
              <w:rPr>
                <w:rFonts w:hint="eastAsia"/>
                <w:color w:val="auto"/>
                <w:highlight w:val="none"/>
              </w:rPr>
              <w:drawing>
                <wp:inline distT="0" distB="0" distL="114300" distR="114300">
                  <wp:extent cx="1553210" cy="485775"/>
                  <wp:effectExtent l="0" t="0" r="8890" b="9525"/>
                  <wp:docPr id="13"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43.jpeg"/>
                          <pic:cNvPicPr>
                            <a:picLocks noChangeAspect="1"/>
                          </pic:cNvPicPr>
                        </pic:nvPicPr>
                        <pic:blipFill>
                          <a:blip r:embed="rId21"/>
                          <a:stretch>
                            <a:fillRect/>
                          </a:stretch>
                        </pic:blipFill>
                        <pic:spPr>
                          <a:xfrm>
                            <a:off x="0" y="0"/>
                            <a:ext cx="1553210" cy="485775"/>
                          </a:xfrm>
                          <a:prstGeom prst="rect">
                            <a:avLst/>
                          </a:prstGeom>
                          <a:noFill/>
                          <a:ln>
                            <a:noFill/>
                          </a:ln>
                        </pic:spPr>
                      </pic:pic>
                    </a:graphicData>
                  </a:graphic>
                </wp:inline>
              </w:drawing>
            </w:r>
          </w:p>
          <w:p>
            <w:pPr>
              <w:pStyle w:val="33"/>
              <w:bidi w:val="0"/>
              <w:rPr>
                <w:rFonts w:hint="eastAsia"/>
                <w:color w:val="auto"/>
                <w:highlight w:val="none"/>
              </w:rPr>
            </w:pPr>
            <w:r>
              <w:rPr>
                <w:rFonts w:hint="eastAsia"/>
                <w:color w:val="auto"/>
                <w:highlight w:val="none"/>
              </w:rPr>
              <w:t>式中：</w:t>
            </w:r>
            <w:r>
              <w:rPr>
                <w:color w:val="auto"/>
                <w:highlight w:val="none"/>
              </w:rPr>
              <w:t>L1</w:t>
            </w:r>
            <w:r>
              <w:rPr>
                <w:rFonts w:hint="eastAsia"/>
                <w:color w:val="auto"/>
                <w:highlight w:val="none"/>
              </w:rPr>
              <w:t>、</w:t>
            </w:r>
            <w:r>
              <w:rPr>
                <w:color w:val="auto"/>
                <w:highlight w:val="none"/>
              </w:rPr>
              <w:t>L2</w:t>
            </w:r>
            <w:r>
              <w:rPr>
                <w:rFonts w:hint="eastAsia"/>
                <w:color w:val="auto"/>
                <w:highlight w:val="none"/>
              </w:rPr>
              <w:t xml:space="preserve">：为 </w:t>
            </w:r>
            <w:r>
              <w:rPr>
                <w:color w:val="auto"/>
                <w:highlight w:val="none"/>
              </w:rPr>
              <w:t>r1</w:t>
            </w:r>
            <w:r>
              <w:rPr>
                <w:rFonts w:hint="eastAsia"/>
                <w:color w:val="auto"/>
                <w:highlight w:val="none"/>
              </w:rPr>
              <w:t>、</w:t>
            </w:r>
            <w:r>
              <w:rPr>
                <w:color w:val="auto"/>
                <w:highlight w:val="none"/>
              </w:rPr>
              <w:t xml:space="preserve">r2 </w:t>
            </w:r>
            <w:r>
              <w:rPr>
                <w:rFonts w:hint="eastAsia"/>
                <w:color w:val="auto"/>
                <w:highlight w:val="none"/>
              </w:rPr>
              <w:t>处的噪声值，</w:t>
            </w:r>
            <w:r>
              <w:rPr>
                <w:color w:val="auto"/>
                <w:highlight w:val="none"/>
              </w:rPr>
              <w:t>dB(A)</w:t>
            </w:r>
            <w:r>
              <w:rPr>
                <w:rFonts w:hint="eastAsia"/>
                <w:color w:val="auto"/>
                <w:highlight w:val="none"/>
              </w:rPr>
              <w:t>；</w:t>
            </w:r>
          </w:p>
          <w:p>
            <w:pPr>
              <w:pStyle w:val="33"/>
              <w:bidi w:val="0"/>
              <w:ind w:firstLine="1045" w:firstLineChars="500"/>
              <w:rPr>
                <w:rFonts w:hint="eastAsia"/>
                <w:color w:val="auto"/>
                <w:highlight w:val="none"/>
              </w:rPr>
            </w:pPr>
            <w:r>
              <w:rPr>
                <w:color w:val="auto"/>
                <w:highlight w:val="none"/>
              </w:rPr>
              <w:t>r1</w:t>
            </w:r>
            <w:r>
              <w:rPr>
                <w:rFonts w:hint="eastAsia"/>
                <w:color w:val="auto"/>
                <w:highlight w:val="none"/>
              </w:rPr>
              <w:t>、</w:t>
            </w:r>
            <w:r>
              <w:rPr>
                <w:color w:val="auto"/>
                <w:highlight w:val="none"/>
              </w:rPr>
              <w:t>r2</w:t>
            </w:r>
            <w:r>
              <w:rPr>
                <w:rFonts w:hint="eastAsia"/>
                <w:color w:val="auto"/>
                <w:highlight w:val="none"/>
              </w:rPr>
              <w:t>：距噪声源的距离，</w:t>
            </w:r>
            <w:r>
              <w:rPr>
                <w:color w:val="auto"/>
                <w:highlight w:val="none"/>
              </w:rPr>
              <w:t>m</w:t>
            </w:r>
            <w:r>
              <w:rPr>
                <w:rFonts w:hint="eastAsia"/>
                <w:color w:val="auto"/>
                <w:highlight w:val="none"/>
              </w:rPr>
              <w:t>；</w:t>
            </w:r>
          </w:p>
          <w:p>
            <w:pPr>
              <w:pStyle w:val="33"/>
              <w:bidi w:val="0"/>
              <w:ind w:firstLine="1045" w:firstLineChars="500"/>
              <w:rPr>
                <w:rFonts w:hint="eastAsia"/>
                <w:color w:val="auto"/>
                <w:highlight w:val="none"/>
              </w:rPr>
            </w:pPr>
            <w:r>
              <w:rPr>
                <w:color w:val="auto"/>
                <w:highlight w:val="none"/>
              </w:rPr>
              <w:t>∆L</w:t>
            </w:r>
            <w:r>
              <w:rPr>
                <w:rFonts w:hint="eastAsia"/>
                <w:color w:val="auto"/>
                <w:highlight w:val="none"/>
              </w:rPr>
              <w:t>：房屋、树木等对噪声的衰减值，</w:t>
            </w:r>
            <w:r>
              <w:rPr>
                <w:color w:val="auto"/>
                <w:highlight w:val="none"/>
              </w:rPr>
              <w:t>dB(A)</w:t>
            </w:r>
            <w:r>
              <w:rPr>
                <w:rFonts w:hint="eastAsia"/>
                <w:color w:val="auto"/>
                <w:highlight w:val="none"/>
              </w:rPr>
              <w:t>；</w:t>
            </w:r>
          </w:p>
          <w:p>
            <w:pPr>
              <w:pStyle w:val="33"/>
              <w:bidi w:val="0"/>
              <w:ind w:firstLine="1045" w:firstLineChars="500"/>
              <w:rPr>
                <w:rFonts w:hint="eastAsia"/>
                <w:color w:val="auto"/>
                <w:highlight w:val="none"/>
              </w:rPr>
            </w:pPr>
            <w:r>
              <w:rPr>
                <w:color w:val="auto"/>
                <w:highlight w:val="none"/>
              </w:rPr>
              <w:t>Leqs</w:t>
            </w:r>
            <w:r>
              <w:rPr>
                <w:rFonts w:hint="eastAsia"/>
                <w:color w:val="auto"/>
                <w:highlight w:val="none"/>
              </w:rPr>
              <w:t>：预测点处的等效声级，</w:t>
            </w:r>
            <w:r>
              <w:rPr>
                <w:color w:val="auto"/>
                <w:highlight w:val="none"/>
              </w:rPr>
              <w:t>dB(A)</w:t>
            </w:r>
            <w:r>
              <w:rPr>
                <w:rFonts w:hint="eastAsia"/>
                <w:color w:val="auto"/>
                <w:highlight w:val="none"/>
              </w:rPr>
              <w:t>；</w:t>
            </w:r>
          </w:p>
          <w:p>
            <w:pPr>
              <w:pStyle w:val="33"/>
              <w:bidi w:val="0"/>
              <w:ind w:firstLine="1045" w:firstLineChars="500"/>
              <w:rPr>
                <w:rFonts w:hint="eastAsia"/>
                <w:color w:val="auto"/>
                <w:highlight w:val="none"/>
              </w:rPr>
            </w:pPr>
            <w:r>
              <w:rPr>
                <w:color w:val="auto"/>
                <w:highlight w:val="none"/>
              </w:rPr>
              <w:t>Leqi</w:t>
            </w:r>
            <w:r>
              <w:rPr>
                <w:rFonts w:hint="eastAsia"/>
                <w:color w:val="auto"/>
                <w:highlight w:val="none"/>
              </w:rPr>
              <w:t xml:space="preserve">：第 </w:t>
            </w:r>
            <w:r>
              <w:rPr>
                <w:color w:val="auto"/>
                <w:highlight w:val="none"/>
              </w:rPr>
              <w:t xml:space="preserve">i </w:t>
            </w:r>
            <w:r>
              <w:rPr>
                <w:rFonts w:hint="eastAsia"/>
                <w:color w:val="auto"/>
                <w:highlight w:val="none"/>
              </w:rPr>
              <w:t>个点声源对预测点的等效声级，</w:t>
            </w:r>
            <w:r>
              <w:rPr>
                <w:color w:val="auto"/>
                <w:highlight w:val="none"/>
              </w:rPr>
              <w:t>dB(A)</w:t>
            </w:r>
            <w:r>
              <w:rPr>
                <w:rFonts w:hint="eastAsia"/>
                <w:color w:val="auto"/>
                <w:highlight w:val="none"/>
              </w:rPr>
              <w:t>。</w:t>
            </w:r>
          </w:p>
          <w:p>
            <w:pPr>
              <w:pStyle w:val="33"/>
              <w:bidi w:val="0"/>
              <w:rPr>
                <w:rFonts w:hint="eastAsia"/>
                <w:color w:val="auto"/>
                <w:highlight w:val="none"/>
              </w:rPr>
            </w:pPr>
            <w:r>
              <w:rPr>
                <w:rFonts w:hint="eastAsia"/>
                <w:color w:val="auto"/>
                <w:highlight w:val="none"/>
              </w:rPr>
              <w:t>根据点声源噪声随距离衰减预测模式，依照噪声源强，计算得出道路两侧距单台主要施工机械不同距离处的噪声值见下表。</w:t>
            </w:r>
          </w:p>
          <w:p>
            <w:pPr>
              <w:pStyle w:val="36"/>
              <w:numPr>
                <w:ilvl w:val="0"/>
                <w:numId w:val="12"/>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不同施工阶段主要施工机械的噪声影响 单位：dB(A)</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2340"/>
              <w:gridCol w:w="496"/>
              <w:gridCol w:w="496"/>
              <w:gridCol w:w="496"/>
              <w:gridCol w:w="497"/>
              <w:gridCol w:w="497"/>
              <w:gridCol w:w="497"/>
              <w:gridCol w:w="497"/>
              <w:gridCol w:w="502"/>
              <w:gridCol w:w="500"/>
              <w:gridCol w:w="455"/>
              <w:gridCol w:w="590"/>
              <w:gridCol w:w="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vMerge w:val="restart"/>
                  <w:tcBorders>
                    <w:tl2br w:val="nil"/>
                    <w:tr2bl w:val="nil"/>
                  </w:tcBorders>
                  <w:noWrap w:val="0"/>
                  <w:vAlign w:val="center"/>
                  <mc:AlternateContent>
                    <mc:Choice Requires="wpsCustomData">
                      <wpsCustomData:diagonals>
                        <wpsCustomData:diagonal from="10000" to="30000">
                          <wpsCustomData:border w:val="single" w:color="auto" w:sz="4" w:space="0"/>
                        </wpsCustomData:diagonal>
                      </wpsCustomData:diagonals>
                    </mc:Choice>
                  </mc:AlternateContent>
                </w:tcPr>
                <w:p>
                  <w:pPr>
                    <w:pStyle w:val="32"/>
                    <w:bidi w:val="0"/>
                    <w:rPr>
                      <w:color w:val="auto"/>
                      <w:highlight w:val="none"/>
                    </w:rPr>
                  </w:pPr>
                  <w:r>
                    <w:rPr>
                      <w:color w:val="auto"/>
                      <w:highlight w:val="none"/>
                    </w:rPr>
                    <w:t xml:space="preserve">     </w:t>
                  </w:r>
                </w:p>
                <w:p>
                  <w:pPr>
                    <w:pStyle w:val="32"/>
                    <w:bidi w:val="0"/>
                    <w:jc w:val="both"/>
                    <mc:AlternateContent>
                      <mc:Choice Requires="wpsCustomData">
                        <wpsCustomData:diagonalParaType/>
                      </mc:Choice>
                    </mc:AlternateContent>
                    <w:rPr>
                      <w:rFonts w:hint="eastAsia" w:eastAsia="宋体"/>
                      <w:color w:val="auto"/>
                      <w:highlight w:val="none"/>
                      <w:lang w:eastAsia="zh-CN"/>
                    </w:rPr>
                  </w:pPr>
                  <w:r>
                    <w:rPr>
                      <w:rFonts w:hint="eastAsia"/>
                      <w:color w:val="auto"/>
                      <w:highlight w:val="none"/>
                      <w:lang w:eastAsia="zh-CN"/>
                    </w:rPr>
                    <w:t>施工机械</w:t>
                  </w:r>
                </w:p>
                <w:p>
                  <w:pPr>
                    <w:pStyle w:val="32"/>
                    <w:bidi w:val="0"/>
                    <w:jc w:val="right"/>
                    <w:rPr>
                      <w:color w:val="auto"/>
                      <w:highlight w:val="none"/>
                    </w:rPr>
                  </w:pPr>
                  <w:r>
                    <w:rPr>
                      <w:rFonts w:hint="eastAsia"/>
                      <w:color w:val="auto"/>
                      <w:highlight w:val="none"/>
                    </w:rPr>
                    <w:t>声压</w:t>
                  </w:r>
                </w:p>
              </w:tc>
              <w:tc>
                <w:tcPr>
                  <w:tcW w:w="2379" w:type="pct"/>
                  <w:gridSpan w:val="8"/>
                  <w:tcBorders>
                    <w:tl2br w:val="nil"/>
                    <w:tr2bl w:val="nil"/>
                  </w:tcBorders>
                  <w:noWrap w:val="0"/>
                  <w:vAlign w:val="center"/>
                </w:tcPr>
                <w:p>
                  <w:pPr>
                    <w:pStyle w:val="32"/>
                    <w:bidi w:val="0"/>
                    <w:rPr>
                      <w:color w:val="auto"/>
                      <w:highlight w:val="none"/>
                    </w:rPr>
                  </w:pPr>
                  <w:r>
                    <w:rPr>
                      <w:rFonts w:hint="eastAsia"/>
                      <w:color w:val="auto"/>
                      <w:highlight w:val="none"/>
                    </w:rPr>
                    <w:t>距离（</w:t>
                  </w:r>
                  <w:r>
                    <w:rPr>
                      <w:color w:val="auto"/>
                      <w:highlight w:val="none"/>
                    </w:rPr>
                    <w:t>m</w:t>
                  </w:r>
                  <w:r>
                    <w:rPr>
                      <w:rFonts w:hint="eastAsia"/>
                      <w:color w:val="auto"/>
                      <w:highlight w:val="none"/>
                    </w:rPr>
                    <w:t>）</w:t>
                  </w:r>
                </w:p>
              </w:tc>
              <w:tc>
                <w:tcPr>
                  <w:tcW w:w="571" w:type="pct"/>
                  <w:gridSpan w:val="2"/>
                  <w:tcBorders>
                    <w:tl2br w:val="nil"/>
                    <w:tr2bl w:val="nil"/>
                  </w:tcBorders>
                  <w:noWrap w:val="0"/>
                  <w:vAlign w:val="center"/>
                </w:tcPr>
                <w:p>
                  <w:pPr>
                    <w:pStyle w:val="32"/>
                    <w:bidi w:val="0"/>
                    <w:rPr>
                      <w:color w:val="auto"/>
                      <w:highlight w:val="none"/>
                    </w:rPr>
                  </w:pPr>
                  <w:r>
                    <w:rPr>
                      <w:rFonts w:hint="eastAsia"/>
                      <w:color w:val="auto"/>
                      <w:highlight w:val="none"/>
                    </w:rPr>
                    <w:t>标准值</w:t>
                  </w:r>
                </w:p>
              </w:tc>
              <w:tc>
                <w:tcPr>
                  <w:tcW w:w="647" w:type="pct"/>
                  <w:gridSpan w:val="2"/>
                  <w:tcBorders>
                    <w:tl2br w:val="nil"/>
                    <w:tr2bl w:val="nil"/>
                  </w:tcBorders>
                  <w:noWrap w:val="0"/>
                  <w:vAlign w:val="center"/>
                </w:tcPr>
                <w:p>
                  <w:pPr>
                    <w:pStyle w:val="32"/>
                    <w:bidi w:val="0"/>
                    <w:rPr>
                      <w:color w:val="auto"/>
                      <w:highlight w:val="none"/>
                    </w:rPr>
                  </w:pPr>
                  <w:r>
                    <w:rPr>
                      <w:rFonts w:hint="eastAsia"/>
                      <w:color w:val="auto"/>
                      <w:highlight w:val="none"/>
                    </w:rPr>
                    <w:t>达标距离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vMerge w:val="continue"/>
                  <w:tcBorders>
                    <w:tl2br w:val="nil"/>
                    <w:tr2bl w:val="nil"/>
                  </w:tcBorders>
                  <w:noWrap w:val="0"/>
                  <w:vAlign w:val="center"/>
                </w:tcPr>
                <w:p>
                  <w:pPr>
                    <w:pStyle w:val="32"/>
                    <w:bidi w:val="0"/>
                    <w:rPr>
                      <w:color w:val="auto"/>
                      <w:highlight w:val="none"/>
                    </w:rPr>
                  </w:pPr>
                </w:p>
              </w:tc>
              <w:tc>
                <w:tcPr>
                  <w:tcW w:w="297" w:type="pct"/>
                  <w:tcBorders>
                    <w:tl2br w:val="nil"/>
                    <w:tr2bl w:val="nil"/>
                  </w:tcBorders>
                  <w:noWrap w:val="0"/>
                  <w:vAlign w:val="center"/>
                </w:tcPr>
                <w:p>
                  <w:pPr>
                    <w:pStyle w:val="32"/>
                    <w:bidi w:val="0"/>
                    <w:rPr>
                      <w:color w:val="auto"/>
                      <w:highlight w:val="none"/>
                    </w:rPr>
                  </w:pPr>
                  <w:r>
                    <w:rPr>
                      <w:color w:val="auto"/>
                      <w:highlight w:val="none"/>
                    </w:rPr>
                    <w:t>5</w:t>
                  </w:r>
                </w:p>
              </w:tc>
              <w:tc>
                <w:tcPr>
                  <w:tcW w:w="297" w:type="pct"/>
                  <w:tcBorders>
                    <w:tl2br w:val="nil"/>
                    <w:tr2bl w:val="nil"/>
                  </w:tcBorders>
                  <w:noWrap w:val="0"/>
                  <w:vAlign w:val="center"/>
                </w:tcPr>
                <w:p>
                  <w:pPr>
                    <w:pStyle w:val="32"/>
                    <w:bidi w:val="0"/>
                    <w:rPr>
                      <w:color w:val="auto"/>
                      <w:highlight w:val="none"/>
                    </w:rPr>
                  </w:pPr>
                  <w:r>
                    <w:rPr>
                      <w:color w:val="auto"/>
                      <w:highlight w:val="none"/>
                    </w:rPr>
                    <w:t>10</w:t>
                  </w:r>
                </w:p>
              </w:tc>
              <w:tc>
                <w:tcPr>
                  <w:tcW w:w="297" w:type="pct"/>
                  <w:tcBorders>
                    <w:tl2br w:val="nil"/>
                    <w:tr2bl w:val="nil"/>
                  </w:tcBorders>
                  <w:noWrap w:val="0"/>
                  <w:vAlign w:val="center"/>
                </w:tcPr>
                <w:p>
                  <w:pPr>
                    <w:pStyle w:val="32"/>
                    <w:bidi w:val="0"/>
                    <w:rPr>
                      <w:color w:val="auto"/>
                      <w:highlight w:val="none"/>
                    </w:rPr>
                  </w:pPr>
                  <w:r>
                    <w:rPr>
                      <w:color w:val="auto"/>
                      <w:highlight w:val="none"/>
                    </w:rPr>
                    <w:t>20</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80</w:t>
                  </w:r>
                </w:p>
              </w:tc>
              <w:tc>
                <w:tcPr>
                  <w:tcW w:w="297" w:type="pct"/>
                  <w:tcBorders>
                    <w:tl2br w:val="nil"/>
                    <w:tr2bl w:val="nil"/>
                  </w:tcBorders>
                  <w:noWrap w:val="0"/>
                  <w:vAlign w:val="center"/>
                </w:tcPr>
                <w:p>
                  <w:pPr>
                    <w:pStyle w:val="32"/>
                    <w:bidi w:val="0"/>
                    <w:rPr>
                      <w:color w:val="auto"/>
                      <w:highlight w:val="none"/>
                    </w:rPr>
                  </w:pPr>
                  <w:r>
                    <w:rPr>
                      <w:color w:val="auto"/>
                      <w:highlight w:val="none"/>
                    </w:rPr>
                    <w:t>100</w:t>
                  </w:r>
                </w:p>
              </w:tc>
              <w:tc>
                <w:tcPr>
                  <w:tcW w:w="297" w:type="pct"/>
                  <w:tcBorders>
                    <w:tl2br w:val="nil"/>
                    <w:tr2bl w:val="nil"/>
                  </w:tcBorders>
                  <w:noWrap w:val="0"/>
                  <w:vAlign w:val="center"/>
                </w:tcPr>
                <w:p>
                  <w:pPr>
                    <w:pStyle w:val="32"/>
                    <w:bidi w:val="0"/>
                    <w:rPr>
                      <w:color w:val="auto"/>
                      <w:highlight w:val="none"/>
                    </w:rPr>
                  </w:pPr>
                  <w:r>
                    <w:rPr>
                      <w:color w:val="auto"/>
                      <w:highlight w:val="none"/>
                    </w:rPr>
                    <w:t>150</w:t>
                  </w:r>
                </w:p>
              </w:tc>
              <w:tc>
                <w:tcPr>
                  <w:tcW w:w="300" w:type="pct"/>
                  <w:tcBorders>
                    <w:tl2br w:val="nil"/>
                    <w:tr2bl w:val="nil"/>
                  </w:tcBorders>
                  <w:noWrap w:val="0"/>
                  <w:vAlign w:val="center"/>
                </w:tcPr>
                <w:p>
                  <w:pPr>
                    <w:pStyle w:val="32"/>
                    <w:bidi w:val="0"/>
                    <w:rPr>
                      <w:color w:val="auto"/>
                      <w:highlight w:val="none"/>
                    </w:rPr>
                  </w:pPr>
                  <w:r>
                    <w:rPr>
                      <w:color w:val="auto"/>
                      <w:highlight w:val="none"/>
                    </w:rPr>
                    <w:t>200</w:t>
                  </w:r>
                </w:p>
              </w:tc>
              <w:tc>
                <w:tcPr>
                  <w:tcW w:w="299" w:type="pct"/>
                  <w:tcBorders>
                    <w:tl2br w:val="nil"/>
                    <w:tr2bl w:val="nil"/>
                  </w:tcBorders>
                  <w:noWrap w:val="0"/>
                  <w:vAlign w:val="center"/>
                </w:tcPr>
                <w:p>
                  <w:pPr>
                    <w:pStyle w:val="32"/>
                    <w:bidi w:val="0"/>
                    <w:rPr>
                      <w:color w:val="auto"/>
                      <w:highlight w:val="none"/>
                    </w:rPr>
                  </w:pPr>
                  <w:r>
                    <w:rPr>
                      <w:rFonts w:hint="eastAsia"/>
                      <w:color w:val="auto"/>
                      <w:highlight w:val="none"/>
                    </w:rPr>
                    <w:t>昼间</w:t>
                  </w:r>
                </w:p>
              </w:tc>
              <w:tc>
                <w:tcPr>
                  <w:tcW w:w="272" w:type="pct"/>
                  <w:tcBorders>
                    <w:tl2br w:val="nil"/>
                    <w:tr2bl w:val="nil"/>
                  </w:tcBorders>
                  <w:noWrap w:val="0"/>
                  <w:vAlign w:val="center"/>
                </w:tcPr>
                <w:p>
                  <w:pPr>
                    <w:pStyle w:val="32"/>
                    <w:bidi w:val="0"/>
                    <w:rPr>
                      <w:color w:val="auto"/>
                      <w:highlight w:val="none"/>
                    </w:rPr>
                  </w:pPr>
                  <w:r>
                    <w:rPr>
                      <w:rFonts w:hint="eastAsia"/>
                      <w:color w:val="auto"/>
                      <w:highlight w:val="none"/>
                    </w:rPr>
                    <w:t>夜间</w:t>
                  </w: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昼间</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r>
                    <w:rPr>
                      <w:color w:val="auto"/>
                      <w:highlight w:val="none"/>
                    </w:rPr>
                    <w:t>履带式推土机</w:t>
                  </w:r>
                </w:p>
              </w:tc>
              <w:tc>
                <w:tcPr>
                  <w:tcW w:w="297" w:type="pct"/>
                  <w:tcBorders>
                    <w:tl2br w:val="nil"/>
                    <w:tr2bl w:val="nil"/>
                  </w:tcBorders>
                  <w:noWrap w:val="0"/>
                  <w:vAlign w:val="center"/>
                </w:tcPr>
                <w:p>
                  <w:pPr>
                    <w:pStyle w:val="32"/>
                    <w:bidi w:val="0"/>
                    <w:rPr>
                      <w:color w:val="auto"/>
                      <w:highlight w:val="none"/>
                    </w:rPr>
                  </w:pPr>
                  <w:r>
                    <w:rPr>
                      <w:color w:val="auto"/>
                      <w:highlight w:val="none"/>
                    </w:rPr>
                    <w:t>76</w:t>
                  </w:r>
                </w:p>
              </w:tc>
              <w:tc>
                <w:tcPr>
                  <w:tcW w:w="297" w:type="pct"/>
                  <w:tcBorders>
                    <w:tl2br w:val="nil"/>
                    <w:tr2bl w:val="nil"/>
                  </w:tcBorders>
                  <w:noWrap w:val="0"/>
                  <w:vAlign w:val="center"/>
                </w:tcPr>
                <w:p>
                  <w:pPr>
                    <w:pStyle w:val="32"/>
                    <w:bidi w:val="0"/>
                    <w:rPr>
                      <w:color w:val="auto"/>
                      <w:highlight w:val="none"/>
                    </w:rPr>
                  </w:pPr>
                  <w:r>
                    <w:rPr>
                      <w:color w:val="auto"/>
                      <w:highlight w:val="none"/>
                    </w:rPr>
                    <w:t>70</w:t>
                  </w:r>
                </w:p>
              </w:tc>
              <w:tc>
                <w:tcPr>
                  <w:tcW w:w="297" w:type="pct"/>
                  <w:tcBorders>
                    <w:tl2br w:val="nil"/>
                    <w:tr2bl w:val="nil"/>
                  </w:tcBorders>
                  <w:noWrap w:val="0"/>
                  <w:vAlign w:val="center"/>
                </w:tcPr>
                <w:p>
                  <w:pPr>
                    <w:pStyle w:val="32"/>
                    <w:bidi w:val="0"/>
                    <w:rPr>
                      <w:color w:val="auto"/>
                      <w:highlight w:val="none"/>
                    </w:rPr>
                  </w:pPr>
                  <w:r>
                    <w:rPr>
                      <w:color w:val="auto"/>
                      <w:highlight w:val="none"/>
                    </w:rPr>
                    <w:t>64</w:t>
                  </w:r>
                </w:p>
              </w:tc>
              <w:tc>
                <w:tcPr>
                  <w:tcW w:w="297" w:type="pct"/>
                  <w:tcBorders>
                    <w:tl2br w:val="nil"/>
                    <w:tr2bl w:val="nil"/>
                  </w:tcBorders>
                  <w:noWrap w:val="0"/>
                  <w:vAlign w:val="center"/>
                </w:tcPr>
                <w:p>
                  <w:pPr>
                    <w:pStyle w:val="32"/>
                    <w:bidi w:val="0"/>
                    <w:rPr>
                      <w:color w:val="auto"/>
                      <w:highlight w:val="none"/>
                    </w:rPr>
                  </w:pPr>
                  <w:r>
                    <w:rPr>
                      <w:color w:val="auto"/>
                      <w:highlight w:val="none"/>
                    </w:rPr>
                    <w:t>58</w:t>
                  </w:r>
                </w:p>
              </w:tc>
              <w:tc>
                <w:tcPr>
                  <w:tcW w:w="297" w:type="pct"/>
                  <w:tcBorders>
                    <w:tl2br w:val="nil"/>
                    <w:tr2bl w:val="nil"/>
                  </w:tcBorders>
                  <w:noWrap w:val="0"/>
                  <w:vAlign w:val="center"/>
                </w:tcPr>
                <w:p>
                  <w:pPr>
                    <w:pStyle w:val="32"/>
                    <w:bidi w:val="0"/>
                    <w:rPr>
                      <w:color w:val="auto"/>
                      <w:highlight w:val="none"/>
                    </w:rPr>
                  </w:pPr>
                  <w:r>
                    <w:rPr>
                      <w:color w:val="auto"/>
                      <w:highlight w:val="none"/>
                    </w:rPr>
                    <w:t>52</w:t>
                  </w:r>
                </w:p>
              </w:tc>
              <w:tc>
                <w:tcPr>
                  <w:tcW w:w="297" w:type="pct"/>
                  <w:tcBorders>
                    <w:tl2br w:val="nil"/>
                    <w:tr2bl w:val="nil"/>
                  </w:tcBorders>
                  <w:noWrap w:val="0"/>
                  <w:vAlign w:val="center"/>
                </w:tcPr>
                <w:p>
                  <w:pPr>
                    <w:pStyle w:val="32"/>
                    <w:bidi w:val="0"/>
                    <w:rPr>
                      <w:color w:val="auto"/>
                      <w:highlight w:val="none"/>
                    </w:rPr>
                  </w:pPr>
                  <w:r>
                    <w:rPr>
                      <w:color w:val="auto"/>
                      <w:highlight w:val="none"/>
                    </w:rPr>
                    <w:t>50</w:t>
                  </w:r>
                </w:p>
              </w:tc>
              <w:tc>
                <w:tcPr>
                  <w:tcW w:w="297" w:type="pct"/>
                  <w:tcBorders>
                    <w:tl2br w:val="nil"/>
                    <w:tr2bl w:val="nil"/>
                  </w:tcBorders>
                  <w:noWrap w:val="0"/>
                  <w:vAlign w:val="center"/>
                </w:tcPr>
                <w:p>
                  <w:pPr>
                    <w:pStyle w:val="32"/>
                    <w:bidi w:val="0"/>
                    <w:rPr>
                      <w:color w:val="auto"/>
                      <w:highlight w:val="none"/>
                    </w:rPr>
                  </w:pPr>
                  <w:r>
                    <w:rPr>
                      <w:color w:val="auto"/>
                      <w:highlight w:val="none"/>
                    </w:rPr>
                    <w:t>46</w:t>
                  </w:r>
                </w:p>
              </w:tc>
              <w:tc>
                <w:tcPr>
                  <w:tcW w:w="300" w:type="pct"/>
                  <w:tcBorders>
                    <w:tl2br w:val="nil"/>
                    <w:tr2bl w:val="nil"/>
                  </w:tcBorders>
                  <w:noWrap w:val="0"/>
                  <w:vAlign w:val="center"/>
                </w:tcPr>
                <w:p>
                  <w:pPr>
                    <w:pStyle w:val="32"/>
                    <w:bidi w:val="0"/>
                    <w:rPr>
                      <w:color w:val="auto"/>
                      <w:highlight w:val="none"/>
                    </w:rPr>
                  </w:pPr>
                  <w:r>
                    <w:rPr>
                      <w:color w:val="auto"/>
                      <w:highlight w:val="none"/>
                    </w:rPr>
                    <w:t>44</w:t>
                  </w:r>
                </w:p>
              </w:tc>
              <w:tc>
                <w:tcPr>
                  <w:tcW w:w="299" w:type="pct"/>
                  <w:vMerge w:val="restart"/>
                  <w:tcBorders>
                    <w:tl2br w:val="nil"/>
                    <w:tr2bl w:val="nil"/>
                  </w:tcBorders>
                  <w:noWrap w:val="0"/>
                  <w:vAlign w:val="center"/>
                </w:tcPr>
                <w:p>
                  <w:pPr>
                    <w:pStyle w:val="32"/>
                    <w:bidi w:val="0"/>
                    <w:rPr>
                      <w:color w:val="auto"/>
                      <w:highlight w:val="none"/>
                    </w:rPr>
                  </w:pPr>
                  <w:r>
                    <w:rPr>
                      <w:color w:val="auto"/>
                      <w:highlight w:val="none"/>
                    </w:rPr>
                    <w:t>70</w:t>
                  </w:r>
                </w:p>
              </w:tc>
              <w:tc>
                <w:tcPr>
                  <w:tcW w:w="272" w:type="pct"/>
                  <w:vMerge w:val="restart"/>
                  <w:tcBorders>
                    <w:tl2br w:val="nil"/>
                    <w:tr2bl w:val="nil"/>
                  </w:tcBorders>
                  <w:noWrap w:val="0"/>
                  <w:vAlign w:val="center"/>
                </w:tcPr>
                <w:p>
                  <w:pPr>
                    <w:pStyle w:val="32"/>
                    <w:bidi w:val="0"/>
                    <w:rPr>
                      <w:color w:val="auto"/>
                      <w:highlight w:val="none"/>
                    </w:rPr>
                  </w:pPr>
                  <w:r>
                    <w:rPr>
                      <w:color w:val="auto"/>
                      <w:highlight w:val="none"/>
                    </w:rPr>
                    <w:t>55</w:t>
                  </w:r>
                </w:p>
              </w:tc>
              <w:tc>
                <w:tcPr>
                  <w:tcW w:w="353" w:type="pct"/>
                  <w:tcBorders>
                    <w:tl2br w:val="nil"/>
                    <w:tr2bl w:val="nil"/>
                  </w:tcBorders>
                  <w:noWrap w:val="0"/>
                  <w:vAlign w:val="center"/>
                </w:tcPr>
                <w:p>
                  <w:pPr>
                    <w:pStyle w:val="32"/>
                    <w:bidi w:val="0"/>
                    <w:rPr>
                      <w:color w:val="auto"/>
                      <w:highlight w:val="none"/>
                    </w:rPr>
                  </w:pPr>
                  <w:r>
                    <w:rPr>
                      <w:color w:val="auto"/>
                      <w:highlight w:val="none"/>
                    </w:rPr>
                    <w:t>10</w:t>
                  </w:r>
                </w:p>
              </w:tc>
              <w:tc>
                <w:tcPr>
                  <w:tcW w:w="293" w:type="pct"/>
                  <w:tcBorders>
                    <w:tl2br w:val="nil"/>
                    <w:tr2bl w:val="nil"/>
                  </w:tcBorders>
                  <w:noWrap w:val="0"/>
                  <w:vAlign w:val="center"/>
                </w:tcPr>
                <w:p>
                  <w:pPr>
                    <w:pStyle w:val="32"/>
                    <w:bidi w:val="0"/>
                    <w:rPr>
                      <w:color w:val="auto"/>
                      <w:highlight w:val="none"/>
                    </w:rPr>
                  </w:pPr>
                  <w:r>
                    <w:rPr>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r>
                    <w:rPr>
                      <w:color w:val="auto"/>
                      <w:highlight w:val="none"/>
                    </w:rPr>
                    <w:t>履带式单斗挖掘机</w:t>
                  </w:r>
                </w:p>
              </w:tc>
              <w:tc>
                <w:tcPr>
                  <w:tcW w:w="297" w:type="pct"/>
                  <w:tcBorders>
                    <w:tl2br w:val="nil"/>
                    <w:tr2bl w:val="nil"/>
                  </w:tcBorders>
                  <w:noWrap w:val="0"/>
                  <w:vAlign w:val="center"/>
                </w:tcPr>
                <w:p>
                  <w:pPr>
                    <w:pStyle w:val="32"/>
                    <w:bidi w:val="0"/>
                    <w:rPr>
                      <w:color w:val="auto"/>
                      <w:highlight w:val="none"/>
                    </w:rPr>
                  </w:pPr>
                  <w:r>
                    <w:rPr>
                      <w:color w:val="auto"/>
                      <w:highlight w:val="none"/>
                    </w:rPr>
                    <w:t>72</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46</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300" w:type="pct"/>
                  <w:tcBorders>
                    <w:tl2br w:val="nil"/>
                    <w:tr2bl w:val="nil"/>
                  </w:tcBorders>
                  <w:noWrap w:val="0"/>
                  <w:vAlign w:val="center"/>
                </w:tcPr>
                <w:p>
                  <w:pPr>
                    <w:pStyle w:val="32"/>
                    <w:bidi w:val="0"/>
                    <w:rPr>
                      <w:color w:val="auto"/>
                      <w:highlight w:val="none"/>
                    </w:rPr>
                  </w:pPr>
                  <w:r>
                    <w:rPr>
                      <w:color w:val="auto"/>
                      <w:highlight w:val="none"/>
                    </w:rPr>
                    <w:t>40</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color w:val="auto"/>
                      <w:highlight w:val="none"/>
                    </w:rPr>
                    <w:t>10</w:t>
                  </w:r>
                </w:p>
              </w:tc>
              <w:tc>
                <w:tcPr>
                  <w:tcW w:w="293" w:type="pct"/>
                  <w:tcBorders>
                    <w:tl2br w:val="nil"/>
                    <w:tr2bl w:val="nil"/>
                  </w:tcBorders>
                  <w:noWrap w:val="0"/>
                  <w:vAlign w:val="center"/>
                </w:tcPr>
                <w:p>
                  <w:pPr>
                    <w:pStyle w:val="32"/>
                    <w:bidi w:val="0"/>
                    <w:rPr>
                      <w:color w:val="auto"/>
                      <w:highlight w:val="none"/>
                    </w:rPr>
                  </w:pPr>
                  <w:r>
                    <w:rPr>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r>
                    <w:rPr>
                      <w:color w:val="auto"/>
                      <w:highlight w:val="none"/>
                    </w:rPr>
                    <w:t>轮胎式装载机</w:t>
                  </w:r>
                </w:p>
              </w:tc>
              <w:tc>
                <w:tcPr>
                  <w:tcW w:w="297" w:type="pct"/>
                  <w:tcBorders>
                    <w:tl2br w:val="nil"/>
                    <w:tr2bl w:val="nil"/>
                  </w:tcBorders>
                  <w:noWrap w:val="0"/>
                  <w:vAlign w:val="center"/>
                </w:tcPr>
                <w:p>
                  <w:pPr>
                    <w:pStyle w:val="32"/>
                    <w:bidi w:val="0"/>
                    <w:rPr>
                      <w:color w:val="auto"/>
                      <w:highlight w:val="none"/>
                    </w:rPr>
                  </w:pPr>
                  <w:r>
                    <w:rPr>
                      <w:color w:val="auto"/>
                      <w:highlight w:val="none"/>
                    </w:rPr>
                    <w:t>76</w:t>
                  </w:r>
                </w:p>
              </w:tc>
              <w:tc>
                <w:tcPr>
                  <w:tcW w:w="297" w:type="pct"/>
                  <w:tcBorders>
                    <w:tl2br w:val="nil"/>
                    <w:tr2bl w:val="nil"/>
                  </w:tcBorders>
                  <w:noWrap w:val="0"/>
                  <w:vAlign w:val="center"/>
                </w:tcPr>
                <w:p>
                  <w:pPr>
                    <w:pStyle w:val="32"/>
                    <w:bidi w:val="0"/>
                    <w:rPr>
                      <w:color w:val="auto"/>
                      <w:highlight w:val="none"/>
                    </w:rPr>
                  </w:pPr>
                  <w:r>
                    <w:rPr>
                      <w:color w:val="auto"/>
                      <w:highlight w:val="none"/>
                    </w:rPr>
                    <w:t>70</w:t>
                  </w:r>
                </w:p>
              </w:tc>
              <w:tc>
                <w:tcPr>
                  <w:tcW w:w="297" w:type="pct"/>
                  <w:tcBorders>
                    <w:tl2br w:val="nil"/>
                    <w:tr2bl w:val="nil"/>
                  </w:tcBorders>
                  <w:noWrap w:val="0"/>
                  <w:vAlign w:val="center"/>
                </w:tcPr>
                <w:p>
                  <w:pPr>
                    <w:pStyle w:val="32"/>
                    <w:bidi w:val="0"/>
                    <w:rPr>
                      <w:color w:val="auto"/>
                      <w:highlight w:val="none"/>
                    </w:rPr>
                  </w:pPr>
                  <w:r>
                    <w:rPr>
                      <w:color w:val="auto"/>
                      <w:highlight w:val="none"/>
                    </w:rPr>
                    <w:t>64</w:t>
                  </w:r>
                </w:p>
              </w:tc>
              <w:tc>
                <w:tcPr>
                  <w:tcW w:w="297" w:type="pct"/>
                  <w:tcBorders>
                    <w:tl2br w:val="nil"/>
                    <w:tr2bl w:val="nil"/>
                  </w:tcBorders>
                  <w:noWrap w:val="0"/>
                  <w:vAlign w:val="center"/>
                </w:tcPr>
                <w:p>
                  <w:pPr>
                    <w:pStyle w:val="32"/>
                    <w:bidi w:val="0"/>
                    <w:rPr>
                      <w:color w:val="auto"/>
                      <w:highlight w:val="none"/>
                    </w:rPr>
                  </w:pPr>
                  <w:r>
                    <w:rPr>
                      <w:color w:val="auto"/>
                      <w:highlight w:val="none"/>
                    </w:rPr>
                    <w:t>58</w:t>
                  </w:r>
                </w:p>
              </w:tc>
              <w:tc>
                <w:tcPr>
                  <w:tcW w:w="297" w:type="pct"/>
                  <w:tcBorders>
                    <w:tl2br w:val="nil"/>
                    <w:tr2bl w:val="nil"/>
                  </w:tcBorders>
                  <w:noWrap w:val="0"/>
                  <w:vAlign w:val="center"/>
                </w:tcPr>
                <w:p>
                  <w:pPr>
                    <w:pStyle w:val="32"/>
                    <w:bidi w:val="0"/>
                    <w:rPr>
                      <w:color w:val="auto"/>
                      <w:highlight w:val="none"/>
                    </w:rPr>
                  </w:pPr>
                  <w:r>
                    <w:rPr>
                      <w:color w:val="auto"/>
                      <w:highlight w:val="none"/>
                    </w:rPr>
                    <w:t>52</w:t>
                  </w:r>
                </w:p>
              </w:tc>
              <w:tc>
                <w:tcPr>
                  <w:tcW w:w="297" w:type="pct"/>
                  <w:tcBorders>
                    <w:tl2br w:val="nil"/>
                    <w:tr2bl w:val="nil"/>
                  </w:tcBorders>
                  <w:noWrap w:val="0"/>
                  <w:vAlign w:val="center"/>
                </w:tcPr>
                <w:p>
                  <w:pPr>
                    <w:pStyle w:val="32"/>
                    <w:bidi w:val="0"/>
                    <w:rPr>
                      <w:color w:val="auto"/>
                      <w:highlight w:val="none"/>
                    </w:rPr>
                  </w:pPr>
                  <w:r>
                    <w:rPr>
                      <w:color w:val="auto"/>
                      <w:highlight w:val="none"/>
                    </w:rPr>
                    <w:t>50</w:t>
                  </w:r>
                </w:p>
              </w:tc>
              <w:tc>
                <w:tcPr>
                  <w:tcW w:w="297" w:type="pct"/>
                  <w:tcBorders>
                    <w:tl2br w:val="nil"/>
                    <w:tr2bl w:val="nil"/>
                  </w:tcBorders>
                  <w:noWrap w:val="0"/>
                  <w:vAlign w:val="center"/>
                </w:tcPr>
                <w:p>
                  <w:pPr>
                    <w:pStyle w:val="32"/>
                    <w:bidi w:val="0"/>
                    <w:rPr>
                      <w:color w:val="auto"/>
                      <w:highlight w:val="none"/>
                    </w:rPr>
                  </w:pPr>
                  <w:r>
                    <w:rPr>
                      <w:color w:val="auto"/>
                      <w:highlight w:val="none"/>
                    </w:rPr>
                    <w:t>46</w:t>
                  </w:r>
                </w:p>
              </w:tc>
              <w:tc>
                <w:tcPr>
                  <w:tcW w:w="300" w:type="pct"/>
                  <w:tcBorders>
                    <w:tl2br w:val="nil"/>
                    <w:tr2bl w:val="nil"/>
                  </w:tcBorders>
                  <w:noWrap w:val="0"/>
                  <w:vAlign w:val="center"/>
                </w:tcPr>
                <w:p>
                  <w:pPr>
                    <w:pStyle w:val="32"/>
                    <w:bidi w:val="0"/>
                    <w:rPr>
                      <w:color w:val="auto"/>
                      <w:highlight w:val="none"/>
                    </w:rPr>
                  </w:pPr>
                  <w:r>
                    <w:rPr>
                      <w:color w:val="auto"/>
                      <w:highlight w:val="none"/>
                    </w:rPr>
                    <w:t>44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color w:val="auto"/>
                      <w:highlight w:val="none"/>
                    </w:rPr>
                    <w:t>10</w:t>
                  </w:r>
                </w:p>
              </w:tc>
              <w:tc>
                <w:tcPr>
                  <w:tcW w:w="293" w:type="pct"/>
                  <w:tcBorders>
                    <w:tl2br w:val="nil"/>
                    <w:tr2bl w:val="nil"/>
                  </w:tcBorders>
                  <w:noWrap w:val="0"/>
                  <w:vAlign w:val="center"/>
                </w:tcPr>
                <w:p>
                  <w:pPr>
                    <w:pStyle w:val="32"/>
                    <w:bidi w:val="0"/>
                    <w:rPr>
                      <w:color w:val="auto"/>
                      <w:highlight w:val="none"/>
                    </w:rPr>
                  </w:pPr>
                  <w:r>
                    <w:rPr>
                      <w:color w:val="auto"/>
                      <w:highlight w:val="none"/>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r>
                    <w:rPr>
                      <w:color w:val="auto"/>
                      <w:highlight w:val="none"/>
                    </w:rPr>
                    <w:t>平地机</w:t>
                  </w:r>
                </w:p>
              </w:tc>
              <w:tc>
                <w:tcPr>
                  <w:tcW w:w="297" w:type="pct"/>
                  <w:tcBorders>
                    <w:tl2br w:val="nil"/>
                    <w:tr2bl w:val="nil"/>
                  </w:tcBorders>
                  <w:noWrap w:val="0"/>
                  <w:vAlign w:val="center"/>
                </w:tcPr>
                <w:p>
                  <w:pPr>
                    <w:pStyle w:val="32"/>
                    <w:bidi w:val="0"/>
                    <w:rPr>
                      <w:color w:val="auto"/>
                      <w:highlight w:val="none"/>
                    </w:rPr>
                  </w:pPr>
                  <w:r>
                    <w:rPr>
                      <w:color w:val="auto"/>
                      <w:highlight w:val="none"/>
                    </w:rPr>
                    <w:t>72</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46</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300" w:type="pct"/>
                  <w:tcBorders>
                    <w:tl2br w:val="nil"/>
                    <w:tr2bl w:val="nil"/>
                  </w:tcBorders>
                  <w:noWrap w:val="0"/>
                  <w:vAlign w:val="center"/>
                </w:tcPr>
                <w:p>
                  <w:pPr>
                    <w:pStyle w:val="32"/>
                    <w:bidi w:val="0"/>
                    <w:rPr>
                      <w:color w:val="auto"/>
                      <w:highlight w:val="none"/>
                    </w:rPr>
                  </w:pPr>
                  <w:r>
                    <w:rPr>
                      <w:color w:val="auto"/>
                      <w:highlight w:val="none"/>
                    </w:rPr>
                    <w:t>40</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color w:val="auto"/>
                      <w:highlight w:val="none"/>
                    </w:rPr>
                    <w:t>10</w:t>
                  </w:r>
                </w:p>
              </w:tc>
              <w:tc>
                <w:tcPr>
                  <w:tcW w:w="293" w:type="pct"/>
                  <w:tcBorders>
                    <w:tl2br w:val="nil"/>
                    <w:tr2bl w:val="nil"/>
                  </w:tcBorders>
                  <w:noWrap w:val="0"/>
                  <w:vAlign w:val="center"/>
                </w:tcPr>
                <w:p>
                  <w:pPr>
                    <w:pStyle w:val="32"/>
                    <w:bidi w:val="0"/>
                    <w:rPr>
                      <w:color w:val="auto"/>
                      <w:highlight w:val="none"/>
                    </w:rPr>
                  </w:pPr>
                  <w:r>
                    <w:rPr>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r>
                    <w:rPr>
                      <w:color w:val="auto"/>
                      <w:highlight w:val="none"/>
                    </w:rPr>
                    <w:t>压路机</w:t>
                  </w:r>
                </w:p>
              </w:tc>
              <w:tc>
                <w:tcPr>
                  <w:tcW w:w="297" w:type="pct"/>
                  <w:tcBorders>
                    <w:tl2br w:val="nil"/>
                    <w:tr2bl w:val="nil"/>
                  </w:tcBorders>
                  <w:noWrap w:val="0"/>
                  <w:vAlign w:val="center"/>
                </w:tcPr>
                <w:p>
                  <w:pPr>
                    <w:pStyle w:val="32"/>
                    <w:bidi w:val="0"/>
                    <w:rPr>
                      <w:color w:val="auto"/>
                      <w:highlight w:val="none"/>
                    </w:rPr>
                  </w:pPr>
                  <w:r>
                    <w:rPr>
                      <w:color w:val="auto"/>
                      <w:highlight w:val="none"/>
                    </w:rPr>
                    <w:t>68</w:t>
                  </w:r>
                </w:p>
              </w:tc>
              <w:tc>
                <w:tcPr>
                  <w:tcW w:w="297" w:type="pct"/>
                  <w:tcBorders>
                    <w:tl2br w:val="nil"/>
                    <w:tr2bl w:val="nil"/>
                  </w:tcBorders>
                  <w:noWrap w:val="0"/>
                  <w:vAlign w:val="center"/>
                </w:tcPr>
                <w:p>
                  <w:pPr>
                    <w:pStyle w:val="32"/>
                    <w:bidi w:val="0"/>
                    <w:rPr>
                      <w:color w:val="auto"/>
                      <w:highlight w:val="none"/>
                    </w:rPr>
                  </w:pPr>
                  <w:r>
                    <w:rPr>
                      <w:color w:val="auto"/>
                      <w:highlight w:val="none"/>
                    </w:rPr>
                    <w:t>62</w:t>
                  </w:r>
                </w:p>
              </w:tc>
              <w:tc>
                <w:tcPr>
                  <w:tcW w:w="297" w:type="pct"/>
                  <w:tcBorders>
                    <w:tl2br w:val="nil"/>
                    <w:tr2bl w:val="nil"/>
                  </w:tcBorders>
                  <w:noWrap w:val="0"/>
                  <w:vAlign w:val="center"/>
                </w:tcPr>
                <w:p>
                  <w:pPr>
                    <w:pStyle w:val="32"/>
                    <w:bidi w:val="0"/>
                    <w:rPr>
                      <w:color w:val="auto"/>
                      <w:highlight w:val="none"/>
                    </w:rPr>
                  </w:pPr>
                  <w:r>
                    <w:rPr>
                      <w:color w:val="auto"/>
                      <w:highlight w:val="none"/>
                    </w:rPr>
                    <w:t>56</w:t>
                  </w:r>
                </w:p>
              </w:tc>
              <w:tc>
                <w:tcPr>
                  <w:tcW w:w="297" w:type="pct"/>
                  <w:tcBorders>
                    <w:tl2br w:val="nil"/>
                    <w:tr2bl w:val="nil"/>
                  </w:tcBorders>
                  <w:noWrap w:val="0"/>
                  <w:vAlign w:val="center"/>
                </w:tcPr>
                <w:p>
                  <w:pPr>
                    <w:pStyle w:val="32"/>
                    <w:bidi w:val="0"/>
                    <w:rPr>
                      <w:color w:val="auto"/>
                      <w:highlight w:val="none"/>
                    </w:rPr>
                  </w:pPr>
                  <w:r>
                    <w:rPr>
                      <w:color w:val="auto"/>
                      <w:highlight w:val="none"/>
                    </w:rPr>
                    <w:t>50</w:t>
                  </w:r>
                </w:p>
              </w:tc>
              <w:tc>
                <w:tcPr>
                  <w:tcW w:w="297" w:type="pct"/>
                  <w:tcBorders>
                    <w:tl2br w:val="nil"/>
                    <w:tr2bl w:val="nil"/>
                  </w:tcBorders>
                  <w:noWrap w:val="0"/>
                  <w:vAlign w:val="center"/>
                </w:tcPr>
                <w:p>
                  <w:pPr>
                    <w:pStyle w:val="32"/>
                    <w:bidi w:val="0"/>
                    <w:rPr>
                      <w:color w:val="auto"/>
                      <w:highlight w:val="none"/>
                    </w:rPr>
                  </w:pPr>
                  <w:r>
                    <w:rPr>
                      <w:color w:val="auto"/>
                      <w:highlight w:val="none"/>
                    </w:rPr>
                    <w:t>44</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38</w:t>
                  </w:r>
                </w:p>
              </w:tc>
              <w:tc>
                <w:tcPr>
                  <w:tcW w:w="300" w:type="pct"/>
                  <w:tcBorders>
                    <w:tl2br w:val="nil"/>
                    <w:tr2bl w:val="nil"/>
                  </w:tcBorders>
                  <w:noWrap w:val="0"/>
                  <w:vAlign w:val="center"/>
                </w:tcPr>
                <w:p>
                  <w:pPr>
                    <w:pStyle w:val="32"/>
                    <w:bidi w:val="0"/>
                    <w:rPr>
                      <w:color w:val="auto"/>
                      <w:highlight w:val="none"/>
                    </w:rPr>
                  </w:pPr>
                  <w:r>
                    <w:rPr>
                      <w:color w:val="auto"/>
                      <w:highlight w:val="none"/>
                    </w:rPr>
                    <w:t>36</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color w:val="auto"/>
                      <w:highlight w:val="none"/>
                    </w:rPr>
                    <w:t>—</w:t>
                  </w:r>
                </w:p>
              </w:tc>
              <w:tc>
                <w:tcPr>
                  <w:tcW w:w="293" w:type="pct"/>
                  <w:tcBorders>
                    <w:tl2br w:val="nil"/>
                    <w:tr2bl w:val="nil"/>
                  </w:tcBorders>
                  <w:noWrap w:val="0"/>
                  <w:vAlign w:val="center"/>
                </w:tcPr>
                <w:p>
                  <w:pPr>
                    <w:pStyle w:val="32"/>
                    <w:bidi w:val="0"/>
                    <w:rPr>
                      <w:color w:val="auto"/>
                      <w:highlight w:val="none"/>
                    </w:rPr>
                  </w:pPr>
                  <w:r>
                    <w:rPr>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bookmarkStart w:id="16" w:name="_Hlk103928639"/>
                  <w:r>
                    <w:rPr>
                      <w:color w:val="auto"/>
                      <w:highlight w:val="none"/>
                    </w:rPr>
                    <w:t>蛙式夯土机</w:t>
                  </w:r>
                </w:p>
              </w:tc>
              <w:tc>
                <w:tcPr>
                  <w:tcW w:w="297" w:type="pct"/>
                  <w:tcBorders>
                    <w:tl2br w:val="nil"/>
                    <w:tr2bl w:val="nil"/>
                  </w:tcBorders>
                  <w:noWrap w:val="0"/>
                  <w:vAlign w:val="center"/>
                </w:tcPr>
                <w:p>
                  <w:pPr>
                    <w:pStyle w:val="32"/>
                    <w:bidi w:val="0"/>
                    <w:rPr>
                      <w:color w:val="auto"/>
                      <w:highlight w:val="none"/>
                    </w:rPr>
                  </w:pPr>
                  <w:r>
                    <w:rPr>
                      <w:color w:val="auto"/>
                      <w:highlight w:val="none"/>
                    </w:rPr>
                    <w:t>72</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46</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300" w:type="pct"/>
                  <w:tcBorders>
                    <w:tl2br w:val="nil"/>
                    <w:tr2bl w:val="nil"/>
                  </w:tcBorders>
                  <w:noWrap w:val="0"/>
                  <w:vAlign w:val="center"/>
                </w:tcPr>
                <w:p>
                  <w:pPr>
                    <w:pStyle w:val="32"/>
                    <w:bidi w:val="0"/>
                    <w:rPr>
                      <w:color w:val="auto"/>
                      <w:highlight w:val="none"/>
                    </w:rPr>
                  </w:pPr>
                  <w:r>
                    <w:rPr>
                      <w:color w:val="auto"/>
                      <w:highlight w:val="none"/>
                    </w:rPr>
                    <w:t>40</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color w:val="auto"/>
                      <w:highlight w:val="none"/>
                    </w:rPr>
                    <w:t>10</w:t>
                  </w:r>
                </w:p>
              </w:tc>
              <w:tc>
                <w:tcPr>
                  <w:tcW w:w="293" w:type="pct"/>
                  <w:tcBorders>
                    <w:tl2br w:val="nil"/>
                    <w:tr2bl w:val="nil"/>
                  </w:tcBorders>
                  <w:noWrap w:val="0"/>
                  <w:vAlign w:val="center"/>
                </w:tcPr>
                <w:p>
                  <w:pPr>
                    <w:pStyle w:val="32"/>
                    <w:bidi w:val="0"/>
                    <w:rPr>
                      <w:color w:val="auto"/>
                      <w:highlight w:val="none"/>
                    </w:rPr>
                  </w:pPr>
                  <w:r>
                    <w:rPr>
                      <w:color w:val="auto"/>
                      <w:highlight w:val="none"/>
                    </w:rPr>
                    <w:t>40</w:t>
                  </w:r>
                </w:p>
              </w:tc>
            </w:tr>
            <w:bookmarkEnd w:id="16"/>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bookmarkStart w:id="17" w:name="_Hlk103928609"/>
                  <w:bookmarkStart w:id="18" w:name="OLE_LINK31" w:colFirst="11" w:colLast="76"/>
                  <w:bookmarkStart w:id="19" w:name="OLE_LINK30" w:colFirst="1" w:colLast="72"/>
                  <w:r>
                    <w:rPr>
                      <w:color w:val="auto"/>
                      <w:highlight w:val="none"/>
                    </w:rPr>
                    <w:t>稳定土摊铺机</w:t>
                  </w:r>
                </w:p>
              </w:tc>
              <w:tc>
                <w:tcPr>
                  <w:tcW w:w="297" w:type="pct"/>
                  <w:tcBorders>
                    <w:tl2br w:val="nil"/>
                    <w:tr2bl w:val="nil"/>
                  </w:tcBorders>
                  <w:noWrap w:val="0"/>
                  <w:vAlign w:val="center"/>
                </w:tcPr>
                <w:p>
                  <w:pPr>
                    <w:pStyle w:val="32"/>
                    <w:bidi w:val="0"/>
                    <w:rPr>
                      <w:color w:val="auto"/>
                      <w:highlight w:val="none"/>
                    </w:rPr>
                  </w:pPr>
                  <w:r>
                    <w:rPr>
                      <w:color w:val="auto"/>
                      <w:highlight w:val="none"/>
                    </w:rPr>
                    <w:t>68</w:t>
                  </w:r>
                </w:p>
              </w:tc>
              <w:tc>
                <w:tcPr>
                  <w:tcW w:w="297" w:type="pct"/>
                  <w:tcBorders>
                    <w:tl2br w:val="nil"/>
                    <w:tr2bl w:val="nil"/>
                  </w:tcBorders>
                  <w:noWrap w:val="0"/>
                  <w:vAlign w:val="center"/>
                </w:tcPr>
                <w:p>
                  <w:pPr>
                    <w:pStyle w:val="32"/>
                    <w:bidi w:val="0"/>
                    <w:rPr>
                      <w:color w:val="auto"/>
                      <w:highlight w:val="none"/>
                    </w:rPr>
                  </w:pPr>
                  <w:r>
                    <w:rPr>
                      <w:color w:val="auto"/>
                      <w:highlight w:val="none"/>
                    </w:rPr>
                    <w:t>62</w:t>
                  </w:r>
                </w:p>
              </w:tc>
              <w:tc>
                <w:tcPr>
                  <w:tcW w:w="297" w:type="pct"/>
                  <w:tcBorders>
                    <w:tl2br w:val="nil"/>
                    <w:tr2bl w:val="nil"/>
                  </w:tcBorders>
                  <w:noWrap w:val="0"/>
                  <w:vAlign w:val="center"/>
                </w:tcPr>
                <w:p>
                  <w:pPr>
                    <w:pStyle w:val="32"/>
                    <w:bidi w:val="0"/>
                    <w:rPr>
                      <w:color w:val="auto"/>
                      <w:highlight w:val="none"/>
                    </w:rPr>
                  </w:pPr>
                  <w:r>
                    <w:rPr>
                      <w:color w:val="auto"/>
                      <w:highlight w:val="none"/>
                    </w:rPr>
                    <w:t>56</w:t>
                  </w:r>
                </w:p>
              </w:tc>
              <w:tc>
                <w:tcPr>
                  <w:tcW w:w="297" w:type="pct"/>
                  <w:tcBorders>
                    <w:tl2br w:val="nil"/>
                    <w:tr2bl w:val="nil"/>
                  </w:tcBorders>
                  <w:noWrap w:val="0"/>
                  <w:vAlign w:val="center"/>
                </w:tcPr>
                <w:p>
                  <w:pPr>
                    <w:pStyle w:val="32"/>
                    <w:bidi w:val="0"/>
                    <w:rPr>
                      <w:color w:val="auto"/>
                      <w:highlight w:val="none"/>
                    </w:rPr>
                  </w:pPr>
                  <w:r>
                    <w:rPr>
                      <w:color w:val="auto"/>
                      <w:highlight w:val="none"/>
                    </w:rPr>
                    <w:t>50</w:t>
                  </w:r>
                </w:p>
              </w:tc>
              <w:tc>
                <w:tcPr>
                  <w:tcW w:w="297" w:type="pct"/>
                  <w:tcBorders>
                    <w:tl2br w:val="nil"/>
                    <w:tr2bl w:val="nil"/>
                  </w:tcBorders>
                  <w:noWrap w:val="0"/>
                  <w:vAlign w:val="center"/>
                </w:tcPr>
                <w:p>
                  <w:pPr>
                    <w:pStyle w:val="32"/>
                    <w:bidi w:val="0"/>
                    <w:rPr>
                      <w:color w:val="auto"/>
                      <w:highlight w:val="none"/>
                    </w:rPr>
                  </w:pPr>
                  <w:r>
                    <w:rPr>
                      <w:color w:val="auto"/>
                      <w:highlight w:val="none"/>
                    </w:rPr>
                    <w:t>44</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38</w:t>
                  </w:r>
                </w:p>
              </w:tc>
              <w:tc>
                <w:tcPr>
                  <w:tcW w:w="300" w:type="pct"/>
                  <w:tcBorders>
                    <w:tl2br w:val="nil"/>
                    <w:tr2bl w:val="nil"/>
                  </w:tcBorders>
                  <w:noWrap w:val="0"/>
                  <w:vAlign w:val="center"/>
                </w:tcPr>
                <w:p>
                  <w:pPr>
                    <w:pStyle w:val="32"/>
                    <w:bidi w:val="0"/>
                    <w:rPr>
                      <w:color w:val="auto"/>
                      <w:highlight w:val="none"/>
                    </w:rPr>
                  </w:pPr>
                  <w:r>
                    <w:rPr>
                      <w:color w:val="auto"/>
                      <w:highlight w:val="none"/>
                    </w:rPr>
                    <w:t>36</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color w:val="auto"/>
                      <w:highlight w:val="none"/>
                    </w:rPr>
                    <w:t>—</w:t>
                  </w:r>
                </w:p>
              </w:tc>
              <w:tc>
                <w:tcPr>
                  <w:tcW w:w="293" w:type="pct"/>
                  <w:tcBorders>
                    <w:tl2br w:val="nil"/>
                    <w:tr2bl w:val="nil"/>
                  </w:tcBorders>
                  <w:noWrap w:val="0"/>
                  <w:vAlign w:val="center"/>
                </w:tcPr>
                <w:p>
                  <w:pPr>
                    <w:pStyle w:val="32"/>
                    <w:bidi w:val="0"/>
                    <w:rPr>
                      <w:color w:val="auto"/>
                      <w:highlight w:val="none"/>
                    </w:rPr>
                  </w:pPr>
                  <w:r>
                    <w:rPr>
                      <w:color w:val="auto"/>
                      <w:highlight w:val="none"/>
                    </w:rPr>
                    <w:t>40</w:t>
                  </w:r>
                </w:p>
              </w:tc>
            </w:tr>
            <w:bookmarkEnd w:id="17"/>
            <w:bookmarkEnd w:id="18"/>
            <w:bookmarkEnd w:id="19"/>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bookmarkStart w:id="20" w:name="_Hlk103928443"/>
                  <w:r>
                    <w:rPr>
                      <w:color w:val="auto"/>
                      <w:highlight w:val="none"/>
                    </w:rPr>
                    <w:t>沥青混合料摊铺机</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37</w:t>
                  </w:r>
                </w:p>
              </w:tc>
              <w:tc>
                <w:tcPr>
                  <w:tcW w:w="300" w:type="pct"/>
                  <w:tcBorders>
                    <w:tl2br w:val="nil"/>
                    <w:tr2bl w:val="nil"/>
                  </w:tcBorders>
                  <w:noWrap w:val="0"/>
                  <w:vAlign w:val="center"/>
                </w:tcPr>
                <w:p>
                  <w:pPr>
                    <w:pStyle w:val="32"/>
                    <w:bidi w:val="0"/>
                    <w:rPr>
                      <w:color w:val="auto"/>
                      <w:highlight w:val="none"/>
                    </w:rPr>
                  </w:pPr>
                  <w:r>
                    <w:rPr>
                      <w:color w:val="auto"/>
                      <w:highlight w:val="none"/>
                    </w:rPr>
                    <w:t>34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color w:val="auto"/>
                      <w:highlight w:val="none"/>
                    </w:rPr>
                    <w:t>—</w:t>
                  </w:r>
                </w:p>
              </w:tc>
              <w:tc>
                <w:tcPr>
                  <w:tcW w:w="293" w:type="pct"/>
                  <w:tcBorders>
                    <w:tl2br w:val="nil"/>
                    <w:tr2bl w:val="nil"/>
                  </w:tcBorders>
                  <w:noWrap w:val="0"/>
                  <w:vAlign w:val="center"/>
                </w:tcPr>
                <w:p>
                  <w:pPr>
                    <w:pStyle w:val="32"/>
                    <w:bidi w:val="0"/>
                    <w:rPr>
                      <w:color w:val="auto"/>
                      <w:highlight w:val="none"/>
                    </w:rPr>
                  </w:pPr>
                  <w:r>
                    <w:rPr>
                      <w:color w:val="auto"/>
                      <w:highlight w:val="none"/>
                    </w:rPr>
                    <w:t>20</w:t>
                  </w:r>
                </w:p>
              </w:tc>
            </w:tr>
            <w:bookmarkEnd w:id="20"/>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液压反铲挖掘机</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37</w:t>
                  </w:r>
                </w:p>
              </w:tc>
              <w:tc>
                <w:tcPr>
                  <w:tcW w:w="300" w:type="pct"/>
                  <w:tcBorders>
                    <w:tl2br w:val="nil"/>
                    <w:tr2bl w:val="nil"/>
                  </w:tcBorders>
                  <w:noWrap w:val="0"/>
                  <w:vAlign w:val="center"/>
                </w:tcPr>
                <w:p>
                  <w:pPr>
                    <w:pStyle w:val="32"/>
                    <w:bidi w:val="0"/>
                    <w:rPr>
                      <w:color w:val="auto"/>
                      <w:highlight w:val="none"/>
                    </w:rPr>
                  </w:pPr>
                  <w:r>
                    <w:rPr>
                      <w:color w:val="auto"/>
                      <w:highlight w:val="none"/>
                    </w:rPr>
                    <w:t>34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吊车</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37</w:t>
                  </w:r>
                </w:p>
              </w:tc>
              <w:tc>
                <w:tcPr>
                  <w:tcW w:w="300" w:type="pct"/>
                  <w:tcBorders>
                    <w:tl2br w:val="nil"/>
                    <w:tr2bl w:val="nil"/>
                  </w:tcBorders>
                  <w:noWrap w:val="0"/>
                  <w:vAlign w:val="center"/>
                </w:tcPr>
                <w:p>
                  <w:pPr>
                    <w:pStyle w:val="32"/>
                    <w:bidi w:val="0"/>
                    <w:rPr>
                      <w:color w:val="auto"/>
                      <w:highlight w:val="none"/>
                    </w:rPr>
                  </w:pPr>
                  <w:r>
                    <w:rPr>
                      <w:color w:val="auto"/>
                      <w:highlight w:val="none"/>
                    </w:rPr>
                    <w:t>34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运输车</w:t>
                  </w:r>
                </w:p>
              </w:tc>
              <w:tc>
                <w:tcPr>
                  <w:tcW w:w="297" w:type="pct"/>
                  <w:tcBorders>
                    <w:tl2br w:val="nil"/>
                    <w:tr2bl w:val="nil"/>
                  </w:tcBorders>
                  <w:noWrap w:val="0"/>
                  <w:vAlign w:val="center"/>
                </w:tcPr>
                <w:p>
                  <w:pPr>
                    <w:pStyle w:val="32"/>
                    <w:bidi w:val="0"/>
                    <w:rPr>
                      <w:color w:val="auto"/>
                      <w:highlight w:val="none"/>
                    </w:rPr>
                  </w:pPr>
                  <w:r>
                    <w:rPr>
                      <w:color w:val="auto"/>
                      <w:highlight w:val="none"/>
                    </w:rPr>
                    <w:t>68</w:t>
                  </w:r>
                </w:p>
              </w:tc>
              <w:tc>
                <w:tcPr>
                  <w:tcW w:w="297" w:type="pct"/>
                  <w:tcBorders>
                    <w:tl2br w:val="nil"/>
                    <w:tr2bl w:val="nil"/>
                  </w:tcBorders>
                  <w:noWrap w:val="0"/>
                  <w:vAlign w:val="center"/>
                </w:tcPr>
                <w:p>
                  <w:pPr>
                    <w:pStyle w:val="32"/>
                    <w:bidi w:val="0"/>
                    <w:rPr>
                      <w:color w:val="auto"/>
                      <w:highlight w:val="none"/>
                    </w:rPr>
                  </w:pPr>
                  <w:r>
                    <w:rPr>
                      <w:color w:val="auto"/>
                      <w:highlight w:val="none"/>
                    </w:rPr>
                    <w:t>62</w:t>
                  </w:r>
                </w:p>
              </w:tc>
              <w:tc>
                <w:tcPr>
                  <w:tcW w:w="297" w:type="pct"/>
                  <w:tcBorders>
                    <w:tl2br w:val="nil"/>
                    <w:tr2bl w:val="nil"/>
                  </w:tcBorders>
                  <w:noWrap w:val="0"/>
                  <w:vAlign w:val="center"/>
                </w:tcPr>
                <w:p>
                  <w:pPr>
                    <w:pStyle w:val="32"/>
                    <w:bidi w:val="0"/>
                    <w:rPr>
                      <w:color w:val="auto"/>
                      <w:highlight w:val="none"/>
                    </w:rPr>
                  </w:pPr>
                  <w:r>
                    <w:rPr>
                      <w:color w:val="auto"/>
                      <w:highlight w:val="none"/>
                    </w:rPr>
                    <w:t>56</w:t>
                  </w:r>
                </w:p>
              </w:tc>
              <w:tc>
                <w:tcPr>
                  <w:tcW w:w="297" w:type="pct"/>
                  <w:tcBorders>
                    <w:tl2br w:val="nil"/>
                    <w:tr2bl w:val="nil"/>
                  </w:tcBorders>
                  <w:noWrap w:val="0"/>
                  <w:vAlign w:val="center"/>
                </w:tcPr>
                <w:p>
                  <w:pPr>
                    <w:pStyle w:val="32"/>
                    <w:bidi w:val="0"/>
                    <w:rPr>
                      <w:color w:val="auto"/>
                      <w:highlight w:val="none"/>
                    </w:rPr>
                  </w:pPr>
                  <w:r>
                    <w:rPr>
                      <w:color w:val="auto"/>
                      <w:highlight w:val="none"/>
                    </w:rPr>
                    <w:t>50</w:t>
                  </w:r>
                </w:p>
              </w:tc>
              <w:tc>
                <w:tcPr>
                  <w:tcW w:w="297" w:type="pct"/>
                  <w:tcBorders>
                    <w:tl2br w:val="nil"/>
                    <w:tr2bl w:val="nil"/>
                  </w:tcBorders>
                  <w:noWrap w:val="0"/>
                  <w:vAlign w:val="center"/>
                </w:tcPr>
                <w:p>
                  <w:pPr>
                    <w:pStyle w:val="32"/>
                    <w:bidi w:val="0"/>
                    <w:rPr>
                      <w:color w:val="auto"/>
                      <w:highlight w:val="none"/>
                    </w:rPr>
                  </w:pPr>
                  <w:r>
                    <w:rPr>
                      <w:color w:val="auto"/>
                      <w:highlight w:val="none"/>
                    </w:rPr>
                    <w:t>44</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38</w:t>
                  </w:r>
                </w:p>
              </w:tc>
              <w:tc>
                <w:tcPr>
                  <w:tcW w:w="300" w:type="pct"/>
                  <w:tcBorders>
                    <w:tl2br w:val="nil"/>
                    <w:tr2bl w:val="nil"/>
                  </w:tcBorders>
                  <w:noWrap w:val="0"/>
                  <w:vAlign w:val="center"/>
                </w:tcPr>
                <w:p>
                  <w:pPr>
                    <w:pStyle w:val="32"/>
                    <w:bidi w:val="0"/>
                    <w:rPr>
                      <w:color w:val="auto"/>
                      <w:highlight w:val="none"/>
                    </w:rPr>
                  </w:pPr>
                  <w:r>
                    <w:rPr>
                      <w:color w:val="auto"/>
                      <w:highlight w:val="none"/>
                    </w:rPr>
                    <w:t>36</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color w:val="auto"/>
                      <w:highlight w:val="none"/>
                    </w:rPr>
                  </w:pPr>
                  <w:r>
                    <w:rPr>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color w:val="auto"/>
                      <w:highlight w:val="none"/>
                    </w:rPr>
                    <w:t>稀浆封层机</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37</w:t>
                  </w:r>
                </w:p>
              </w:tc>
              <w:tc>
                <w:tcPr>
                  <w:tcW w:w="300" w:type="pct"/>
                  <w:tcBorders>
                    <w:tl2br w:val="nil"/>
                    <w:tr2bl w:val="nil"/>
                  </w:tcBorders>
                  <w:noWrap w:val="0"/>
                  <w:vAlign w:val="center"/>
                </w:tcPr>
                <w:p>
                  <w:pPr>
                    <w:pStyle w:val="32"/>
                    <w:bidi w:val="0"/>
                    <w:rPr>
                      <w:color w:val="auto"/>
                      <w:highlight w:val="none"/>
                    </w:rPr>
                  </w:pPr>
                  <w:r>
                    <w:rPr>
                      <w:color w:val="auto"/>
                      <w:highlight w:val="none"/>
                    </w:rPr>
                    <w:t>34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color w:val="auto"/>
                      <w:highlight w:val="none"/>
                    </w:rPr>
                    <w:t>热熔标线设备</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37</w:t>
                  </w:r>
                </w:p>
              </w:tc>
              <w:tc>
                <w:tcPr>
                  <w:tcW w:w="300" w:type="pct"/>
                  <w:tcBorders>
                    <w:tl2br w:val="nil"/>
                    <w:tr2bl w:val="nil"/>
                  </w:tcBorders>
                  <w:noWrap w:val="0"/>
                  <w:vAlign w:val="center"/>
                </w:tcPr>
                <w:p>
                  <w:pPr>
                    <w:pStyle w:val="32"/>
                    <w:bidi w:val="0"/>
                    <w:rPr>
                      <w:color w:val="auto"/>
                      <w:highlight w:val="none"/>
                    </w:rPr>
                  </w:pPr>
                  <w:r>
                    <w:rPr>
                      <w:color w:val="auto"/>
                      <w:highlight w:val="none"/>
                    </w:rPr>
                    <w:t>34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color w:val="auto"/>
                      <w:highlight w:val="none"/>
                    </w:rPr>
                    <w:t>凸起振动标线机</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71</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65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59</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53</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47</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41</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39</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color w:val="auto"/>
                      <w:highlight w:val="none"/>
                    </w:rPr>
                    <w:t>水泥混凝土摊铺机</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71</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65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59</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53</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47</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41</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39</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电焊机</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37</w:t>
                  </w:r>
                </w:p>
              </w:tc>
              <w:tc>
                <w:tcPr>
                  <w:tcW w:w="300" w:type="pct"/>
                  <w:tcBorders>
                    <w:tl2br w:val="nil"/>
                    <w:tr2bl w:val="nil"/>
                  </w:tcBorders>
                  <w:noWrap w:val="0"/>
                  <w:vAlign w:val="center"/>
                </w:tcPr>
                <w:p>
                  <w:pPr>
                    <w:pStyle w:val="32"/>
                    <w:bidi w:val="0"/>
                    <w:rPr>
                      <w:color w:val="auto"/>
                      <w:highlight w:val="none"/>
                    </w:rPr>
                  </w:pPr>
                  <w:r>
                    <w:rPr>
                      <w:color w:val="auto"/>
                      <w:highlight w:val="none"/>
                    </w:rPr>
                    <w:t>34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color w:val="auto"/>
                      <w:highlight w:val="none"/>
                    </w:rPr>
                    <w:t>混凝土路缘石机动铺筑机</w:t>
                  </w:r>
                </w:p>
              </w:tc>
              <w:tc>
                <w:tcPr>
                  <w:tcW w:w="297" w:type="pct"/>
                  <w:tcBorders>
                    <w:tl2br w:val="nil"/>
                    <w:tr2bl w:val="nil"/>
                  </w:tcBorders>
                  <w:noWrap w:val="0"/>
                  <w:vAlign w:val="center"/>
                </w:tcPr>
                <w:p>
                  <w:pPr>
                    <w:pStyle w:val="32"/>
                    <w:bidi w:val="0"/>
                    <w:rPr>
                      <w:color w:val="auto"/>
                      <w:highlight w:val="none"/>
                    </w:rPr>
                  </w:pPr>
                  <w:r>
                    <w:rPr>
                      <w:color w:val="auto"/>
                      <w:highlight w:val="none"/>
                    </w:rPr>
                    <w:t>66</w:t>
                  </w:r>
                </w:p>
              </w:tc>
              <w:tc>
                <w:tcPr>
                  <w:tcW w:w="297" w:type="pct"/>
                  <w:tcBorders>
                    <w:tl2br w:val="nil"/>
                    <w:tr2bl w:val="nil"/>
                  </w:tcBorders>
                  <w:noWrap w:val="0"/>
                  <w:vAlign w:val="center"/>
                </w:tcPr>
                <w:p>
                  <w:pPr>
                    <w:pStyle w:val="32"/>
                    <w:bidi w:val="0"/>
                    <w:rPr>
                      <w:color w:val="auto"/>
                      <w:highlight w:val="none"/>
                    </w:rPr>
                  </w:pPr>
                  <w:r>
                    <w:rPr>
                      <w:color w:val="auto"/>
                      <w:highlight w:val="none"/>
                    </w:rPr>
                    <w:t>60</w:t>
                  </w:r>
                </w:p>
              </w:tc>
              <w:tc>
                <w:tcPr>
                  <w:tcW w:w="297" w:type="pct"/>
                  <w:tcBorders>
                    <w:tl2br w:val="nil"/>
                    <w:tr2bl w:val="nil"/>
                  </w:tcBorders>
                  <w:noWrap w:val="0"/>
                  <w:vAlign w:val="center"/>
                </w:tcPr>
                <w:p>
                  <w:pPr>
                    <w:pStyle w:val="32"/>
                    <w:bidi w:val="0"/>
                    <w:rPr>
                      <w:color w:val="auto"/>
                      <w:highlight w:val="none"/>
                    </w:rPr>
                  </w:pPr>
                  <w:r>
                    <w:rPr>
                      <w:color w:val="auto"/>
                      <w:highlight w:val="none"/>
                    </w:rPr>
                    <w:t>54</w:t>
                  </w:r>
                </w:p>
              </w:tc>
              <w:tc>
                <w:tcPr>
                  <w:tcW w:w="297" w:type="pct"/>
                  <w:tcBorders>
                    <w:tl2br w:val="nil"/>
                    <w:tr2bl w:val="nil"/>
                  </w:tcBorders>
                  <w:noWrap w:val="0"/>
                  <w:vAlign w:val="center"/>
                </w:tcPr>
                <w:p>
                  <w:pPr>
                    <w:pStyle w:val="32"/>
                    <w:bidi w:val="0"/>
                    <w:rPr>
                      <w:color w:val="auto"/>
                      <w:highlight w:val="none"/>
                    </w:rPr>
                  </w:pPr>
                  <w:r>
                    <w:rPr>
                      <w:color w:val="auto"/>
                      <w:highlight w:val="none"/>
                    </w:rPr>
                    <w:t>48</w:t>
                  </w:r>
                </w:p>
              </w:tc>
              <w:tc>
                <w:tcPr>
                  <w:tcW w:w="297" w:type="pct"/>
                  <w:tcBorders>
                    <w:tl2br w:val="nil"/>
                    <w:tr2bl w:val="nil"/>
                  </w:tcBorders>
                  <w:noWrap w:val="0"/>
                  <w:vAlign w:val="center"/>
                </w:tcPr>
                <w:p>
                  <w:pPr>
                    <w:pStyle w:val="32"/>
                    <w:bidi w:val="0"/>
                    <w:rPr>
                      <w:color w:val="auto"/>
                      <w:highlight w:val="none"/>
                    </w:rPr>
                  </w:pPr>
                  <w:r>
                    <w:rPr>
                      <w:color w:val="auto"/>
                      <w:highlight w:val="none"/>
                    </w:rPr>
                    <w:t>42</w:t>
                  </w:r>
                </w:p>
              </w:tc>
              <w:tc>
                <w:tcPr>
                  <w:tcW w:w="297" w:type="pct"/>
                  <w:tcBorders>
                    <w:tl2br w:val="nil"/>
                    <w:tr2bl w:val="nil"/>
                  </w:tcBorders>
                  <w:noWrap w:val="0"/>
                  <w:vAlign w:val="center"/>
                </w:tcPr>
                <w:p>
                  <w:pPr>
                    <w:pStyle w:val="32"/>
                    <w:bidi w:val="0"/>
                    <w:rPr>
                      <w:color w:val="auto"/>
                      <w:highlight w:val="none"/>
                    </w:rPr>
                  </w:pPr>
                  <w:r>
                    <w:rPr>
                      <w:color w:val="auto"/>
                      <w:highlight w:val="none"/>
                    </w:rPr>
                    <w:t>40</w:t>
                  </w:r>
                </w:p>
              </w:tc>
              <w:tc>
                <w:tcPr>
                  <w:tcW w:w="297" w:type="pct"/>
                  <w:tcBorders>
                    <w:tl2br w:val="nil"/>
                    <w:tr2bl w:val="nil"/>
                  </w:tcBorders>
                  <w:noWrap w:val="0"/>
                  <w:vAlign w:val="center"/>
                </w:tcPr>
                <w:p>
                  <w:pPr>
                    <w:pStyle w:val="32"/>
                    <w:bidi w:val="0"/>
                    <w:rPr>
                      <w:color w:val="auto"/>
                      <w:highlight w:val="none"/>
                    </w:rPr>
                  </w:pPr>
                  <w:r>
                    <w:rPr>
                      <w:color w:val="auto"/>
                      <w:highlight w:val="none"/>
                    </w:rPr>
                    <w:t>37</w:t>
                  </w:r>
                </w:p>
              </w:tc>
              <w:tc>
                <w:tcPr>
                  <w:tcW w:w="300" w:type="pct"/>
                  <w:tcBorders>
                    <w:tl2br w:val="nil"/>
                    <w:tr2bl w:val="nil"/>
                  </w:tcBorders>
                  <w:noWrap w:val="0"/>
                  <w:vAlign w:val="center"/>
                </w:tcPr>
                <w:p>
                  <w:pPr>
                    <w:pStyle w:val="32"/>
                    <w:bidi w:val="0"/>
                    <w:rPr>
                      <w:color w:val="auto"/>
                      <w:highlight w:val="none"/>
                    </w:rPr>
                  </w:pPr>
                  <w:r>
                    <w:rPr>
                      <w:color w:val="auto"/>
                      <w:highlight w:val="none"/>
                    </w:rPr>
                    <w:t>34</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color w:val="auto"/>
                      <w:highlight w:val="none"/>
                    </w:rPr>
                  </w:pPr>
                  <w:r>
                    <w:rPr>
                      <w:color w:val="auto"/>
                      <w:highlight w:val="none"/>
                    </w:rPr>
                    <w:t>路面铣刨机</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71</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65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59</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53</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47</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41</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39</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color w:val="auto"/>
                      <w:highlight w:val="none"/>
                    </w:rPr>
                    <w:t>机动破路机</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71</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65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59</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53</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47</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41</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39</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移动雾炮</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61</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49</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43</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37</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35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31</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29</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color w:val="auto"/>
                      <w:highlight w:val="none"/>
                    </w:rPr>
                  </w:pPr>
                  <w:r>
                    <w:rPr>
                      <w:rFonts w:hint="eastAsia"/>
                      <w:color w:val="auto"/>
                      <w:highlight w:val="none"/>
                    </w:rPr>
                    <w:t>--</w:t>
                  </w:r>
                </w:p>
              </w:tc>
              <w:tc>
                <w:tcPr>
                  <w:tcW w:w="293" w:type="pct"/>
                  <w:tcBorders>
                    <w:tl2br w:val="nil"/>
                    <w:tr2bl w:val="nil"/>
                  </w:tcBorders>
                  <w:noWrap w:val="0"/>
                  <w:vAlign w:val="center"/>
                </w:tcPr>
                <w:p>
                  <w:pPr>
                    <w:pStyle w:val="32"/>
                    <w:bidi w:val="0"/>
                    <w:rPr>
                      <w:color w:val="auto"/>
                      <w:highlight w:val="none"/>
                    </w:rPr>
                  </w:pPr>
                  <w:r>
                    <w:rPr>
                      <w:rFonts w:hint="eastAsia"/>
                      <w:color w:val="auto"/>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移动焊接烟尘净化器</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61</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49</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43</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37</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35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31</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29</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w:t>
                  </w:r>
                </w:p>
              </w:tc>
              <w:tc>
                <w:tcPr>
                  <w:tcW w:w="29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1400"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水泵</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71</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65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59</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53</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47</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45</w:t>
                  </w:r>
                </w:p>
              </w:tc>
              <w:tc>
                <w:tcPr>
                  <w:tcW w:w="297" w:type="pct"/>
                  <w:tcBorders>
                    <w:tl2br w:val="nil"/>
                    <w:tr2bl w:val="nil"/>
                  </w:tcBorders>
                  <w:noWrap w:val="0"/>
                  <w:vAlign w:val="center"/>
                </w:tcPr>
                <w:p>
                  <w:pPr>
                    <w:pStyle w:val="32"/>
                    <w:bidi w:val="0"/>
                    <w:rPr>
                      <w:color w:val="auto"/>
                      <w:highlight w:val="none"/>
                    </w:rPr>
                  </w:pPr>
                  <w:r>
                    <w:rPr>
                      <w:rFonts w:hint="eastAsia"/>
                      <w:color w:val="auto"/>
                      <w:highlight w:val="none"/>
                    </w:rPr>
                    <w:t>41</w:t>
                  </w:r>
                </w:p>
              </w:tc>
              <w:tc>
                <w:tcPr>
                  <w:tcW w:w="300" w:type="pct"/>
                  <w:tcBorders>
                    <w:tl2br w:val="nil"/>
                    <w:tr2bl w:val="nil"/>
                  </w:tcBorders>
                  <w:noWrap w:val="0"/>
                  <w:vAlign w:val="center"/>
                </w:tcPr>
                <w:p>
                  <w:pPr>
                    <w:pStyle w:val="32"/>
                    <w:bidi w:val="0"/>
                    <w:rPr>
                      <w:color w:val="auto"/>
                      <w:highlight w:val="none"/>
                    </w:rPr>
                  </w:pPr>
                  <w:r>
                    <w:rPr>
                      <w:rFonts w:hint="eastAsia"/>
                      <w:color w:val="auto"/>
                      <w:highlight w:val="none"/>
                    </w:rPr>
                    <w:t>39</w:t>
                  </w:r>
                </w:p>
              </w:tc>
              <w:tc>
                <w:tcPr>
                  <w:tcW w:w="299" w:type="pct"/>
                  <w:vMerge w:val="continue"/>
                  <w:tcBorders>
                    <w:tl2br w:val="nil"/>
                    <w:tr2bl w:val="nil"/>
                  </w:tcBorders>
                  <w:noWrap w:val="0"/>
                  <w:vAlign w:val="center"/>
                </w:tcPr>
                <w:p>
                  <w:pPr>
                    <w:pStyle w:val="32"/>
                    <w:bidi w:val="0"/>
                    <w:rPr>
                      <w:color w:val="auto"/>
                      <w:highlight w:val="none"/>
                    </w:rPr>
                  </w:pPr>
                </w:p>
              </w:tc>
              <w:tc>
                <w:tcPr>
                  <w:tcW w:w="272" w:type="pct"/>
                  <w:vMerge w:val="continue"/>
                  <w:tcBorders>
                    <w:tl2br w:val="nil"/>
                    <w:tr2bl w:val="nil"/>
                  </w:tcBorders>
                  <w:noWrap w:val="0"/>
                  <w:vAlign w:val="center"/>
                </w:tcPr>
                <w:p>
                  <w:pPr>
                    <w:pStyle w:val="32"/>
                    <w:bidi w:val="0"/>
                    <w:rPr>
                      <w:color w:val="auto"/>
                      <w:highlight w:val="none"/>
                    </w:rPr>
                  </w:pPr>
                </w:p>
              </w:tc>
              <w:tc>
                <w:tcPr>
                  <w:tcW w:w="35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10</w:t>
                  </w:r>
                </w:p>
              </w:tc>
              <w:tc>
                <w:tcPr>
                  <w:tcW w:w="293"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40</w:t>
                  </w:r>
                </w:p>
              </w:tc>
            </w:tr>
          </w:tbl>
          <w:p>
            <w:pPr>
              <w:pStyle w:val="33"/>
              <w:bidi w:val="0"/>
              <w:rPr>
                <w:rFonts w:hint="eastAsia"/>
                <w:color w:val="auto"/>
                <w:highlight w:val="none"/>
              </w:rPr>
            </w:pPr>
            <w:r>
              <w:rPr>
                <w:rFonts w:hint="eastAsia"/>
                <w:color w:val="auto"/>
                <w:highlight w:val="none"/>
              </w:rPr>
              <w:t>由上表可知，噪声污染最严重的施工机械是载重车、装载机、平地机和钻机。在施工实际过程中可能出现多台机械同时在一处作业。预测结果表明，昼间施工机械在距离10m处噪声值即可达到《建筑施工场界环境噪声排放标准》（GB12523-2011）中的</w:t>
            </w:r>
            <w:r>
              <w:rPr>
                <w:rFonts w:hint="eastAsia"/>
                <w:color w:val="auto"/>
                <w:highlight w:val="none"/>
                <w:lang w:val="en-US" w:eastAsia="zh-CN"/>
              </w:rPr>
              <w:t>4a</w:t>
            </w:r>
            <w:r>
              <w:rPr>
                <w:rFonts w:hint="eastAsia"/>
                <w:color w:val="auto"/>
                <w:highlight w:val="none"/>
              </w:rPr>
              <w:t>标准要求，夜间则需在40m 以外。根据上表可知，昼间</w:t>
            </w:r>
            <w:r>
              <w:rPr>
                <w:rFonts w:hint="eastAsia"/>
                <w:color w:val="auto"/>
                <w:highlight w:val="none"/>
                <w:lang w:val="en-US" w:eastAsia="zh-CN"/>
              </w:rPr>
              <w:t>2</w:t>
            </w:r>
            <w:r>
              <w:rPr>
                <w:rFonts w:hint="eastAsia"/>
                <w:color w:val="auto"/>
                <w:highlight w:val="none"/>
              </w:rPr>
              <w:t>0m处，夜间</w:t>
            </w:r>
            <w:r>
              <w:rPr>
                <w:rFonts w:hint="eastAsia"/>
                <w:color w:val="auto"/>
                <w:highlight w:val="none"/>
                <w:lang w:val="en-US" w:eastAsia="zh-CN"/>
              </w:rPr>
              <w:t>8</w:t>
            </w:r>
            <w:r>
              <w:rPr>
                <w:rFonts w:hint="eastAsia"/>
                <w:color w:val="auto"/>
                <w:highlight w:val="none"/>
              </w:rPr>
              <w:t>0m可满足《声环境质量标准》</w:t>
            </w:r>
            <w:r>
              <w:rPr>
                <w:rFonts w:hint="eastAsia"/>
                <w:color w:val="auto"/>
                <w:highlight w:val="none"/>
                <w:lang w:val="en-US" w:eastAsia="zh-CN"/>
              </w:rPr>
              <w:t>2</w:t>
            </w:r>
            <w:r>
              <w:rPr>
                <w:rFonts w:hint="eastAsia"/>
                <w:color w:val="auto"/>
                <w:highlight w:val="none"/>
              </w:rPr>
              <w:t>类标准要求</w:t>
            </w:r>
            <w:r>
              <w:rPr>
                <w:rFonts w:hint="eastAsia"/>
                <w:color w:val="auto"/>
                <w:highlight w:val="none"/>
                <w:lang w:eastAsia="zh-CN"/>
              </w:rPr>
              <w:t>。本项目道路边界</w:t>
            </w:r>
            <w:r>
              <w:rPr>
                <w:rFonts w:hint="eastAsia"/>
                <w:color w:val="auto"/>
                <w:highlight w:val="none"/>
                <w:lang w:val="en-US" w:eastAsia="zh-CN"/>
              </w:rPr>
              <w:t>80m范围内不涉及声环境敏感点</w:t>
            </w:r>
            <w:r>
              <w:rPr>
                <w:rFonts w:hint="eastAsia"/>
                <w:color w:val="auto"/>
                <w:highlight w:val="none"/>
              </w:rPr>
              <w:t>。</w:t>
            </w:r>
          </w:p>
          <w:p>
            <w:pPr>
              <w:pStyle w:val="33"/>
              <w:bidi w:val="0"/>
              <w:rPr>
                <w:rFonts w:hint="eastAsia"/>
                <w:color w:val="auto"/>
                <w:highlight w:val="none"/>
              </w:rPr>
            </w:pPr>
            <w:r>
              <w:rPr>
                <w:rFonts w:hint="eastAsia"/>
                <w:color w:val="auto"/>
                <w:highlight w:val="none"/>
                <w:lang w:eastAsia="zh-CN"/>
              </w:rPr>
              <w:t>（</w:t>
            </w:r>
            <w:r>
              <w:rPr>
                <w:rFonts w:hint="eastAsia"/>
                <w:color w:val="auto"/>
                <w:highlight w:val="none"/>
                <w:lang w:val="en-US" w:eastAsia="zh-CN"/>
              </w:rPr>
              <w:t>3</w:t>
            </w:r>
            <w:r>
              <w:rPr>
                <w:rFonts w:hint="eastAsia"/>
                <w:color w:val="auto"/>
                <w:highlight w:val="none"/>
                <w:lang w:eastAsia="zh-CN"/>
              </w:rPr>
              <w:t>）</w:t>
            </w:r>
            <w:r>
              <w:rPr>
                <w:rFonts w:hint="eastAsia"/>
                <w:color w:val="auto"/>
                <w:highlight w:val="none"/>
              </w:rPr>
              <w:t xml:space="preserve">施工期声环境影响分析 </w:t>
            </w:r>
          </w:p>
          <w:p>
            <w:pPr>
              <w:pStyle w:val="33"/>
              <w:bidi w:val="0"/>
              <w:rPr>
                <w:color w:val="auto"/>
                <w:highlight w:val="none"/>
              </w:rPr>
            </w:pPr>
            <w:r>
              <w:rPr>
                <w:rFonts w:hint="eastAsia"/>
                <w:color w:val="auto"/>
                <w:highlight w:val="none"/>
              </w:rPr>
              <w:t>根据《建筑施工场界环境噪声排放标准》（</w:t>
            </w:r>
            <w:r>
              <w:rPr>
                <w:color w:val="auto"/>
                <w:highlight w:val="none"/>
              </w:rPr>
              <w:t>GB12523</w:t>
            </w:r>
            <w:r>
              <w:rPr>
                <w:rFonts w:hint="eastAsia"/>
                <w:color w:val="auto"/>
                <w:highlight w:val="none"/>
              </w:rPr>
              <w:t>-</w:t>
            </w:r>
            <w:r>
              <w:rPr>
                <w:color w:val="auto"/>
                <w:highlight w:val="none"/>
              </w:rPr>
              <w:t>2011</w:t>
            </w:r>
            <w:r>
              <w:rPr>
                <w:rFonts w:hint="eastAsia"/>
                <w:color w:val="auto"/>
                <w:highlight w:val="none"/>
              </w:rPr>
              <w:t>）的规定，昼间的噪声限值为</w:t>
            </w:r>
            <w:r>
              <w:rPr>
                <w:color w:val="auto"/>
                <w:highlight w:val="none"/>
              </w:rPr>
              <w:t>70dB</w:t>
            </w:r>
            <w:r>
              <w:rPr>
                <w:rFonts w:hint="eastAsia"/>
                <w:color w:val="auto"/>
                <w:highlight w:val="none"/>
              </w:rPr>
              <w:t>（</w:t>
            </w:r>
            <w:r>
              <w:rPr>
                <w:color w:val="auto"/>
                <w:highlight w:val="none"/>
              </w:rPr>
              <w:t>A</w:t>
            </w:r>
            <w:r>
              <w:rPr>
                <w:rFonts w:hint="eastAsia"/>
                <w:color w:val="auto"/>
                <w:highlight w:val="none"/>
              </w:rPr>
              <w:t>），夜间限值为</w:t>
            </w:r>
            <w:r>
              <w:rPr>
                <w:color w:val="auto"/>
                <w:highlight w:val="none"/>
              </w:rPr>
              <w:t>55dB</w:t>
            </w:r>
            <w:r>
              <w:rPr>
                <w:rFonts w:hint="eastAsia"/>
                <w:color w:val="auto"/>
                <w:highlight w:val="none"/>
              </w:rPr>
              <w:t>（</w:t>
            </w:r>
            <w:r>
              <w:rPr>
                <w:color w:val="auto"/>
                <w:highlight w:val="none"/>
              </w:rPr>
              <w:t>A</w:t>
            </w:r>
            <w:r>
              <w:rPr>
                <w:rFonts w:hint="eastAsia"/>
                <w:color w:val="auto"/>
                <w:highlight w:val="none"/>
              </w:rPr>
              <w:t>）。由预测结果可知：昼间施工机械噪声在距施工场地</w:t>
            </w:r>
            <w:r>
              <w:rPr>
                <w:color w:val="auto"/>
                <w:highlight w:val="none"/>
              </w:rPr>
              <w:t>10m</w:t>
            </w:r>
            <w:r>
              <w:rPr>
                <w:rFonts w:hint="eastAsia"/>
                <w:color w:val="auto"/>
                <w:highlight w:val="none"/>
              </w:rPr>
              <w:t>处可达标，夜间在距施工场地4</w:t>
            </w:r>
            <w:r>
              <w:rPr>
                <w:color w:val="auto"/>
                <w:highlight w:val="none"/>
              </w:rPr>
              <w:t>0m</w:t>
            </w:r>
            <w:r>
              <w:rPr>
                <w:rFonts w:hint="eastAsia"/>
                <w:color w:val="auto"/>
                <w:highlight w:val="none"/>
              </w:rPr>
              <w:t>处可达标。</w:t>
            </w:r>
          </w:p>
          <w:p>
            <w:pPr>
              <w:pStyle w:val="33"/>
              <w:bidi w:val="0"/>
              <w:rPr>
                <w:color w:val="auto"/>
                <w:highlight w:val="none"/>
              </w:rPr>
            </w:pPr>
            <w:r>
              <w:rPr>
                <w:rFonts w:hint="eastAsia"/>
                <w:color w:val="auto"/>
                <w:highlight w:val="none"/>
              </w:rPr>
              <w:t>为进一步降低施工噪声对环境的影响，采取以下措施：</w:t>
            </w:r>
          </w:p>
          <w:p>
            <w:pPr>
              <w:pStyle w:val="33"/>
              <w:bidi w:val="0"/>
              <w:rPr>
                <w:color w:val="auto"/>
                <w:highlight w:val="none"/>
              </w:rPr>
            </w:pPr>
            <w:r>
              <w:rPr>
                <w:rFonts w:hint="eastAsia"/>
                <w:color w:val="auto"/>
                <w:highlight w:val="none"/>
              </w:rPr>
              <w:t>①施工单位必须在工程开工十五日以前向工程所在地县级以上地方人民政府环境保护行政主管部门申报该工程的项目名称、施工场所和期限、可能产生的环境噪声值以及所采取的环境噪声污染防治措施的情况；</w:t>
            </w:r>
          </w:p>
          <w:p>
            <w:pPr>
              <w:pStyle w:val="33"/>
              <w:bidi w:val="0"/>
              <w:rPr>
                <w:color w:val="auto"/>
                <w:highlight w:val="none"/>
              </w:rPr>
            </w:pPr>
            <w:r>
              <w:rPr>
                <w:rFonts w:hint="eastAsia"/>
                <w:color w:val="auto"/>
                <w:highlight w:val="none"/>
              </w:rPr>
              <w:t>②从源头上控制施工噪声，尽可能选用低噪声设备。同时对推土机、挖掘机、吊车等设备加强检查、维护和保养，保持润滑，紧固各部件，以减少机械运行噪声。</w:t>
            </w:r>
          </w:p>
          <w:p>
            <w:pPr>
              <w:pStyle w:val="33"/>
              <w:bidi w:val="0"/>
              <w:rPr>
                <w:color w:val="auto"/>
                <w:highlight w:val="none"/>
              </w:rPr>
            </w:pPr>
            <w:r>
              <w:rPr>
                <w:rFonts w:hint="eastAsia"/>
                <w:color w:val="auto"/>
                <w:highlight w:val="none"/>
              </w:rPr>
              <w:t>③施工单位应合理安排施工计划和作业面积，做到文明施工。施工时为避免影响交通，合理布局施工现场。</w:t>
            </w:r>
          </w:p>
          <w:p>
            <w:pPr>
              <w:pStyle w:val="33"/>
              <w:bidi w:val="0"/>
              <w:rPr>
                <w:rFonts w:hint="eastAsia"/>
                <w:color w:val="auto"/>
                <w:highlight w:val="none"/>
              </w:rPr>
            </w:pPr>
            <w:r>
              <w:rPr>
                <w:rFonts w:hint="eastAsia"/>
                <w:color w:val="auto"/>
                <w:highlight w:val="none"/>
              </w:rPr>
              <w:t>采取措施后</w:t>
            </w:r>
            <w:r>
              <w:rPr>
                <w:rFonts w:hint="eastAsia"/>
                <w:color w:val="auto"/>
                <w:highlight w:val="none"/>
                <w:lang w:eastAsia="zh-CN"/>
              </w:rPr>
              <w:t>本项目施工区边界噪声</w:t>
            </w:r>
            <w:r>
              <w:rPr>
                <w:rFonts w:hint="eastAsia"/>
                <w:color w:val="auto"/>
                <w:highlight w:val="none"/>
              </w:rPr>
              <w:t>可满足</w:t>
            </w:r>
            <w:r>
              <w:rPr>
                <w:rFonts w:hint="eastAsia"/>
                <w:color w:val="auto"/>
                <w:highlight w:val="none"/>
                <w:lang w:val="zh-CN"/>
              </w:rPr>
              <w:t>《建筑施工场界环境噪声排放标准》（</w:t>
            </w:r>
            <w:r>
              <w:rPr>
                <w:color w:val="auto"/>
                <w:highlight w:val="none"/>
                <w:lang w:val="zh-CN"/>
              </w:rPr>
              <w:t>GB12523</w:t>
            </w:r>
            <w:r>
              <w:rPr>
                <w:rFonts w:hint="eastAsia"/>
                <w:color w:val="auto"/>
                <w:highlight w:val="none"/>
                <w:lang w:val="zh-CN"/>
              </w:rPr>
              <w:t>-</w:t>
            </w:r>
            <w:r>
              <w:rPr>
                <w:color w:val="auto"/>
                <w:highlight w:val="none"/>
                <w:lang w:val="zh-CN"/>
              </w:rPr>
              <w:t>2011</w:t>
            </w:r>
            <w:r>
              <w:rPr>
                <w:rFonts w:hint="eastAsia"/>
                <w:color w:val="auto"/>
                <w:highlight w:val="none"/>
                <w:lang w:val="zh-CN"/>
              </w:rPr>
              <w:t>）</w:t>
            </w:r>
            <w:r>
              <w:rPr>
                <w:rFonts w:hint="eastAsia"/>
                <w:color w:val="auto"/>
                <w:highlight w:val="none"/>
              </w:rPr>
              <w:t>的要求</w:t>
            </w:r>
            <w:r>
              <w:rPr>
                <w:rFonts w:hint="eastAsia"/>
                <w:color w:val="auto"/>
                <w:highlight w:val="none"/>
                <w:lang w:eastAsia="zh-CN"/>
              </w:rPr>
              <w:t>；本项目施工工段较短，施工时间相对较短，施工期结束后对周边环境影响随之结束，且本项目周边</w:t>
            </w:r>
            <w:r>
              <w:rPr>
                <w:rFonts w:hint="eastAsia"/>
                <w:color w:val="auto"/>
                <w:highlight w:val="none"/>
                <w:lang w:val="en-US" w:eastAsia="zh-CN"/>
              </w:rPr>
              <w:t>80m范围不涉及声环境敏感点，因子本项目</w:t>
            </w:r>
            <w:r>
              <w:rPr>
                <w:rFonts w:hint="eastAsia"/>
                <w:color w:val="auto"/>
                <w:highlight w:val="none"/>
              </w:rPr>
              <w:t>对周边</w:t>
            </w:r>
            <w:r>
              <w:rPr>
                <w:rFonts w:hint="eastAsia"/>
                <w:color w:val="auto"/>
                <w:highlight w:val="none"/>
                <w:lang w:eastAsia="zh-CN"/>
              </w:rPr>
              <w:t>声</w:t>
            </w:r>
            <w:r>
              <w:rPr>
                <w:rFonts w:hint="eastAsia"/>
                <w:color w:val="auto"/>
                <w:highlight w:val="none"/>
              </w:rPr>
              <w:t>环境影响很小。</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4.1.3施工期水环境影响分析</w:t>
            </w:r>
          </w:p>
          <w:p>
            <w:pPr>
              <w:pStyle w:val="33"/>
              <w:bidi w:val="0"/>
              <w:rPr>
                <w:color w:val="auto"/>
                <w:highlight w:val="none"/>
              </w:rPr>
            </w:pPr>
            <w:r>
              <w:rPr>
                <w:rFonts w:hint="eastAsia"/>
                <w:color w:val="auto"/>
                <w:highlight w:val="none"/>
              </w:rPr>
              <w:t>项目施工期对沿线地表水体产生影响的主要为施工过程中产生的污水，包括生活污水和生产废水。生活污水主要来源于施工场地</w:t>
            </w:r>
            <w:r>
              <w:rPr>
                <w:rFonts w:hint="eastAsia"/>
                <w:color w:val="auto"/>
                <w:highlight w:val="none"/>
                <w:lang w:eastAsia="zh-CN"/>
              </w:rPr>
              <w:t>施工人员盥洗，</w:t>
            </w:r>
            <w:r>
              <w:rPr>
                <w:rFonts w:hint="eastAsia"/>
                <w:color w:val="auto"/>
                <w:highlight w:val="none"/>
              </w:rPr>
              <w:t>生产废水主要</w:t>
            </w:r>
            <w:r>
              <w:rPr>
                <w:rFonts w:hint="eastAsia"/>
                <w:color w:val="auto"/>
                <w:highlight w:val="none"/>
                <w:lang w:eastAsia="zh-CN"/>
              </w:rPr>
              <w:t>为</w:t>
            </w:r>
            <w:r>
              <w:rPr>
                <w:rFonts w:hint="eastAsia"/>
                <w:color w:val="auto"/>
                <w:highlight w:val="none"/>
              </w:rPr>
              <w:t>一般施工场地生产废水（施工机械及车辆清洗、管线试压废水、混凝土养护废水）等。</w:t>
            </w:r>
          </w:p>
          <w:p>
            <w:pPr>
              <w:pStyle w:val="33"/>
              <w:bidi w:val="0"/>
              <w:rPr>
                <w:color w:val="auto"/>
                <w:highlight w:val="none"/>
              </w:rPr>
            </w:pPr>
            <w:r>
              <w:rPr>
                <w:rFonts w:hint="eastAsia"/>
                <w:color w:val="auto"/>
                <w:highlight w:val="none"/>
              </w:rPr>
              <w:t>（</w:t>
            </w:r>
            <w:r>
              <w:rPr>
                <w:color w:val="auto"/>
                <w:highlight w:val="none"/>
              </w:rPr>
              <w:t>1</w:t>
            </w:r>
            <w:r>
              <w:rPr>
                <w:rFonts w:hint="eastAsia"/>
                <w:color w:val="auto"/>
                <w:highlight w:val="none"/>
              </w:rPr>
              <w:t xml:space="preserve">）施工废水 </w:t>
            </w:r>
          </w:p>
          <w:p>
            <w:pPr>
              <w:pStyle w:val="33"/>
              <w:bidi w:val="0"/>
              <w:rPr>
                <w:rFonts w:hint="eastAsia"/>
                <w:color w:val="auto"/>
                <w:highlight w:val="none"/>
              </w:rPr>
            </w:pPr>
            <w:bookmarkStart w:id="21" w:name="OLE_LINK19"/>
            <w:bookmarkStart w:id="22" w:name="OLE_LINK20"/>
            <w:r>
              <w:rPr>
                <w:rFonts w:hint="eastAsia"/>
                <w:color w:val="auto"/>
                <w:highlight w:val="none"/>
              </w:rPr>
              <w:t>施工机械及车辆需要经常清洗或受到雨淋，产生的废水污染物主要为</w:t>
            </w:r>
            <w:r>
              <w:rPr>
                <w:color w:val="auto"/>
                <w:highlight w:val="none"/>
              </w:rPr>
              <w:t>SS</w:t>
            </w:r>
            <w:r>
              <w:rPr>
                <w:rFonts w:hint="eastAsia"/>
                <w:color w:val="auto"/>
                <w:highlight w:val="none"/>
              </w:rPr>
              <w:t>、石油类。在施工场地出入口附近设置专门的车辆、机械冲洗区域，该区域地面设置硬化防渗地坪，同时在施工工地周围设置集水沟和沉淀池，废水沉淀处理后重复利用于场地洒水抑尘，不得随意排放</w:t>
            </w:r>
            <w:bookmarkStart w:id="23" w:name="OLE_LINK14"/>
            <w:bookmarkStart w:id="24" w:name="OLE_LINK13"/>
            <w:r>
              <w:rPr>
                <w:rFonts w:hint="eastAsia"/>
                <w:color w:val="auto"/>
                <w:highlight w:val="none"/>
              </w:rPr>
              <w:t>；</w:t>
            </w:r>
            <w:r>
              <w:rPr>
                <w:color w:val="auto"/>
                <w:highlight w:val="none"/>
              </w:rPr>
              <w:t>管道试压过程产生的废水</w:t>
            </w:r>
            <w:r>
              <w:rPr>
                <w:rFonts w:hint="eastAsia"/>
                <w:color w:val="auto"/>
                <w:highlight w:val="none"/>
              </w:rPr>
              <w:t>，</w:t>
            </w:r>
            <w:r>
              <w:rPr>
                <w:color w:val="auto"/>
                <w:highlight w:val="none"/>
              </w:rPr>
              <w:t>雨污水管道铺设完成试压过程中会产生废水，收集后泼洒地面抑尘。</w:t>
            </w:r>
            <w:bookmarkEnd w:id="21"/>
            <w:bookmarkEnd w:id="22"/>
            <w:bookmarkEnd w:id="23"/>
            <w:bookmarkEnd w:id="24"/>
            <w:r>
              <w:rPr>
                <w:rFonts w:hint="eastAsia"/>
                <w:color w:val="auto"/>
                <w:highlight w:val="none"/>
              </w:rPr>
              <w:t>通过采取上述措施，施工场地机械、车辆冲洗废水、管线铺设试压等生产废水对地表水基本不会产生影响。</w:t>
            </w:r>
          </w:p>
          <w:p>
            <w:pPr>
              <w:pStyle w:val="33"/>
              <w:bidi w:val="0"/>
              <w:rPr>
                <w:color w:val="auto"/>
                <w:highlight w:val="none"/>
              </w:rPr>
            </w:pPr>
            <w:r>
              <w:rPr>
                <w:rFonts w:hint="eastAsia"/>
                <w:color w:val="auto"/>
                <w:highlight w:val="none"/>
              </w:rPr>
              <w:t>（</w:t>
            </w:r>
            <w:r>
              <w:rPr>
                <w:color w:val="auto"/>
                <w:highlight w:val="none"/>
              </w:rPr>
              <w:t>2</w:t>
            </w:r>
            <w:r>
              <w:rPr>
                <w:rFonts w:hint="eastAsia"/>
                <w:color w:val="auto"/>
                <w:highlight w:val="none"/>
              </w:rPr>
              <w:t xml:space="preserve">）施工生活污水 </w:t>
            </w:r>
          </w:p>
          <w:p>
            <w:pPr>
              <w:pStyle w:val="33"/>
              <w:bidi w:val="0"/>
              <w:rPr>
                <w:color w:val="auto"/>
                <w:highlight w:val="none"/>
              </w:rPr>
            </w:pPr>
            <w:bookmarkStart w:id="25" w:name="OLE_LINK40"/>
            <w:bookmarkStart w:id="26" w:name="OLE_LINK39"/>
            <w:r>
              <w:rPr>
                <w:rFonts w:hint="eastAsia"/>
                <w:color w:val="auto"/>
                <w:highlight w:val="none"/>
              </w:rPr>
              <w:t>本项目不设施工营地，</w:t>
            </w:r>
            <w:r>
              <w:rPr>
                <w:rFonts w:hint="eastAsia"/>
                <w:color w:val="FF0000"/>
                <w:highlight w:val="none"/>
                <w:lang w:eastAsia="zh-CN"/>
              </w:rPr>
              <w:t>仅设临时办公场所，</w:t>
            </w:r>
            <w:r>
              <w:rPr>
                <w:rFonts w:hint="eastAsia"/>
                <w:color w:val="auto"/>
                <w:highlight w:val="none"/>
              </w:rPr>
              <w:t>施工生活污水主要为盥洗废水，水质简单，直接泼洒地面抑尘。</w:t>
            </w:r>
            <w:bookmarkEnd w:id="25"/>
            <w:bookmarkEnd w:id="26"/>
            <w:r>
              <w:rPr>
                <w:rFonts w:hint="eastAsia"/>
                <w:color w:val="auto"/>
                <w:highlight w:val="none"/>
              </w:rPr>
              <w:t xml:space="preserve"> 因此，采取上述措施后，施工生活污水对项目所在地地表水环境基本无影响。</w:t>
            </w:r>
          </w:p>
          <w:p>
            <w:pPr>
              <w:pStyle w:val="33"/>
              <w:bidi w:val="0"/>
              <w:rPr>
                <w:color w:val="auto"/>
                <w:highlight w:val="none"/>
              </w:rPr>
            </w:pPr>
            <w:r>
              <w:rPr>
                <w:color w:val="auto"/>
                <w:highlight w:val="none"/>
              </w:rPr>
              <w:t>采取上述措施后，施工期废水对外环境影响较小。</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4.1.4施工期固体废物影响分析</w:t>
            </w:r>
          </w:p>
          <w:p>
            <w:pPr>
              <w:pStyle w:val="33"/>
              <w:bidi w:val="0"/>
              <w:rPr>
                <w:color w:val="auto"/>
                <w:highlight w:val="none"/>
              </w:rPr>
            </w:pPr>
            <w:r>
              <w:rPr>
                <w:rFonts w:hint="eastAsia"/>
                <w:color w:val="auto"/>
                <w:highlight w:val="none"/>
              </w:rPr>
              <w:t>本项目施工期固体废弃物主要为施工及拆除建筑垃圾、弃土和生活垃圾</w:t>
            </w:r>
            <w:r>
              <w:rPr>
                <w:color w:val="auto"/>
                <w:highlight w:val="none"/>
              </w:rPr>
              <w:t>。</w:t>
            </w:r>
          </w:p>
          <w:p>
            <w:pPr>
              <w:pStyle w:val="33"/>
              <w:bidi w:val="0"/>
              <w:rPr>
                <w:color w:val="auto"/>
                <w:highlight w:val="none"/>
              </w:rPr>
            </w:pPr>
            <w:r>
              <w:rPr>
                <w:rFonts w:hint="eastAsia"/>
                <w:color w:val="auto"/>
                <w:highlight w:val="none"/>
              </w:rPr>
              <w:t>（1）施工生活垃圾：本项目不设施工营地，</w:t>
            </w:r>
            <w:r>
              <w:rPr>
                <w:rFonts w:hint="eastAsia"/>
                <w:color w:val="FF0000"/>
                <w:highlight w:val="none"/>
                <w:lang w:eastAsia="zh-CN"/>
              </w:rPr>
              <w:t>仅设临时办公场所，</w:t>
            </w:r>
            <w:r>
              <w:rPr>
                <w:color w:val="auto"/>
                <w:highlight w:val="none"/>
              </w:rPr>
              <w:t>施工人员</w:t>
            </w:r>
            <w:r>
              <w:rPr>
                <w:rFonts w:hint="eastAsia"/>
                <w:color w:val="auto"/>
                <w:highlight w:val="none"/>
              </w:rPr>
              <w:t>仅</w:t>
            </w:r>
            <w:r>
              <w:rPr>
                <w:color w:val="auto"/>
                <w:highlight w:val="none"/>
              </w:rPr>
              <w:t>会产生少量生活垃圾。</w:t>
            </w:r>
            <w:r>
              <w:rPr>
                <w:rFonts w:hint="eastAsia"/>
                <w:color w:val="auto"/>
                <w:highlight w:val="none"/>
              </w:rPr>
              <w:t>但</w:t>
            </w:r>
            <w:r>
              <w:rPr>
                <w:color w:val="auto"/>
                <w:highlight w:val="none"/>
              </w:rPr>
              <w:t>如果不注意管理，任其堆存，容易引发蚊蝇孳生，所以施工地应设置临时的垃圾桶集中收集，定期清运至环卫部门指定地点统一处理。</w:t>
            </w:r>
          </w:p>
          <w:p>
            <w:pPr>
              <w:pStyle w:val="33"/>
              <w:bidi w:val="0"/>
              <w:rPr>
                <w:rFonts w:hint="eastAsia" w:eastAsia="宋体"/>
                <w:color w:val="auto"/>
                <w:highlight w:val="none"/>
                <w:lang w:eastAsia="zh-CN"/>
              </w:rPr>
            </w:pPr>
            <w:r>
              <w:rPr>
                <w:rFonts w:hint="eastAsia"/>
                <w:color w:val="auto"/>
                <w:highlight w:val="none"/>
              </w:rPr>
              <w:t>（2）</w:t>
            </w:r>
            <w:r>
              <w:rPr>
                <w:color w:val="auto"/>
                <w:highlight w:val="none"/>
              </w:rPr>
              <w:t>建筑垃圾：</w:t>
            </w:r>
            <w:r>
              <w:rPr>
                <w:rFonts w:hint="eastAsia"/>
                <w:color w:val="auto"/>
                <w:highlight w:val="none"/>
                <w:lang w:eastAsia="zh-CN"/>
              </w:rPr>
              <w:t>本项目</w:t>
            </w:r>
            <w:r>
              <w:rPr>
                <w:color w:val="auto"/>
                <w:highlight w:val="none"/>
              </w:rPr>
              <w:t>施工</w:t>
            </w:r>
            <w:r>
              <w:rPr>
                <w:rFonts w:hint="eastAsia"/>
                <w:color w:val="auto"/>
                <w:highlight w:val="none"/>
                <w:lang w:eastAsia="zh-CN"/>
              </w:rPr>
              <w:t>过程中部分现有路面需进行破除而产生建筑垃圾，产生的建筑垃圾根据</w:t>
            </w:r>
            <w:r>
              <w:rPr>
                <w:color w:val="auto"/>
                <w:highlight w:val="none"/>
              </w:rPr>
              <w:t>市政管理部门要</w:t>
            </w:r>
            <w:r>
              <w:rPr>
                <w:rFonts w:hint="eastAsia"/>
                <w:color w:val="auto"/>
                <w:highlight w:val="none"/>
              </w:rPr>
              <w:t>求及时清理外运，</w:t>
            </w:r>
            <w:r>
              <w:rPr>
                <w:rFonts w:hint="eastAsia"/>
                <w:color w:val="auto"/>
                <w:highlight w:val="none"/>
                <w:lang w:eastAsia="zh-CN"/>
              </w:rPr>
              <w:t>外售相关单位回收利用。</w:t>
            </w:r>
          </w:p>
          <w:p>
            <w:pPr>
              <w:pStyle w:val="33"/>
              <w:bidi w:val="0"/>
              <w:rPr>
                <w:rFonts w:hint="eastAsia"/>
                <w:color w:val="auto"/>
                <w:highlight w:val="none"/>
                <w:lang w:eastAsia="zh-CN"/>
              </w:rPr>
            </w:pPr>
            <w:bookmarkStart w:id="27" w:name="②桥梁钻渣：桥梁基础施工产生的钻渣，产生量约为6t。钻渣是钻孔桩基础施工时，钻机"/>
            <w:bookmarkEnd w:id="27"/>
            <w:bookmarkStart w:id="28" w:name="③弃土：弃土约236092m3，弃土方全部运至政府指定地方，不单独设置弃土场，不"/>
            <w:bookmarkEnd w:id="28"/>
            <w:r>
              <w:rPr>
                <w:rFonts w:hint="eastAsia"/>
                <w:color w:val="auto"/>
                <w:highlight w:val="none"/>
              </w:rPr>
              <w:t>（</w:t>
            </w:r>
            <w:r>
              <w:rPr>
                <w:rFonts w:hint="eastAsia"/>
                <w:color w:val="auto"/>
                <w:highlight w:val="none"/>
                <w:lang w:val="en-US" w:eastAsia="zh-CN"/>
              </w:rPr>
              <w:t>3</w:t>
            </w:r>
            <w:r>
              <w:rPr>
                <w:rFonts w:hint="eastAsia"/>
                <w:color w:val="auto"/>
                <w:highlight w:val="none"/>
              </w:rPr>
              <w:t>）</w:t>
            </w:r>
            <w:r>
              <w:rPr>
                <w:color w:val="auto"/>
                <w:highlight w:val="none"/>
              </w:rPr>
              <w:t>弃土：</w:t>
            </w:r>
            <w:r>
              <w:rPr>
                <w:rFonts w:hint="eastAsia"/>
                <w:color w:val="auto"/>
                <w:highlight w:val="none"/>
                <w:lang w:eastAsia="zh-CN"/>
              </w:rPr>
              <w:t>本项目</w:t>
            </w:r>
            <w:r>
              <w:rPr>
                <w:color w:val="auto"/>
                <w:highlight w:val="none"/>
              </w:rPr>
              <w:t>施工过程</w:t>
            </w:r>
            <w:r>
              <w:rPr>
                <w:rFonts w:hint="eastAsia"/>
                <w:color w:val="auto"/>
                <w:highlight w:val="none"/>
                <w:lang w:eastAsia="zh-CN"/>
              </w:rPr>
              <w:t>地表剥离的表土用于绿化种植覆土，其余挖出的土方部分用作地面平整的填方，剩余的土方由车辆运至临时堆土场暂存，运输过程中车辆进行苫盖，临时堆土场采用密目网苫盖，由施工方综合利用，不会对环境产生影响。</w:t>
            </w:r>
          </w:p>
          <w:p>
            <w:pPr>
              <w:pStyle w:val="33"/>
              <w:bidi w:val="0"/>
              <w:rPr>
                <w:color w:val="auto"/>
                <w:highlight w:val="none"/>
              </w:rPr>
            </w:pPr>
            <w:r>
              <w:rPr>
                <w:color w:val="auto"/>
                <w:highlight w:val="none"/>
              </w:rPr>
              <w:t>在切实执行以上措施后，本</w:t>
            </w:r>
            <w:r>
              <w:rPr>
                <w:rFonts w:hint="eastAsia"/>
                <w:color w:val="auto"/>
                <w:highlight w:val="none"/>
                <w:lang w:eastAsia="zh-CN"/>
              </w:rPr>
              <w:t>项目</w:t>
            </w:r>
            <w:r>
              <w:rPr>
                <w:color w:val="auto"/>
                <w:highlight w:val="none"/>
              </w:rPr>
              <w:t>施工过程产生的固体废物对周围环境影响较小。</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4.1.5施工期生态影响分析</w:t>
            </w:r>
          </w:p>
          <w:p>
            <w:pPr>
              <w:pStyle w:val="33"/>
              <w:bidi w:val="0"/>
              <w:rPr>
                <w:rFonts w:hint="eastAsia"/>
                <w:color w:val="auto"/>
                <w:highlight w:val="none"/>
              </w:rPr>
            </w:pPr>
            <w:r>
              <w:rPr>
                <w:rFonts w:hint="eastAsia"/>
                <w:color w:val="auto"/>
                <w:highlight w:val="none"/>
                <w:lang w:val="en-US" w:eastAsia="zh-CN"/>
              </w:rPr>
              <w:t xml:space="preserve">（1）陆域生态影响 </w:t>
            </w:r>
          </w:p>
          <w:p>
            <w:pPr>
              <w:pStyle w:val="33"/>
              <w:bidi w:val="0"/>
              <w:rPr>
                <w:rFonts w:hint="eastAsia"/>
                <w:color w:val="auto"/>
                <w:highlight w:val="none"/>
              </w:rPr>
            </w:pPr>
            <w:r>
              <w:rPr>
                <w:rFonts w:hint="eastAsia"/>
                <w:color w:val="auto"/>
                <w:highlight w:val="none"/>
                <w:lang w:val="en-US" w:eastAsia="zh-CN"/>
              </w:rPr>
              <w:t>①对陆生植物的影响：</w:t>
            </w:r>
            <w:r>
              <w:rPr>
                <w:rFonts w:hint="eastAsia"/>
                <w:color w:val="FF0000"/>
                <w:highlight w:val="none"/>
                <w:lang w:val="en-US" w:eastAsia="zh-CN"/>
              </w:rPr>
              <w:t>本项目新增永久占地主要为乐港路两侧，主要为绿化乔木，临时占地位于本项目用地红线范围内，占用期限很短，项目建成后临时占地按本项目设计要求建设，</w:t>
            </w:r>
            <w:r>
              <w:rPr>
                <w:rFonts w:hint="eastAsia"/>
                <w:color w:val="auto"/>
                <w:highlight w:val="none"/>
                <w:lang w:val="en-US" w:eastAsia="zh-CN"/>
              </w:rPr>
              <w:t xml:space="preserve">所以不会对当地地表植被产生大的影响。施工过程中，车辆碾压，机械推挖、人员践踏及道路修建对地表进行的平整将会对地表植被造成很大破坏，这种影响是短期可逆的，施工结束后，被占用土地开始恢复。对于陆生植物，本项目周边无珍稀或濒危植物，建设单位需严格控制施工用地范围，禁止毁坏周边的土地，项目实施不会造成植被类型和植物种类的变化。 </w:t>
            </w:r>
          </w:p>
          <w:p>
            <w:pPr>
              <w:pStyle w:val="33"/>
              <w:bidi w:val="0"/>
              <w:rPr>
                <w:rFonts w:hint="eastAsia"/>
                <w:color w:val="auto"/>
                <w:highlight w:val="none"/>
                <w:lang w:val="en-US" w:eastAsia="zh-CN"/>
              </w:rPr>
            </w:pPr>
            <w:r>
              <w:rPr>
                <w:rFonts w:hint="eastAsia"/>
                <w:color w:val="auto"/>
                <w:highlight w:val="none"/>
                <w:lang w:val="en-US" w:eastAsia="zh-CN"/>
              </w:rPr>
              <w:t>②对陆生动物的影响：对于陆生动物，由于施工期间的机械噪声、车辆往来和人员的施工活动，将会对其栖息环境产生一定的干扰，主要表现在对动物活动节律上的影响；这些噪音也会惊扰道路周边的野生动物，使它们无法正常觅食、栖息，被迫逃离。由于项目周边为广袤的耕地，无大型野生兽类出没，田鼠等小型兽类、常见鸟类活动能力较强，可以比较容易地在评价区周围找到相似生境，施工活动不会对其有大的影响。并且这些物种的分布都较广，繁殖力也较强，且均具有较强的适应性，因此工程的施工对其影响也有限，本项目周边无重点保护野生动物。</w:t>
            </w:r>
          </w:p>
          <w:p>
            <w:pPr>
              <w:pStyle w:val="33"/>
              <w:bidi w:val="0"/>
              <w:rPr>
                <w:rFonts w:hint="eastAsia"/>
                <w:color w:val="auto"/>
                <w:highlight w:val="none"/>
                <w:lang w:val="en-US" w:eastAsia="zh-CN"/>
              </w:rPr>
            </w:pPr>
            <w:r>
              <w:rPr>
                <w:rFonts w:hint="eastAsia"/>
                <w:color w:val="auto"/>
                <w:highlight w:val="none"/>
                <w:lang w:val="en-US" w:eastAsia="zh-CN"/>
              </w:rPr>
              <w:t>本项目评价区无珍稀动物物种，且工程建成运行后动物物种的生境无明显变化；工程施工期的短期影响随着工程的道路建成运行会随之消失；因此工程的建设不会对陆生生物环境产生明显不利影响。</w:t>
            </w:r>
          </w:p>
          <w:p>
            <w:pPr>
              <w:pStyle w:val="33"/>
              <w:bidi w:val="0"/>
              <w:rPr>
                <w:color w:val="auto"/>
                <w:highlight w:val="none"/>
              </w:rPr>
            </w:pPr>
            <w:r>
              <w:rPr>
                <w:rFonts w:hint="eastAsia"/>
                <w:color w:val="auto"/>
                <w:highlight w:val="none"/>
              </w:rPr>
              <w:t>（</w:t>
            </w:r>
            <w:r>
              <w:rPr>
                <w:rFonts w:hint="eastAsia"/>
                <w:color w:val="auto"/>
                <w:highlight w:val="none"/>
                <w:lang w:val="en-US" w:eastAsia="zh-CN"/>
              </w:rPr>
              <w:t>2</w:t>
            </w:r>
            <w:r>
              <w:rPr>
                <w:rFonts w:hint="eastAsia"/>
                <w:color w:val="auto"/>
                <w:highlight w:val="none"/>
              </w:rPr>
              <w:t>）</w:t>
            </w:r>
            <w:r>
              <w:rPr>
                <w:color w:val="auto"/>
                <w:highlight w:val="none"/>
              </w:rPr>
              <w:t>施工</w:t>
            </w:r>
            <w:r>
              <w:rPr>
                <w:rFonts w:hint="eastAsia"/>
                <w:color w:val="auto"/>
                <w:highlight w:val="none"/>
              </w:rPr>
              <w:t>对</w:t>
            </w:r>
            <w:r>
              <w:rPr>
                <w:color w:val="auto"/>
                <w:highlight w:val="none"/>
              </w:rPr>
              <w:t>水土流失的影响</w:t>
            </w:r>
          </w:p>
          <w:p>
            <w:pPr>
              <w:pStyle w:val="33"/>
              <w:bidi w:val="0"/>
              <w:rPr>
                <w:color w:val="auto"/>
                <w:highlight w:val="none"/>
              </w:rPr>
            </w:pPr>
            <w:r>
              <w:rPr>
                <w:rFonts w:hint="eastAsia"/>
                <w:color w:val="auto"/>
                <w:highlight w:val="none"/>
                <w:lang w:val="en-US" w:eastAsia="zh-CN"/>
              </w:rPr>
              <w:t>工程建设对水土流失的影响主要表现在两方面：一是在施工期间扰动地表，使地表表土层裸露，遇到降水冲刷后产生的水土流失数量，采取必要的水土保持措施后，可减少其数量；另一种水土流失是临时堆放不合理使冲刷地表面增加而形成的流失量，这种情况大多数是施工期管理不严，施工单位未按设计要求堆放废弃土石方等造成的，可通过加强施工管理避免。若水土流失得不到有效治理，必将导致土壤侵蚀加剧，影响陆生生态系统的稳定性。</w:t>
            </w:r>
          </w:p>
          <w:p>
            <w:pPr>
              <w:pStyle w:val="33"/>
              <w:bidi w:val="0"/>
              <w:rPr>
                <w:color w:val="auto"/>
                <w:highlight w:val="none"/>
              </w:rPr>
            </w:pPr>
            <w:r>
              <w:rPr>
                <w:color w:val="auto"/>
                <w:highlight w:val="none"/>
              </w:rPr>
              <w:t>综上所述，施工期间采取有效的污染防治措施，对周围环境的影响可降至最低。</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38" w:hRule="atLeast"/>
          <w:jc w:val="center"/>
        </w:trPr>
        <w:tc>
          <w:tcPr>
            <w:tcW w:w="219" w:type="pct"/>
            <w:noWrap w:val="0"/>
            <w:tcMar>
              <w:left w:w="28" w:type="dxa"/>
              <w:right w:w="28" w:type="dxa"/>
            </w:tcMar>
            <w:vAlign w:val="center"/>
          </w:tcPr>
          <w:p>
            <w:pPr>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auto"/>
              <w:rPr>
                <w:rFonts w:ascii="Times New Roman" w:hAnsi="Times New Roman"/>
                <w:bCs/>
                <w:color w:val="auto"/>
                <w:kern w:val="2"/>
                <w:sz w:val="21"/>
                <w:szCs w:val="21"/>
                <w:highlight w:val="none"/>
                <w:lang w:val="en-US" w:eastAsia="zh-CN"/>
              </w:rPr>
            </w:pPr>
            <w:r>
              <w:rPr>
                <w:rFonts w:ascii="Times New Roman" w:hAnsi="Times New Roman" w:eastAsia="宋体" w:cs="Times New Roman"/>
                <w:color w:val="auto"/>
                <w:kern w:val="2"/>
                <w:sz w:val="21"/>
                <w:szCs w:val="24"/>
                <w:highlight w:val="none"/>
                <w:lang w:val="en-US" w:eastAsia="zh-CN" w:bidi="ar-SA"/>
              </w:rPr>
              <w:t>运营期生态环境影响分析</w:t>
            </w:r>
          </w:p>
        </w:tc>
        <w:tc>
          <w:tcPr>
            <w:tcW w:w="4780" w:type="pct"/>
            <w:noWrap w:val="0"/>
            <w:vAlign w:val="top"/>
          </w:tcPr>
          <w:p>
            <w:pPr>
              <w:pStyle w:val="33"/>
              <w:bidi w:val="0"/>
              <w:rPr>
                <w:rFonts w:hint="default" w:eastAsia="宋体"/>
                <w:b/>
                <w:bCs/>
                <w:color w:val="auto"/>
                <w:highlight w:val="none"/>
                <w:lang w:val="en-US" w:eastAsia="zh-CN"/>
              </w:rPr>
            </w:pPr>
            <w:r>
              <w:rPr>
                <w:rFonts w:hint="eastAsia"/>
                <w:b/>
                <w:bCs/>
                <w:color w:val="auto"/>
                <w:highlight w:val="none"/>
                <w:lang w:val="en-US" w:eastAsia="zh-CN"/>
              </w:rPr>
              <w:t>4.2运营期环境影响分析</w:t>
            </w:r>
          </w:p>
          <w:p>
            <w:pPr>
              <w:pStyle w:val="33"/>
              <w:bidi w:val="0"/>
              <w:rPr>
                <w:color w:val="auto"/>
                <w:highlight w:val="none"/>
              </w:rPr>
            </w:pPr>
            <w:r>
              <w:rPr>
                <w:color w:val="auto"/>
                <w:highlight w:val="none"/>
              </w:rPr>
              <w:t>本项目建成营运后，其本身无污染物产生和排放。</w:t>
            </w:r>
          </w:p>
          <w:p>
            <w:pPr>
              <w:pStyle w:val="33"/>
              <w:bidi w:val="0"/>
              <w:rPr>
                <w:color w:val="auto"/>
                <w:highlight w:val="none"/>
              </w:rPr>
            </w:pPr>
            <w:r>
              <w:rPr>
                <w:color w:val="auto"/>
                <w:highlight w:val="none"/>
              </w:rPr>
              <w:t xml:space="preserve">营运期所产生的污染主要为汽车产生的道路扬尘和尾气、路面径流、交通噪声及车辆与行人产生的生活垃圾。 </w:t>
            </w:r>
          </w:p>
          <w:p>
            <w:pPr>
              <w:pStyle w:val="36"/>
              <w:numPr>
                <w:ilvl w:val="0"/>
                <w:numId w:val="12"/>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运营期环境影响因素一览表</w:t>
            </w:r>
          </w:p>
          <w:tbl>
            <w:tblPr>
              <w:tblStyle w:val="2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1" w:type="dxa"/>
                <w:bottom w:w="0" w:type="dxa"/>
                <w:right w:w="11" w:type="dxa"/>
              </w:tblCellMar>
            </w:tblPr>
            <w:tblGrid>
              <w:gridCol w:w="944"/>
              <w:gridCol w:w="1340"/>
              <w:gridCol w:w="1172"/>
              <w:gridCol w:w="48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tcBorders>
                    <w:tl2br w:val="nil"/>
                    <w:tr2bl w:val="nil"/>
                  </w:tcBorders>
                  <w:noWrap w:val="0"/>
                  <w:vAlign w:val="center"/>
                </w:tcPr>
                <w:p>
                  <w:pPr>
                    <w:pStyle w:val="32"/>
                    <w:bidi w:val="0"/>
                    <w:rPr>
                      <w:color w:val="auto"/>
                      <w:highlight w:val="none"/>
                    </w:rPr>
                  </w:pPr>
                  <w:r>
                    <w:rPr>
                      <w:color w:val="auto"/>
                      <w:highlight w:val="none"/>
                    </w:rPr>
                    <w:t>环境因素</w:t>
                  </w:r>
                </w:p>
              </w:tc>
              <w:tc>
                <w:tcPr>
                  <w:tcW w:w="802" w:type="pct"/>
                  <w:tcBorders>
                    <w:tl2br w:val="nil"/>
                    <w:tr2bl w:val="nil"/>
                  </w:tcBorders>
                  <w:noWrap w:val="0"/>
                  <w:vAlign w:val="center"/>
                </w:tcPr>
                <w:p>
                  <w:pPr>
                    <w:pStyle w:val="32"/>
                    <w:bidi w:val="0"/>
                    <w:rPr>
                      <w:color w:val="auto"/>
                      <w:highlight w:val="none"/>
                    </w:rPr>
                  </w:pPr>
                  <w:r>
                    <w:rPr>
                      <w:color w:val="auto"/>
                      <w:highlight w:val="none"/>
                    </w:rPr>
                    <w:t>主要影响因素</w:t>
                  </w:r>
                </w:p>
              </w:tc>
              <w:tc>
                <w:tcPr>
                  <w:tcW w:w="701" w:type="pct"/>
                  <w:tcBorders>
                    <w:tl2br w:val="nil"/>
                    <w:tr2bl w:val="nil"/>
                  </w:tcBorders>
                  <w:noWrap w:val="0"/>
                  <w:vAlign w:val="center"/>
                </w:tcPr>
                <w:p>
                  <w:pPr>
                    <w:pStyle w:val="32"/>
                    <w:bidi w:val="0"/>
                    <w:rPr>
                      <w:color w:val="auto"/>
                      <w:highlight w:val="none"/>
                    </w:rPr>
                  </w:pPr>
                  <w:r>
                    <w:rPr>
                      <w:color w:val="auto"/>
                      <w:highlight w:val="none"/>
                    </w:rPr>
                    <w:t>影响的性质</w:t>
                  </w:r>
                </w:p>
              </w:tc>
              <w:tc>
                <w:tcPr>
                  <w:tcW w:w="2930" w:type="pct"/>
                  <w:tcBorders>
                    <w:tl2br w:val="nil"/>
                    <w:tr2bl w:val="nil"/>
                  </w:tcBorders>
                  <w:noWrap w:val="0"/>
                  <w:vAlign w:val="center"/>
                </w:tcPr>
                <w:p>
                  <w:pPr>
                    <w:pStyle w:val="32"/>
                    <w:bidi w:val="0"/>
                    <w:rPr>
                      <w:color w:val="auto"/>
                      <w:highlight w:val="none"/>
                    </w:rPr>
                  </w:pPr>
                  <w:r>
                    <w:rPr>
                      <w:color w:val="auto"/>
                      <w:highlight w:val="none"/>
                    </w:rPr>
                    <w:t>影响分析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vMerge w:val="restart"/>
                  <w:tcBorders>
                    <w:tl2br w:val="nil"/>
                    <w:tr2bl w:val="nil"/>
                  </w:tcBorders>
                  <w:noWrap w:val="0"/>
                  <w:vAlign w:val="center"/>
                </w:tcPr>
                <w:p>
                  <w:pPr>
                    <w:pStyle w:val="32"/>
                    <w:bidi w:val="0"/>
                    <w:rPr>
                      <w:color w:val="auto"/>
                      <w:highlight w:val="none"/>
                    </w:rPr>
                  </w:pPr>
                  <w:r>
                    <w:rPr>
                      <w:color w:val="auto"/>
                      <w:highlight w:val="none"/>
                    </w:rPr>
                    <w:t>环境空气</w:t>
                  </w:r>
                </w:p>
              </w:tc>
              <w:tc>
                <w:tcPr>
                  <w:tcW w:w="802" w:type="pct"/>
                  <w:tcBorders>
                    <w:tl2br w:val="nil"/>
                    <w:tr2bl w:val="nil"/>
                  </w:tcBorders>
                  <w:noWrap w:val="0"/>
                  <w:vAlign w:val="center"/>
                </w:tcPr>
                <w:p>
                  <w:pPr>
                    <w:pStyle w:val="32"/>
                    <w:bidi w:val="0"/>
                    <w:rPr>
                      <w:color w:val="auto"/>
                      <w:highlight w:val="none"/>
                    </w:rPr>
                  </w:pPr>
                  <w:r>
                    <w:rPr>
                      <w:color w:val="auto"/>
                      <w:highlight w:val="none"/>
                    </w:rPr>
                    <w:t>扬尘</w:t>
                  </w:r>
                </w:p>
              </w:tc>
              <w:tc>
                <w:tcPr>
                  <w:tcW w:w="701" w:type="pct"/>
                  <w:vMerge w:val="restart"/>
                  <w:tcBorders>
                    <w:tl2br w:val="nil"/>
                    <w:tr2bl w:val="nil"/>
                  </w:tcBorders>
                  <w:noWrap w:val="0"/>
                  <w:vAlign w:val="center"/>
                </w:tcPr>
                <w:p>
                  <w:pPr>
                    <w:pStyle w:val="32"/>
                    <w:bidi w:val="0"/>
                    <w:rPr>
                      <w:color w:val="auto"/>
                      <w:highlight w:val="none"/>
                    </w:rPr>
                  </w:pPr>
                  <w:r>
                    <w:rPr>
                      <w:rFonts w:hint="eastAsia"/>
                      <w:color w:val="auto"/>
                      <w:highlight w:val="none"/>
                    </w:rPr>
                    <w:t>长</w:t>
                  </w:r>
                  <w:r>
                    <w:rPr>
                      <w:color w:val="auto"/>
                      <w:highlight w:val="none"/>
                    </w:rPr>
                    <w:t>期、可逆、</w:t>
                  </w:r>
                </w:p>
                <w:p>
                  <w:pPr>
                    <w:pStyle w:val="32"/>
                    <w:bidi w:val="0"/>
                    <w:rPr>
                      <w:color w:val="auto"/>
                      <w:highlight w:val="none"/>
                    </w:rPr>
                  </w:pPr>
                  <w:r>
                    <w:rPr>
                      <w:color w:val="auto"/>
                      <w:highlight w:val="none"/>
                    </w:rPr>
                    <w:t>不利</w:t>
                  </w:r>
                </w:p>
              </w:tc>
              <w:tc>
                <w:tcPr>
                  <w:tcW w:w="2930" w:type="pct"/>
                  <w:vMerge w:val="restar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1、行驶车辆的轮胎接触路面而使路面积尘扬起，以及运送散装含尘物料的车辆由于散落、风吹等原因；</w:t>
                  </w:r>
                </w:p>
                <w:p>
                  <w:pPr>
                    <w:pStyle w:val="32"/>
                    <w:bidi w:val="0"/>
                    <w:jc w:val="left"/>
                    <w:rPr>
                      <w:color w:val="auto"/>
                      <w:highlight w:val="none"/>
                    </w:rPr>
                  </w:pPr>
                  <w:r>
                    <w:rPr>
                      <w:rFonts w:hint="eastAsia"/>
                      <w:color w:val="auto"/>
                      <w:highlight w:val="none"/>
                    </w:rPr>
                    <w:t>2、</w:t>
                  </w:r>
                  <w:r>
                    <w:rPr>
                      <w:rFonts w:hint="eastAsia"/>
                      <w:color w:val="auto"/>
                      <w:highlight w:val="none"/>
                      <w:lang w:eastAsia="zh-CN"/>
                    </w:rPr>
                    <w:t>燃油</w:t>
                  </w:r>
                  <w:r>
                    <w:rPr>
                      <w:rFonts w:hint="eastAsia"/>
                      <w:color w:val="auto"/>
                      <w:highlight w:val="none"/>
                    </w:rPr>
                    <w:t>车辆排放的废气中含有烟尘、NOx、CO、THC（烃类）等污染物。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vMerge w:val="continue"/>
                  <w:tcBorders>
                    <w:tl2br w:val="nil"/>
                    <w:tr2bl w:val="nil"/>
                  </w:tcBorders>
                  <w:noWrap w:val="0"/>
                  <w:vAlign w:val="center"/>
                </w:tcPr>
                <w:p>
                  <w:pPr>
                    <w:pStyle w:val="32"/>
                    <w:bidi w:val="0"/>
                    <w:rPr>
                      <w:color w:val="auto"/>
                      <w:highlight w:val="none"/>
                    </w:rPr>
                  </w:pPr>
                </w:p>
              </w:tc>
              <w:tc>
                <w:tcPr>
                  <w:tcW w:w="802" w:type="pct"/>
                  <w:tcBorders>
                    <w:tl2br w:val="nil"/>
                    <w:tr2bl w:val="nil"/>
                  </w:tcBorders>
                  <w:noWrap w:val="0"/>
                  <w:vAlign w:val="center"/>
                </w:tcPr>
                <w:p>
                  <w:pPr>
                    <w:pStyle w:val="32"/>
                    <w:bidi w:val="0"/>
                    <w:rPr>
                      <w:color w:val="auto"/>
                      <w:highlight w:val="none"/>
                    </w:rPr>
                  </w:pPr>
                  <w:r>
                    <w:rPr>
                      <w:color w:val="auto"/>
                      <w:highlight w:val="none"/>
                    </w:rPr>
                    <w:t>施工机械及运</w:t>
                  </w:r>
                </w:p>
                <w:p>
                  <w:pPr>
                    <w:pStyle w:val="32"/>
                    <w:bidi w:val="0"/>
                    <w:rPr>
                      <w:color w:val="auto"/>
                      <w:highlight w:val="none"/>
                    </w:rPr>
                  </w:pPr>
                  <w:r>
                    <w:rPr>
                      <w:color w:val="auto"/>
                      <w:highlight w:val="none"/>
                    </w:rPr>
                    <w:t>输车辆废气</w:t>
                  </w:r>
                </w:p>
              </w:tc>
              <w:tc>
                <w:tcPr>
                  <w:tcW w:w="701" w:type="pct"/>
                  <w:vMerge w:val="continue"/>
                  <w:tcBorders>
                    <w:tl2br w:val="nil"/>
                    <w:tr2bl w:val="nil"/>
                  </w:tcBorders>
                  <w:noWrap w:val="0"/>
                  <w:vAlign w:val="center"/>
                </w:tcPr>
                <w:p>
                  <w:pPr>
                    <w:pStyle w:val="32"/>
                    <w:bidi w:val="0"/>
                    <w:rPr>
                      <w:color w:val="auto"/>
                      <w:highlight w:val="none"/>
                    </w:rPr>
                  </w:pPr>
                </w:p>
              </w:tc>
              <w:tc>
                <w:tcPr>
                  <w:tcW w:w="2930" w:type="pct"/>
                  <w:vMerge w:val="continue"/>
                  <w:tcBorders>
                    <w:tl2br w:val="nil"/>
                    <w:tr2bl w:val="nil"/>
                  </w:tcBorders>
                  <w:noWrap w:val="0"/>
                  <w:vAlign w:val="center"/>
                </w:tcPr>
                <w:p>
                  <w:pPr>
                    <w:pStyle w:val="32"/>
                    <w:bidi w:val="0"/>
                    <w:jc w:val="left"/>
                    <w:rPr>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tcBorders>
                    <w:tl2br w:val="nil"/>
                    <w:tr2bl w:val="nil"/>
                  </w:tcBorders>
                  <w:noWrap w:val="0"/>
                  <w:vAlign w:val="center"/>
                </w:tcPr>
                <w:p>
                  <w:pPr>
                    <w:pStyle w:val="32"/>
                    <w:bidi w:val="0"/>
                    <w:rPr>
                      <w:color w:val="auto"/>
                      <w:highlight w:val="none"/>
                    </w:rPr>
                  </w:pPr>
                  <w:r>
                    <w:rPr>
                      <w:color w:val="auto"/>
                      <w:highlight w:val="none"/>
                    </w:rPr>
                    <w:t>地表水</w:t>
                  </w:r>
                </w:p>
                <w:p>
                  <w:pPr>
                    <w:pStyle w:val="32"/>
                    <w:bidi w:val="0"/>
                    <w:rPr>
                      <w:color w:val="auto"/>
                      <w:highlight w:val="none"/>
                    </w:rPr>
                  </w:pPr>
                  <w:r>
                    <w:rPr>
                      <w:color w:val="auto"/>
                      <w:highlight w:val="none"/>
                    </w:rPr>
                    <w:t>环境</w:t>
                  </w:r>
                </w:p>
              </w:tc>
              <w:tc>
                <w:tcPr>
                  <w:tcW w:w="802"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路面径流</w:t>
                  </w:r>
                </w:p>
              </w:tc>
              <w:tc>
                <w:tcPr>
                  <w:tcW w:w="701"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短期、可逆、</w:t>
                  </w:r>
                </w:p>
                <w:p>
                  <w:pPr>
                    <w:pStyle w:val="32"/>
                    <w:bidi w:val="0"/>
                    <w:rPr>
                      <w:rFonts w:hint="eastAsia"/>
                      <w:color w:val="auto"/>
                      <w:highlight w:val="none"/>
                    </w:rPr>
                  </w:pPr>
                  <w:r>
                    <w:rPr>
                      <w:rFonts w:hint="eastAsia"/>
                      <w:color w:val="auto"/>
                      <w:highlight w:val="none"/>
                    </w:rPr>
                    <w:t>不利</w:t>
                  </w:r>
                </w:p>
              </w:tc>
              <w:tc>
                <w:tcPr>
                  <w:tcW w:w="2930" w:type="pc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降雨冲刷路面可能在路面上形成不同程度的积聚，而这些物质可能随降水而形成路面径流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tcBorders>
                    <w:tl2br w:val="nil"/>
                    <w:tr2bl w:val="nil"/>
                  </w:tcBorders>
                  <w:noWrap w:val="0"/>
                  <w:vAlign w:val="center"/>
                </w:tcPr>
                <w:p>
                  <w:pPr>
                    <w:pStyle w:val="32"/>
                    <w:bidi w:val="0"/>
                    <w:rPr>
                      <w:color w:val="auto"/>
                      <w:highlight w:val="none"/>
                    </w:rPr>
                  </w:pPr>
                  <w:r>
                    <w:rPr>
                      <w:color w:val="auto"/>
                      <w:highlight w:val="none"/>
                    </w:rPr>
                    <w:t>声环境</w:t>
                  </w:r>
                </w:p>
              </w:tc>
              <w:tc>
                <w:tcPr>
                  <w:tcW w:w="802"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交通噪声</w:t>
                  </w:r>
                </w:p>
              </w:tc>
              <w:tc>
                <w:tcPr>
                  <w:tcW w:w="701"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长期、可逆、</w:t>
                  </w:r>
                </w:p>
                <w:p>
                  <w:pPr>
                    <w:pStyle w:val="32"/>
                    <w:bidi w:val="0"/>
                    <w:rPr>
                      <w:rFonts w:hint="eastAsia"/>
                      <w:color w:val="auto"/>
                      <w:highlight w:val="none"/>
                    </w:rPr>
                  </w:pPr>
                  <w:r>
                    <w:rPr>
                      <w:rFonts w:hint="eastAsia"/>
                      <w:color w:val="auto"/>
                      <w:highlight w:val="none"/>
                    </w:rPr>
                    <w:t>不利</w:t>
                  </w:r>
                </w:p>
              </w:tc>
              <w:tc>
                <w:tcPr>
                  <w:tcW w:w="2930" w:type="pc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往来车辆，对沿线较近的声环境敏感点会造成不利影响。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tcBorders>
                    <w:tl2br w:val="nil"/>
                    <w:tr2bl w:val="nil"/>
                  </w:tcBorders>
                  <w:noWrap w:val="0"/>
                  <w:vAlign w:val="center"/>
                </w:tcPr>
                <w:p>
                  <w:pPr>
                    <w:pStyle w:val="32"/>
                    <w:bidi w:val="0"/>
                    <w:rPr>
                      <w:color w:val="auto"/>
                      <w:highlight w:val="none"/>
                    </w:rPr>
                  </w:pPr>
                  <w:r>
                    <w:rPr>
                      <w:color w:val="auto"/>
                      <w:highlight w:val="none"/>
                    </w:rPr>
                    <w:t>固体</w:t>
                  </w:r>
                  <w:r>
                    <w:rPr>
                      <w:rFonts w:hint="eastAsia"/>
                      <w:color w:val="auto"/>
                      <w:highlight w:val="none"/>
                    </w:rPr>
                    <w:t>废</w:t>
                  </w:r>
                  <w:r>
                    <w:rPr>
                      <w:color w:val="auto"/>
                      <w:highlight w:val="none"/>
                    </w:rPr>
                    <w:t>物</w:t>
                  </w:r>
                </w:p>
              </w:tc>
              <w:tc>
                <w:tcPr>
                  <w:tcW w:w="802" w:type="pct"/>
                  <w:tcBorders>
                    <w:tl2br w:val="nil"/>
                    <w:tr2bl w:val="nil"/>
                  </w:tcBorders>
                  <w:noWrap w:val="0"/>
                  <w:vAlign w:val="center"/>
                </w:tcPr>
                <w:p>
                  <w:pPr>
                    <w:pStyle w:val="32"/>
                    <w:bidi w:val="0"/>
                    <w:rPr>
                      <w:color w:val="auto"/>
                      <w:highlight w:val="none"/>
                    </w:rPr>
                  </w:pPr>
                  <w:r>
                    <w:rPr>
                      <w:color w:val="auto"/>
                      <w:highlight w:val="none"/>
                    </w:rPr>
                    <w:t>垃圾</w:t>
                  </w:r>
                </w:p>
              </w:tc>
              <w:tc>
                <w:tcPr>
                  <w:tcW w:w="701"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长期、可逆、</w:t>
                  </w:r>
                </w:p>
                <w:p>
                  <w:pPr>
                    <w:pStyle w:val="32"/>
                    <w:bidi w:val="0"/>
                    <w:rPr>
                      <w:rFonts w:hint="eastAsia"/>
                      <w:color w:val="auto"/>
                      <w:highlight w:val="none"/>
                    </w:rPr>
                  </w:pPr>
                  <w:r>
                    <w:rPr>
                      <w:rFonts w:hint="eastAsia"/>
                      <w:color w:val="auto"/>
                      <w:highlight w:val="none"/>
                    </w:rPr>
                    <w:t>不利</w:t>
                  </w:r>
                </w:p>
              </w:tc>
              <w:tc>
                <w:tcPr>
                  <w:tcW w:w="2930" w:type="pct"/>
                  <w:tcBorders>
                    <w:tl2br w:val="nil"/>
                    <w:tr2bl w:val="nil"/>
                  </w:tcBorders>
                  <w:noWrap w:val="0"/>
                  <w:vAlign w:val="center"/>
                </w:tcPr>
                <w:p>
                  <w:pPr>
                    <w:pStyle w:val="32"/>
                    <w:bidi w:val="0"/>
                    <w:jc w:val="left"/>
                    <w:rPr>
                      <w:rFonts w:hint="eastAsia"/>
                      <w:color w:val="auto"/>
                      <w:highlight w:val="none"/>
                    </w:rPr>
                  </w:pPr>
                  <w:r>
                    <w:rPr>
                      <w:color w:val="auto"/>
                      <w:highlight w:val="none"/>
                    </w:rPr>
                    <w:t>日常养护过程中产生的零星筑路废料及车辆与行人产生的生活垃圾</w:t>
                  </w:r>
                  <w:r>
                    <w:rPr>
                      <w:rFonts w:hint="eastAsia"/>
                      <w:color w:val="auto"/>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vMerge w:val="restart"/>
                  <w:tcBorders>
                    <w:tl2br w:val="nil"/>
                    <w:tr2bl w:val="nil"/>
                  </w:tcBorders>
                  <w:noWrap w:val="0"/>
                  <w:vAlign w:val="center"/>
                </w:tcPr>
                <w:p>
                  <w:pPr>
                    <w:pStyle w:val="32"/>
                    <w:bidi w:val="0"/>
                    <w:rPr>
                      <w:color w:val="auto"/>
                      <w:highlight w:val="none"/>
                    </w:rPr>
                  </w:pPr>
                  <w:r>
                    <w:rPr>
                      <w:color w:val="auto"/>
                      <w:highlight w:val="none"/>
                    </w:rPr>
                    <w:t>生态环境</w:t>
                  </w:r>
                </w:p>
              </w:tc>
              <w:tc>
                <w:tcPr>
                  <w:tcW w:w="802"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交通噪声</w:t>
                  </w:r>
                </w:p>
              </w:tc>
              <w:tc>
                <w:tcPr>
                  <w:tcW w:w="701" w:type="pct"/>
                  <w:vMerge w:val="restart"/>
                  <w:tcBorders>
                    <w:tl2br w:val="nil"/>
                    <w:tr2bl w:val="nil"/>
                  </w:tcBorders>
                  <w:noWrap w:val="0"/>
                  <w:vAlign w:val="center"/>
                </w:tcPr>
                <w:p>
                  <w:pPr>
                    <w:pStyle w:val="32"/>
                    <w:bidi w:val="0"/>
                    <w:rPr>
                      <w:rFonts w:hint="eastAsia"/>
                      <w:color w:val="auto"/>
                      <w:highlight w:val="none"/>
                    </w:rPr>
                  </w:pPr>
                  <w:r>
                    <w:rPr>
                      <w:rFonts w:hint="eastAsia"/>
                      <w:color w:val="auto"/>
                      <w:highlight w:val="none"/>
                    </w:rPr>
                    <w:t>长期、不可逆、不利</w:t>
                  </w:r>
                </w:p>
              </w:tc>
              <w:tc>
                <w:tcPr>
                  <w:tcW w:w="2930" w:type="pct"/>
                  <w:vMerge w:val="restar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道路及桥梁两侧影响带范围，鸟类、两栖生物的栖息、觅食和活动范围受到一定程度影响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565" w:type="pct"/>
                  <w:vMerge w:val="continue"/>
                  <w:tcBorders>
                    <w:tl2br w:val="nil"/>
                    <w:tr2bl w:val="nil"/>
                  </w:tcBorders>
                  <w:noWrap w:val="0"/>
                  <w:vAlign w:val="center"/>
                </w:tcPr>
                <w:p>
                  <w:pPr>
                    <w:pStyle w:val="32"/>
                    <w:bidi w:val="0"/>
                    <w:rPr>
                      <w:color w:val="auto"/>
                      <w:highlight w:val="none"/>
                    </w:rPr>
                  </w:pPr>
                </w:p>
              </w:tc>
              <w:tc>
                <w:tcPr>
                  <w:tcW w:w="802" w:type="pct"/>
                  <w:tcBorders>
                    <w:tl2br w:val="nil"/>
                    <w:tr2bl w:val="nil"/>
                  </w:tcBorders>
                  <w:noWrap w:val="0"/>
                  <w:vAlign w:val="center"/>
                </w:tcPr>
                <w:p>
                  <w:pPr>
                    <w:pStyle w:val="32"/>
                    <w:bidi w:val="0"/>
                    <w:rPr>
                      <w:rFonts w:hint="eastAsia"/>
                      <w:color w:val="auto"/>
                      <w:highlight w:val="none"/>
                    </w:rPr>
                  </w:pPr>
                  <w:r>
                    <w:rPr>
                      <w:rFonts w:hint="eastAsia"/>
                      <w:color w:val="auto"/>
                      <w:highlight w:val="none"/>
                    </w:rPr>
                    <w:t>汽车尾气</w:t>
                  </w:r>
                </w:p>
              </w:tc>
              <w:tc>
                <w:tcPr>
                  <w:tcW w:w="701" w:type="pct"/>
                  <w:vMerge w:val="continue"/>
                  <w:tcBorders>
                    <w:tl2br w:val="nil"/>
                    <w:tr2bl w:val="nil"/>
                  </w:tcBorders>
                  <w:noWrap w:val="0"/>
                  <w:vAlign w:val="center"/>
                </w:tcPr>
                <w:p>
                  <w:pPr>
                    <w:pStyle w:val="32"/>
                    <w:bidi w:val="0"/>
                    <w:rPr>
                      <w:color w:val="auto"/>
                      <w:highlight w:val="none"/>
                    </w:rPr>
                  </w:pPr>
                </w:p>
              </w:tc>
              <w:tc>
                <w:tcPr>
                  <w:tcW w:w="2930" w:type="pct"/>
                  <w:vMerge w:val="continue"/>
                  <w:tcBorders>
                    <w:tl2br w:val="nil"/>
                    <w:tr2bl w:val="nil"/>
                  </w:tcBorders>
                  <w:noWrap w:val="0"/>
                  <w:vAlign w:val="center"/>
                </w:tcPr>
                <w:p>
                  <w:pPr>
                    <w:pStyle w:val="32"/>
                    <w:bidi w:val="0"/>
                    <w:rPr>
                      <w:color w:val="auto"/>
                      <w:highlight w:val="none"/>
                    </w:rPr>
                  </w:pPr>
                </w:p>
              </w:tc>
            </w:tr>
          </w:tbl>
          <w:p>
            <w:pPr>
              <w:pStyle w:val="33"/>
              <w:bidi w:val="0"/>
              <w:rPr>
                <w:b/>
                <w:bCs/>
                <w:color w:val="auto"/>
                <w:highlight w:val="none"/>
              </w:rPr>
            </w:pPr>
            <w:r>
              <w:rPr>
                <w:rFonts w:hint="eastAsia"/>
                <w:b/>
                <w:bCs/>
                <w:color w:val="auto"/>
                <w:highlight w:val="none"/>
                <w:lang w:val="en-US" w:eastAsia="zh-CN"/>
              </w:rPr>
              <w:t>4.2.1运营期大气影响分析</w:t>
            </w:r>
          </w:p>
          <w:p>
            <w:pPr>
              <w:pStyle w:val="33"/>
              <w:bidi w:val="0"/>
              <w:rPr>
                <w:rFonts w:hint="eastAsia"/>
                <w:color w:val="auto"/>
                <w:highlight w:val="none"/>
              </w:rPr>
            </w:pPr>
            <w:r>
              <w:rPr>
                <w:color w:val="auto"/>
                <w:highlight w:val="none"/>
              </w:rPr>
              <w:t>营运过程中主要废气污染物是各种机动车在行驶过程中排放的尾气</w:t>
            </w:r>
            <w:r>
              <w:rPr>
                <w:rFonts w:hint="eastAsia"/>
                <w:color w:val="auto"/>
                <w:highlight w:val="none"/>
              </w:rPr>
              <w:t>和少量道路扬尘</w:t>
            </w:r>
            <w:r>
              <w:rPr>
                <w:color w:val="auto"/>
                <w:highlight w:val="none"/>
              </w:rPr>
              <w:t>，其中含有颗粒物、CO、NOx、THC。</w:t>
            </w:r>
          </w:p>
          <w:p>
            <w:pPr>
              <w:pStyle w:val="33"/>
              <w:bidi w:val="0"/>
              <w:rPr>
                <w:b w:val="0"/>
                <w:bCs w:val="0"/>
                <w:color w:val="auto"/>
                <w:highlight w:val="none"/>
              </w:rPr>
            </w:pPr>
            <w:r>
              <w:rPr>
                <w:rFonts w:hint="eastAsia"/>
                <w:b w:val="0"/>
                <w:bCs w:val="0"/>
                <w:color w:val="auto"/>
                <w:highlight w:val="none"/>
                <w:lang w:val="en-US" w:eastAsia="zh-CN"/>
              </w:rPr>
              <w:t>（1）</w:t>
            </w:r>
            <w:r>
              <w:rPr>
                <w:b w:val="0"/>
                <w:bCs w:val="0"/>
                <w:color w:val="auto"/>
                <w:highlight w:val="none"/>
              </w:rPr>
              <w:t>道路扬尘</w:t>
            </w:r>
          </w:p>
          <w:p>
            <w:pPr>
              <w:pStyle w:val="33"/>
              <w:bidi w:val="0"/>
              <w:rPr>
                <w:color w:val="auto"/>
                <w:highlight w:val="none"/>
              </w:rPr>
            </w:pPr>
            <w:r>
              <w:rPr>
                <w:color w:val="auto"/>
                <w:highlight w:val="none"/>
              </w:rPr>
              <w:t>运营期道路扬尘主要是行驶车辆的轮胎接触路面而使路面积尘扬起，以及运送散装含尘物料的车辆由于散落、风吹等原因，从而产生扬尘污染，道路扬尘的起尘量与运输车辆的车速、载重量、轮胎与地面的接触面积、路面含尘量、相对湿度等因素有关。根据同类项目建设经验，</w:t>
            </w:r>
            <w:r>
              <w:rPr>
                <w:rFonts w:hint="eastAsia"/>
                <w:color w:val="auto"/>
                <w:highlight w:val="none"/>
              </w:rPr>
              <w:t>运营期</w:t>
            </w:r>
            <w:r>
              <w:rPr>
                <w:color w:val="auto"/>
                <w:highlight w:val="none"/>
              </w:rPr>
              <w:t>运输车辆大多行驶在</w:t>
            </w:r>
            <w:r>
              <w:rPr>
                <w:rFonts w:hint="eastAsia"/>
                <w:color w:val="auto"/>
                <w:highlight w:val="none"/>
              </w:rPr>
              <w:t>沥青混凝土道路上</w:t>
            </w:r>
            <w:r>
              <w:rPr>
                <w:color w:val="auto"/>
                <w:highlight w:val="none"/>
              </w:rPr>
              <w:t>，路面含尘量</w:t>
            </w:r>
            <w:r>
              <w:rPr>
                <w:rFonts w:hint="eastAsia"/>
                <w:color w:val="auto"/>
                <w:highlight w:val="none"/>
              </w:rPr>
              <w:t>低</w:t>
            </w:r>
            <w:r>
              <w:rPr>
                <w:color w:val="auto"/>
                <w:highlight w:val="none"/>
              </w:rPr>
              <w:t>，道路扬尘污染</w:t>
            </w:r>
            <w:r>
              <w:rPr>
                <w:rFonts w:hint="eastAsia"/>
                <w:color w:val="auto"/>
                <w:highlight w:val="none"/>
              </w:rPr>
              <w:t>较小</w:t>
            </w:r>
            <w:r>
              <w:rPr>
                <w:color w:val="auto"/>
                <w:highlight w:val="none"/>
              </w:rPr>
              <w:t>。</w:t>
            </w:r>
          </w:p>
          <w:p>
            <w:pPr>
              <w:pStyle w:val="33"/>
              <w:bidi w:val="0"/>
              <w:rPr>
                <w:b w:val="0"/>
                <w:bCs w:val="0"/>
                <w:color w:val="auto"/>
                <w:highlight w:val="none"/>
              </w:rPr>
            </w:pPr>
            <w:r>
              <w:rPr>
                <w:rFonts w:hint="eastAsia"/>
                <w:b w:val="0"/>
                <w:bCs w:val="0"/>
                <w:color w:val="auto"/>
                <w:highlight w:val="none"/>
                <w:lang w:eastAsia="zh-CN"/>
              </w:rPr>
              <w:t>（</w:t>
            </w:r>
            <w:r>
              <w:rPr>
                <w:rFonts w:hint="eastAsia"/>
                <w:b w:val="0"/>
                <w:bCs w:val="0"/>
                <w:color w:val="auto"/>
                <w:highlight w:val="none"/>
                <w:lang w:val="en-US" w:eastAsia="zh-CN"/>
              </w:rPr>
              <w:t>2</w:t>
            </w:r>
            <w:r>
              <w:rPr>
                <w:rFonts w:hint="eastAsia"/>
                <w:b w:val="0"/>
                <w:bCs w:val="0"/>
                <w:color w:val="auto"/>
                <w:highlight w:val="none"/>
                <w:lang w:eastAsia="zh-CN"/>
              </w:rPr>
              <w:t>）</w:t>
            </w:r>
            <w:r>
              <w:rPr>
                <w:b w:val="0"/>
                <w:bCs w:val="0"/>
                <w:color w:val="auto"/>
                <w:highlight w:val="none"/>
              </w:rPr>
              <w:t>汽车尾气</w:t>
            </w:r>
          </w:p>
          <w:p>
            <w:pPr>
              <w:pStyle w:val="33"/>
              <w:bidi w:val="0"/>
              <w:rPr>
                <w:color w:val="FF0000"/>
                <w:highlight w:val="none"/>
              </w:rPr>
            </w:pPr>
            <w:r>
              <w:rPr>
                <w:rFonts w:hint="eastAsia"/>
                <w:color w:val="FF0000"/>
                <w:highlight w:val="none"/>
                <w:lang w:val="en-US" w:eastAsia="zh-CN"/>
              </w:rPr>
              <w:t>运营期废气主要来源于车辆行驶过程产生的汽车尾气，主要污染物为</w:t>
            </w:r>
            <w:r>
              <w:rPr>
                <w:rFonts w:hint="default"/>
                <w:color w:val="FF0000"/>
                <w:highlight w:val="none"/>
                <w:lang w:val="en-US" w:eastAsia="zh-CN"/>
              </w:rPr>
              <w:t>NOx</w:t>
            </w:r>
            <w:r>
              <w:rPr>
                <w:rFonts w:hint="eastAsia"/>
                <w:color w:val="FF0000"/>
                <w:highlight w:val="none"/>
                <w:lang w:val="en-US" w:eastAsia="zh-CN"/>
              </w:rPr>
              <w:t>、</w:t>
            </w:r>
            <w:r>
              <w:rPr>
                <w:rFonts w:hint="default"/>
                <w:color w:val="FF0000"/>
                <w:highlight w:val="none"/>
                <w:lang w:val="en-US" w:eastAsia="zh-CN"/>
              </w:rPr>
              <w:t>CO</w:t>
            </w:r>
            <w:r>
              <w:rPr>
                <w:rFonts w:hint="eastAsia"/>
                <w:color w:val="FF0000"/>
                <w:highlight w:val="none"/>
                <w:lang w:val="en-US" w:eastAsia="zh-CN"/>
              </w:rPr>
              <w:t>、</w:t>
            </w:r>
            <w:r>
              <w:rPr>
                <w:rFonts w:hint="default"/>
                <w:color w:val="FF0000"/>
                <w:highlight w:val="none"/>
                <w:lang w:val="en-US" w:eastAsia="zh-CN"/>
              </w:rPr>
              <w:t>THC</w:t>
            </w:r>
            <w:r>
              <w:rPr>
                <w:rFonts w:hint="eastAsia"/>
                <w:color w:val="FF0000"/>
                <w:highlight w:val="none"/>
                <w:lang w:val="en-US" w:eastAsia="zh-CN"/>
              </w:rPr>
              <w:t>，根据《公路建设项目环境影响评价规范（</w:t>
            </w:r>
            <w:r>
              <w:rPr>
                <w:rFonts w:hint="default"/>
                <w:color w:val="FF0000"/>
                <w:highlight w:val="none"/>
                <w:lang w:val="en-US" w:eastAsia="zh-CN"/>
              </w:rPr>
              <w:t>JTG B03-2006</w:t>
            </w:r>
            <w:r>
              <w:rPr>
                <w:rFonts w:hint="eastAsia"/>
                <w:color w:val="FF0000"/>
                <w:highlight w:val="none"/>
                <w:lang w:val="en-US" w:eastAsia="zh-CN"/>
              </w:rPr>
              <w:t xml:space="preserve">）》，气态污染物源强按下式计算： </w:t>
            </w:r>
          </w:p>
          <w:p>
            <w:pPr>
              <w:pStyle w:val="3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color w:val="FF0000"/>
                <w:highlight w:val="none"/>
                <w:lang w:eastAsia="zh-CN"/>
              </w:rPr>
            </w:pPr>
            <w:r>
              <w:rPr>
                <w:color w:val="FF0000"/>
                <w:highlight w:val="none"/>
              </w:rPr>
              <w:drawing>
                <wp:inline distT="0" distB="0" distL="114300" distR="114300">
                  <wp:extent cx="1400810" cy="568960"/>
                  <wp:effectExtent l="0" t="0" r="8890" b="2540"/>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22"/>
                          <a:stretch>
                            <a:fillRect/>
                          </a:stretch>
                        </pic:blipFill>
                        <pic:spPr>
                          <a:xfrm>
                            <a:off x="0" y="0"/>
                            <a:ext cx="1400810" cy="568960"/>
                          </a:xfrm>
                          <a:prstGeom prst="rect">
                            <a:avLst/>
                          </a:prstGeom>
                          <a:noFill/>
                          <a:ln>
                            <a:noFill/>
                          </a:ln>
                        </pic:spPr>
                      </pic:pic>
                    </a:graphicData>
                  </a:graphic>
                </wp:inline>
              </w:drawing>
            </w:r>
          </w:p>
          <w:p>
            <w:pPr>
              <w:pStyle w:val="33"/>
              <w:bidi w:val="0"/>
              <w:rPr>
                <w:color w:val="FF0000"/>
                <w:highlight w:val="none"/>
              </w:rPr>
            </w:pPr>
            <w:r>
              <w:rPr>
                <w:rFonts w:hint="eastAsia"/>
                <w:color w:val="FF0000"/>
                <w:highlight w:val="none"/>
                <w:lang w:val="en-US" w:eastAsia="zh-CN"/>
              </w:rPr>
              <w:t>式中：</w:t>
            </w:r>
            <w:r>
              <w:rPr>
                <w:rFonts w:hint="default"/>
                <w:color w:val="FF0000"/>
                <w:highlight w:val="none"/>
                <w:lang w:val="en-US" w:eastAsia="zh-CN"/>
              </w:rPr>
              <w:t>Qj——j</w:t>
            </w:r>
            <w:r>
              <w:rPr>
                <w:rFonts w:hint="eastAsia"/>
                <w:color w:val="FF0000"/>
                <w:highlight w:val="none"/>
                <w:lang w:val="en-US" w:eastAsia="zh-CN"/>
              </w:rPr>
              <w:t>类气态污染物排放源强度，</w:t>
            </w:r>
            <w:r>
              <w:rPr>
                <w:rFonts w:hint="default"/>
                <w:color w:val="FF0000"/>
                <w:highlight w:val="none"/>
                <w:lang w:val="en-US" w:eastAsia="zh-CN"/>
              </w:rPr>
              <w:t>mg/</w:t>
            </w:r>
            <w:r>
              <w:rPr>
                <w:rFonts w:hint="eastAsia"/>
                <w:color w:val="FF0000"/>
                <w:highlight w:val="none"/>
                <w:lang w:val="en-US" w:eastAsia="zh-CN"/>
              </w:rPr>
              <w:t>（</w:t>
            </w:r>
            <w:r>
              <w:rPr>
                <w:rFonts w:hint="default"/>
                <w:color w:val="FF0000"/>
                <w:highlight w:val="none"/>
                <w:lang w:val="en-US" w:eastAsia="zh-CN"/>
              </w:rPr>
              <w:t>s·m</w:t>
            </w:r>
            <w:r>
              <w:rPr>
                <w:rFonts w:hint="eastAsia"/>
                <w:color w:val="FF0000"/>
                <w:highlight w:val="none"/>
                <w:lang w:val="en-US" w:eastAsia="zh-CN"/>
              </w:rPr>
              <w:t xml:space="preserve">）； </w:t>
            </w:r>
          </w:p>
          <w:p>
            <w:pPr>
              <w:pStyle w:val="33"/>
              <w:bidi w:val="0"/>
              <w:ind w:firstLine="1045" w:firstLineChars="500"/>
              <w:rPr>
                <w:color w:val="FF0000"/>
                <w:highlight w:val="none"/>
              </w:rPr>
            </w:pPr>
            <w:r>
              <w:rPr>
                <w:rFonts w:hint="default"/>
                <w:color w:val="FF0000"/>
                <w:highlight w:val="none"/>
                <w:lang w:val="en-US" w:eastAsia="zh-CN"/>
              </w:rPr>
              <w:t xml:space="preserve">Ai——i </w:t>
            </w:r>
            <w:r>
              <w:rPr>
                <w:rFonts w:hint="eastAsia"/>
                <w:color w:val="FF0000"/>
                <w:highlight w:val="none"/>
                <w:lang w:val="en-US" w:eastAsia="zh-CN"/>
              </w:rPr>
              <w:t>型车预测年的小时交通量，辆</w:t>
            </w:r>
            <w:r>
              <w:rPr>
                <w:rFonts w:hint="default"/>
                <w:color w:val="FF0000"/>
                <w:highlight w:val="none"/>
                <w:lang w:val="en-US" w:eastAsia="zh-CN"/>
              </w:rPr>
              <w:t>/h</w:t>
            </w:r>
            <w:r>
              <w:rPr>
                <w:rFonts w:hint="eastAsia"/>
                <w:color w:val="FF0000"/>
                <w:highlight w:val="none"/>
                <w:lang w:val="en-US" w:eastAsia="zh-CN"/>
              </w:rPr>
              <w:t xml:space="preserve">； </w:t>
            </w:r>
          </w:p>
          <w:p>
            <w:pPr>
              <w:pStyle w:val="33"/>
              <w:bidi w:val="0"/>
              <w:ind w:firstLine="1045" w:firstLineChars="500"/>
              <w:rPr>
                <w:color w:val="FF0000"/>
                <w:highlight w:val="none"/>
              </w:rPr>
            </w:pPr>
            <w:r>
              <w:rPr>
                <w:rFonts w:hint="default"/>
                <w:color w:val="FF0000"/>
                <w:highlight w:val="none"/>
                <w:lang w:val="en-US" w:eastAsia="zh-CN"/>
              </w:rPr>
              <w:t>Eij——</w:t>
            </w:r>
            <w:r>
              <w:rPr>
                <w:rFonts w:hint="eastAsia"/>
                <w:color w:val="FF0000"/>
                <w:highlight w:val="none"/>
                <w:lang w:val="en-US" w:eastAsia="zh-CN"/>
              </w:rPr>
              <w:t>汽车专用公路运行工况下</w:t>
            </w:r>
            <w:r>
              <w:rPr>
                <w:rFonts w:hint="default"/>
                <w:color w:val="FF0000"/>
                <w:highlight w:val="none"/>
                <w:lang w:val="en-US" w:eastAsia="zh-CN"/>
              </w:rPr>
              <w:t>i</w:t>
            </w:r>
            <w:r>
              <w:rPr>
                <w:rFonts w:hint="eastAsia"/>
                <w:color w:val="FF0000"/>
                <w:highlight w:val="none"/>
                <w:lang w:val="en-US" w:eastAsia="zh-CN"/>
              </w:rPr>
              <w:t>型车</w:t>
            </w:r>
            <w:r>
              <w:rPr>
                <w:rFonts w:hint="default"/>
                <w:color w:val="FF0000"/>
                <w:highlight w:val="none"/>
                <w:lang w:val="en-US" w:eastAsia="zh-CN"/>
              </w:rPr>
              <w:t>j</w:t>
            </w:r>
            <w:r>
              <w:rPr>
                <w:rFonts w:hint="eastAsia"/>
                <w:color w:val="FF0000"/>
                <w:highlight w:val="none"/>
                <w:lang w:val="en-US" w:eastAsia="zh-CN"/>
              </w:rPr>
              <w:t>类污染物在预测年的单车排放因子（</w:t>
            </w:r>
            <w:r>
              <w:rPr>
                <w:rFonts w:hint="default"/>
                <w:color w:val="FF0000"/>
                <w:highlight w:val="none"/>
                <w:lang w:val="en-US" w:eastAsia="zh-CN"/>
              </w:rPr>
              <w:t>mg/</w:t>
            </w:r>
            <w:r>
              <w:rPr>
                <w:rFonts w:hint="eastAsia"/>
                <w:color w:val="FF0000"/>
                <w:highlight w:val="none"/>
                <w:lang w:val="en-US" w:eastAsia="zh-CN"/>
              </w:rPr>
              <w:t>辆</w:t>
            </w:r>
            <w:r>
              <w:rPr>
                <w:rFonts w:hint="default"/>
                <w:color w:val="FF0000"/>
                <w:highlight w:val="none"/>
                <w:lang w:val="en-US" w:eastAsia="zh-CN"/>
              </w:rPr>
              <w:t>·m</w:t>
            </w:r>
            <w:r>
              <w:rPr>
                <w:rFonts w:hint="eastAsia"/>
                <w:color w:val="FF0000"/>
                <w:highlight w:val="none"/>
                <w:lang w:val="en-US" w:eastAsia="zh-CN"/>
              </w:rPr>
              <w:t>）。</w:t>
            </w:r>
          </w:p>
          <w:p>
            <w:pPr>
              <w:pStyle w:val="33"/>
              <w:bidi w:val="0"/>
              <w:rPr>
                <w:rFonts w:hint="eastAsia"/>
                <w:color w:val="FF0000"/>
                <w:highlight w:val="none"/>
                <w:lang w:eastAsia="zh-CN"/>
              </w:rPr>
            </w:pPr>
            <w:r>
              <w:rPr>
                <w:rFonts w:hint="eastAsia"/>
                <w:color w:val="FF0000"/>
                <w:highlight w:val="none"/>
                <w:lang w:eastAsia="zh-CN"/>
              </w:rPr>
              <w:t>本项目的单车排放因子推荐值见下表。</w:t>
            </w:r>
          </w:p>
          <w:p>
            <w:pPr>
              <w:pStyle w:val="36"/>
              <w:numPr>
                <w:ilvl w:val="0"/>
                <w:numId w:val="12"/>
              </w:numPr>
              <w:bidi w:val="0"/>
              <w:ind w:left="0" w:leftChars="0" w:firstLine="0" w:firstLineChars="0"/>
              <w:jc w:val="right"/>
              <w:rPr>
                <w:rFonts w:hint="default" w:ascii="Times New Roman" w:hAnsi="Times New Roman" w:eastAsia="宋体" w:cs="Times New Roman"/>
                <w:color w:val="FF0000"/>
                <w:highlight w:val="none"/>
                <w:lang w:val="en-US" w:eastAsia="zh-CN"/>
              </w:rPr>
            </w:pPr>
            <w:r>
              <w:rPr>
                <w:rFonts w:hint="eastAsia" w:ascii="Times New Roman" w:hAnsi="Times New Roman" w:eastAsia="宋体" w:cs="Times New Roman"/>
                <w:color w:val="FF0000"/>
                <w:highlight w:val="none"/>
                <w:lang w:val="zh-CN" w:eastAsia="zh-CN"/>
              </w:rPr>
              <w:t>车辆单车排放因子推荐值</w:t>
            </w:r>
            <w:r>
              <w:rPr>
                <w:rFonts w:hint="eastAsia" w:ascii="Times New Roman" w:hAnsi="Times New Roman" w:eastAsia="宋体" w:cs="Times New Roman"/>
                <w:color w:val="FF0000"/>
                <w:highlight w:val="none"/>
                <w:lang w:val="en-US" w:eastAsia="zh-CN"/>
              </w:rPr>
              <w:t xml:space="preserve">  </w:t>
            </w:r>
            <w:r>
              <w:rPr>
                <w:rFonts w:hint="eastAsia" w:cs="Times New Roman"/>
                <w:color w:val="FF0000"/>
                <w:highlight w:val="none"/>
                <w:lang w:val="en-US" w:eastAsia="zh-CN"/>
              </w:rPr>
              <w:t xml:space="preserve">   </w:t>
            </w:r>
            <w:r>
              <w:rPr>
                <w:rFonts w:hint="eastAsia" w:ascii="Times New Roman" w:hAnsi="Times New Roman" w:eastAsia="宋体" w:cs="Times New Roman"/>
                <w:color w:val="FF0000"/>
                <w:highlight w:val="none"/>
                <w:lang w:val="en-US" w:eastAsia="zh-CN"/>
              </w:rPr>
              <w:t xml:space="preserve">  单位：mg/（辆</w:t>
            </w:r>
            <w:r>
              <w:rPr>
                <w:rFonts w:hint="default" w:ascii="Times New Roman" w:hAnsi="Times New Roman" w:eastAsia="宋体" w:cs="Times New Roman"/>
                <w:color w:val="FF0000"/>
                <w:highlight w:val="none"/>
                <w:lang w:val="en-US" w:eastAsia="zh-CN"/>
              </w:rPr>
              <w:t>·</w:t>
            </w:r>
            <w:r>
              <w:rPr>
                <w:rFonts w:hint="eastAsia" w:ascii="Times New Roman" w:hAnsi="Times New Roman" w:eastAsia="宋体" w:cs="Times New Roman"/>
                <w:color w:val="FF0000"/>
                <w:highlight w:val="none"/>
                <w:lang w:val="en-US" w:eastAsia="zh-CN"/>
              </w:rPr>
              <w:t>m）</w:t>
            </w:r>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024"/>
              <w:gridCol w:w="913"/>
              <w:gridCol w:w="913"/>
              <w:gridCol w:w="913"/>
              <w:gridCol w:w="913"/>
              <w:gridCol w:w="913"/>
              <w:gridCol w:w="913"/>
              <w:gridCol w:w="913"/>
              <w:gridCol w:w="9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937" w:type="dxa"/>
                  <w:gridSpan w:val="2"/>
                  <w:vAlign w:val="center"/>
                </w:tcPr>
                <w:p>
                  <w:pPr>
                    <w:pStyle w:val="32"/>
                    <w:bidi w:val="0"/>
                    <w:jc w:val="center"/>
                    <w:rPr>
                      <w:rFonts w:hint="eastAsia"/>
                      <w:color w:val="FF0000"/>
                      <w:highlight w:val="none"/>
                      <w:lang w:eastAsia="zh-CN"/>
                    </w:rPr>
                  </w:pPr>
                  <w:r>
                    <w:rPr>
                      <w:rFonts w:hint="eastAsia"/>
                      <w:color w:val="FF0000"/>
                      <w:highlight w:val="none"/>
                      <w:lang w:eastAsia="zh-CN"/>
                    </w:rPr>
                    <w:t>平均车速（</w:t>
                  </w:r>
                  <w:r>
                    <w:rPr>
                      <w:rFonts w:hint="eastAsia"/>
                      <w:color w:val="FF0000"/>
                      <w:highlight w:val="none"/>
                      <w:lang w:val="en-US" w:eastAsia="zh-CN"/>
                    </w:rPr>
                    <w:t>km/h</w:t>
                  </w:r>
                  <w:r>
                    <w:rPr>
                      <w:rFonts w:hint="eastAsia"/>
                      <w:color w:val="FF0000"/>
                      <w:highlight w:val="none"/>
                      <w:lang w:eastAsia="zh-CN"/>
                    </w:rPr>
                    <w:t>）</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20.00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30.00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40.00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50.00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60.00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70.00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小型车</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CO</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39.02</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31.34</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23.66</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17.90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14.7</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0.24</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7.72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continue"/>
                  <w:vAlign w:val="center"/>
                </w:tcPr>
                <w:p>
                  <w:pPr>
                    <w:pStyle w:val="32"/>
                    <w:bidi w:val="0"/>
                    <w:jc w:val="center"/>
                    <w:rPr>
                      <w:rFonts w:hint="eastAsia"/>
                      <w:color w:val="FF0000"/>
                      <w:highlight w:val="none"/>
                      <w:lang w:eastAsia="zh-CN"/>
                    </w:rPr>
                  </w:pP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THC</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9.58</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8.14</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6.70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6.06</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5.30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4.66</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continue"/>
                  <w:vAlign w:val="center"/>
                </w:tcPr>
                <w:p>
                  <w:pPr>
                    <w:pStyle w:val="32"/>
                    <w:bidi w:val="0"/>
                    <w:jc w:val="center"/>
                    <w:rPr>
                      <w:rFonts w:hint="eastAsia"/>
                      <w:color w:val="FF0000"/>
                      <w:highlight w:val="none"/>
                      <w:lang w:eastAsia="zh-CN"/>
                    </w:rPr>
                  </w:pP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NOx</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1.17</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1.77</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2.37</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2.96</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3.71</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3.85</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中型车</w:t>
                  </w:r>
                </w:p>
              </w:tc>
              <w:tc>
                <w:tcPr>
                  <w:tcW w:w="913"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CO</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34.17</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30.18</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28.55</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26.19</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25.47</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24.76</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23.65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continue"/>
                  <w:vAlign w:val="center"/>
                </w:tcPr>
                <w:p>
                  <w:pPr>
                    <w:pStyle w:val="32"/>
                    <w:bidi w:val="0"/>
                    <w:jc w:val="center"/>
                    <w:rPr>
                      <w:rFonts w:hint="eastAsia"/>
                      <w:color w:val="FF0000"/>
                      <w:highlight w:val="none"/>
                      <w:lang w:eastAsia="zh-CN"/>
                    </w:rPr>
                  </w:pPr>
                </w:p>
              </w:tc>
              <w:tc>
                <w:tcPr>
                  <w:tcW w:w="913"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THC</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18.00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15.21</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12.42</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11.02</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10.10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9.42</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9.10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continue"/>
                  <w:vAlign w:val="center"/>
                </w:tcPr>
                <w:p>
                  <w:pPr>
                    <w:pStyle w:val="32"/>
                    <w:bidi w:val="0"/>
                    <w:jc w:val="center"/>
                    <w:rPr>
                      <w:rFonts w:hint="eastAsia"/>
                      <w:color w:val="FF0000"/>
                      <w:highlight w:val="none"/>
                      <w:lang w:eastAsia="zh-CN"/>
                    </w:rPr>
                  </w:pPr>
                </w:p>
              </w:tc>
              <w:tc>
                <w:tcPr>
                  <w:tcW w:w="913"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NOx</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4.50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5.40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6.30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7.20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8.30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8.80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9.30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大型车</w:t>
                  </w:r>
                </w:p>
              </w:tc>
              <w:tc>
                <w:tcPr>
                  <w:tcW w:w="913"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CO</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6.02</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5.25</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4.48</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4.1</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4.01</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4.23</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4.77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continue"/>
                  <w:vAlign w:val="center"/>
                </w:tcPr>
                <w:p>
                  <w:pPr>
                    <w:pStyle w:val="32"/>
                    <w:bidi w:val="0"/>
                    <w:jc w:val="center"/>
                    <w:rPr>
                      <w:rFonts w:hint="eastAsia"/>
                      <w:color w:val="FF0000"/>
                      <w:highlight w:val="none"/>
                      <w:lang w:eastAsia="zh-CN"/>
                    </w:rPr>
                  </w:pPr>
                </w:p>
              </w:tc>
              <w:tc>
                <w:tcPr>
                  <w:tcW w:w="913"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THC</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2.37</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2.08</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1.79</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1.58</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1.45</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1.38</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024" w:type="dxa"/>
                  <w:vMerge w:val="continue"/>
                  <w:vAlign w:val="center"/>
                </w:tcPr>
                <w:p>
                  <w:pPr>
                    <w:pStyle w:val="32"/>
                    <w:bidi w:val="0"/>
                    <w:jc w:val="center"/>
                    <w:rPr>
                      <w:rFonts w:hint="eastAsia"/>
                      <w:color w:val="FF0000"/>
                      <w:highlight w:val="none"/>
                      <w:lang w:eastAsia="zh-CN"/>
                    </w:rPr>
                  </w:pPr>
                </w:p>
              </w:tc>
              <w:tc>
                <w:tcPr>
                  <w:tcW w:w="913"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NOx</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10.40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10.44</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10.48</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11.10</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14.71</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15.64</w:t>
                  </w:r>
                </w:p>
              </w:tc>
              <w:tc>
                <w:tcPr>
                  <w:tcW w:w="913" w:type="dxa"/>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18.38</w:t>
                  </w:r>
                </w:p>
              </w:tc>
            </w:tr>
          </w:tbl>
          <w:p>
            <w:pPr>
              <w:pStyle w:val="33"/>
              <w:bidi w:val="0"/>
              <w:rPr>
                <w:rFonts w:hint="eastAsia"/>
                <w:color w:val="auto"/>
                <w:highlight w:val="none"/>
                <w:lang w:eastAsia="zh-CN"/>
              </w:rPr>
            </w:pPr>
          </w:p>
          <w:p>
            <w:pPr>
              <w:pStyle w:val="33"/>
              <w:bidi w:val="0"/>
              <w:rPr>
                <w:rFonts w:hint="eastAsia"/>
                <w:color w:val="FF0000"/>
                <w:highlight w:val="none"/>
                <w:lang w:eastAsia="zh-CN"/>
              </w:rPr>
            </w:pPr>
            <w:r>
              <w:rPr>
                <w:rFonts w:hint="eastAsia"/>
                <w:color w:val="FF0000"/>
                <w:highlight w:val="none"/>
                <w:lang w:val="en-US" w:eastAsia="zh-CN"/>
              </w:rPr>
              <w:t xml:space="preserve">（2）大气污染物排放源强 </w:t>
            </w:r>
          </w:p>
          <w:p>
            <w:pPr>
              <w:pStyle w:val="33"/>
              <w:bidi w:val="0"/>
              <w:rPr>
                <w:rFonts w:hint="eastAsia"/>
                <w:color w:val="FF0000"/>
                <w:highlight w:val="none"/>
                <w:lang w:eastAsia="zh-CN"/>
              </w:rPr>
            </w:pPr>
            <w:r>
              <w:rPr>
                <w:rFonts w:hint="eastAsia"/>
                <w:color w:val="FF0000"/>
                <w:highlight w:val="none"/>
                <w:lang w:val="en-US" w:eastAsia="zh-CN"/>
              </w:rPr>
              <w:t>本项目主线设计车速为60km/h，辅道设计车速为40km/h，计算得到汽车尾气中污染物排放源强，在各特征年各车型大气污染物排放量见下表。</w:t>
            </w:r>
          </w:p>
          <w:p>
            <w:pPr>
              <w:pStyle w:val="36"/>
              <w:numPr>
                <w:ilvl w:val="0"/>
                <w:numId w:val="12"/>
              </w:numPr>
              <w:bidi w:val="0"/>
              <w:ind w:left="0" w:leftChars="0" w:firstLine="0" w:firstLineChars="0"/>
              <w:jc w:val="right"/>
              <w:rPr>
                <w:rFonts w:hint="eastAsia" w:ascii="Times New Roman" w:hAnsi="Times New Roman" w:eastAsia="宋体" w:cs="Times New Roman"/>
                <w:color w:val="FF0000"/>
                <w:highlight w:val="none"/>
                <w:lang w:val="zh-CN" w:eastAsia="zh-CN"/>
              </w:rPr>
            </w:pPr>
            <w:r>
              <w:rPr>
                <w:rFonts w:hint="eastAsia" w:ascii="Times New Roman" w:hAnsi="Times New Roman" w:eastAsia="宋体" w:cs="Times New Roman"/>
                <w:color w:val="FF0000"/>
                <w:highlight w:val="none"/>
                <w:lang w:val="en-US" w:eastAsia="zh-CN"/>
              </w:rPr>
              <w:t>各特征年大气污染物排放量       单位：mg/s</w:t>
            </w:r>
            <w:r>
              <w:rPr>
                <w:rFonts w:hint="default" w:ascii="Times New Roman" w:hAnsi="Times New Roman" w:eastAsia="宋体" w:cs="Times New Roman"/>
                <w:color w:val="FF0000"/>
                <w:highlight w:val="none"/>
                <w:lang w:val="en-US" w:eastAsia="zh-CN"/>
              </w:rPr>
              <w:t>·</w:t>
            </w:r>
            <w:r>
              <w:rPr>
                <w:rFonts w:hint="eastAsia" w:ascii="Times New Roman" w:hAnsi="Times New Roman" w:eastAsia="宋体" w:cs="Times New Roman"/>
                <w:color w:val="FF0000"/>
                <w:highlight w:val="none"/>
                <w:lang w:val="en-US" w:eastAsia="zh-CN"/>
              </w:rPr>
              <w:t>m</w:t>
            </w:r>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3"/>
              <w:gridCol w:w="901"/>
              <w:gridCol w:w="1109"/>
              <w:gridCol w:w="1109"/>
              <w:gridCol w:w="1109"/>
              <w:gridCol w:w="1109"/>
              <w:gridCol w:w="1109"/>
              <w:gridCol w:w="11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项目</w:t>
                  </w:r>
                </w:p>
              </w:tc>
              <w:tc>
                <w:tcPr>
                  <w:tcW w:w="901" w:type="dxa"/>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污染物</w:t>
                  </w:r>
                </w:p>
              </w:tc>
              <w:tc>
                <w:tcPr>
                  <w:tcW w:w="2218" w:type="dxa"/>
                  <w:gridSpan w:val="2"/>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2025年</w:t>
                  </w:r>
                </w:p>
              </w:tc>
              <w:tc>
                <w:tcPr>
                  <w:tcW w:w="2218" w:type="dxa"/>
                  <w:gridSpan w:val="2"/>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2035年</w:t>
                  </w:r>
                </w:p>
              </w:tc>
              <w:tc>
                <w:tcPr>
                  <w:tcW w:w="2218" w:type="dxa"/>
                  <w:gridSpan w:val="2"/>
                  <w:vAlign w:val="center"/>
                </w:tcPr>
                <w:p>
                  <w:pPr>
                    <w:pStyle w:val="32"/>
                    <w:bidi w:val="0"/>
                    <w:jc w:val="center"/>
                    <w:rPr>
                      <w:rFonts w:hint="default"/>
                      <w:color w:val="FF0000"/>
                      <w:highlight w:val="none"/>
                      <w:lang w:val="en-US" w:eastAsia="zh-CN"/>
                    </w:rPr>
                  </w:pPr>
                  <w:r>
                    <w:rPr>
                      <w:rFonts w:hint="eastAsia"/>
                      <w:color w:val="FF0000"/>
                      <w:highlight w:val="none"/>
                      <w:lang w:val="en-US" w:eastAsia="zh-CN"/>
                    </w:rPr>
                    <w:t>2044年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continue"/>
                  <w:vAlign w:val="center"/>
                </w:tcPr>
                <w:p>
                  <w:pPr>
                    <w:pStyle w:val="32"/>
                    <w:bidi w:val="0"/>
                    <w:jc w:val="center"/>
                    <w:rPr>
                      <w:color w:val="FF0000"/>
                      <w:highlight w:val="none"/>
                    </w:rPr>
                  </w:pPr>
                </w:p>
              </w:tc>
              <w:tc>
                <w:tcPr>
                  <w:tcW w:w="901" w:type="dxa"/>
                  <w:vMerge w:val="continue"/>
                  <w:vAlign w:val="center"/>
                </w:tcPr>
                <w:p>
                  <w:pPr>
                    <w:pStyle w:val="32"/>
                    <w:bidi w:val="0"/>
                    <w:jc w:val="center"/>
                    <w:rPr>
                      <w:color w:val="FF0000"/>
                      <w:highlight w:val="none"/>
                    </w:rPr>
                  </w:pPr>
                </w:p>
              </w:tc>
              <w:tc>
                <w:tcPr>
                  <w:tcW w:w="1109" w:type="dxa"/>
                  <w:vAlign w:val="center"/>
                </w:tcPr>
                <w:p>
                  <w:pPr>
                    <w:pStyle w:val="32"/>
                    <w:bidi w:val="0"/>
                    <w:jc w:val="center"/>
                    <w:rPr>
                      <w:rFonts w:hint="eastAsia"/>
                      <w:color w:val="FF0000"/>
                      <w:highlight w:val="none"/>
                      <w:lang w:eastAsia="zh-CN"/>
                    </w:rPr>
                  </w:pPr>
                  <w:r>
                    <w:rPr>
                      <w:rFonts w:hint="eastAsia"/>
                      <w:color w:val="FF0000"/>
                      <w:highlight w:val="none"/>
                      <w:lang w:eastAsia="zh-CN"/>
                    </w:rPr>
                    <w:t>昼间</w:t>
                  </w:r>
                </w:p>
              </w:tc>
              <w:tc>
                <w:tcPr>
                  <w:tcW w:w="1109" w:type="dxa"/>
                  <w:vAlign w:val="center"/>
                </w:tcPr>
                <w:p>
                  <w:pPr>
                    <w:pStyle w:val="32"/>
                    <w:bidi w:val="0"/>
                    <w:jc w:val="center"/>
                    <w:rPr>
                      <w:rFonts w:hint="eastAsia"/>
                      <w:color w:val="FF0000"/>
                      <w:highlight w:val="none"/>
                      <w:lang w:eastAsia="zh-CN"/>
                    </w:rPr>
                  </w:pPr>
                  <w:r>
                    <w:rPr>
                      <w:rFonts w:hint="eastAsia"/>
                      <w:color w:val="FF0000"/>
                      <w:highlight w:val="none"/>
                      <w:lang w:eastAsia="zh-CN"/>
                    </w:rPr>
                    <w:t>夜间</w:t>
                  </w:r>
                </w:p>
              </w:tc>
              <w:tc>
                <w:tcPr>
                  <w:tcW w:w="1109"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eastAsia="zh-CN"/>
                    </w:rPr>
                    <w:t>昼间</w:t>
                  </w:r>
                </w:p>
              </w:tc>
              <w:tc>
                <w:tcPr>
                  <w:tcW w:w="1109"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eastAsia="zh-CN"/>
                    </w:rPr>
                    <w:t>夜间</w:t>
                  </w:r>
                </w:p>
              </w:tc>
              <w:tc>
                <w:tcPr>
                  <w:tcW w:w="1109"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eastAsia="zh-CN"/>
                    </w:rPr>
                    <w:t>昼间</w:t>
                  </w:r>
                </w:p>
              </w:tc>
              <w:tc>
                <w:tcPr>
                  <w:tcW w:w="1109"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eastAsia="zh-CN"/>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主线</w:t>
                  </w:r>
                </w:p>
              </w:tc>
              <w:tc>
                <w:tcPr>
                  <w:tcW w:w="901"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CO</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0.706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0.302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1.040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0.446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1.273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0.547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continue"/>
                  <w:vAlign w:val="center"/>
                </w:tcPr>
                <w:p>
                  <w:pPr>
                    <w:pStyle w:val="32"/>
                    <w:bidi w:val="0"/>
                    <w:jc w:val="center"/>
                    <w:rPr>
                      <w:rFonts w:hint="eastAsia"/>
                      <w:color w:val="FF0000"/>
                      <w:highlight w:val="none"/>
                      <w:lang w:eastAsia="zh-CN"/>
                    </w:rPr>
                  </w:pPr>
                </w:p>
              </w:tc>
              <w:tc>
                <w:tcPr>
                  <w:tcW w:w="901"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THC</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0.163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0.113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0.388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0.166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0.475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0.204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continue"/>
                  <w:vAlign w:val="center"/>
                </w:tcPr>
                <w:p>
                  <w:pPr>
                    <w:pStyle w:val="32"/>
                    <w:bidi w:val="0"/>
                    <w:jc w:val="center"/>
                    <w:rPr>
                      <w:rFonts w:hint="eastAsia"/>
                      <w:color w:val="FF0000"/>
                      <w:highlight w:val="none"/>
                      <w:lang w:eastAsia="zh-CN"/>
                    </w:rPr>
                  </w:pPr>
                </w:p>
              </w:tc>
              <w:tc>
                <w:tcPr>
                  <w:tcW w:w="901"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NOx</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0.592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0.251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0.879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0.375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1.073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0.460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restart"/>
                  <w:vAlign w:val="center"/>
                </w:tcPr>
                <w:p>
                  <w:pPr>
                    <w:pStyle w:val="32"/>
                    <w:bidi w:val="0"/>
                    <w:jc w:val="center"/>
                    <w:rPr>
                      <w:rFonts w:hint="eastAsia"/>
                      <w:color w:val="FF0000"/>
                      <w:highlight w:val="none"/>
                      <w:lang w:eastAsia="zh-CN"/>
                    </w:rPr>
                  </w:pPr>
                  <w:r>
                    <w:rPr>
                      <w:rFonts w:hint="eastAsia"/>
                      <w:color w:val="FF0000"/>
                      <w:highlight w:val="none"/>
                      <w:lang w:eastAsia="zh-CN"/>
                    </w:rPr>
                    <w:t>辅道</w:t>
                  </w:r>
                </w:p>
              </w:tc>
              <w:tc>
                <w:tcPr>
                  <w:tcW w:w="901"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CO</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0.178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0.065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0.235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0.097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0.331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0.137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continue"/>
                  <w:vAlign w:val="center"/>
                </w:tcPr>
                <w:p>
                  <w:pPr>
                    <w:pStyle w:val="32"/>
                    <w:bidi w:val="0"/>
                    <w:jc w:val="center"/>
                    <w:rPr>
                      <w:rFonts w:hint="eastAsia"/>
                      <w:color w:val="FF0000"/>
                      <w:highlight w:val="none"/>
                      <w:lang w:eastAsia="zh-CN"/>
                    </w:rPr>
                  </w:pPr>
                </w:p>
              </w:tc>
              <w:tc>
                <w:tcPr>
                  <w:tcW w:w="901"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THC</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0.060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0.022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0.080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0.033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0.113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3" w:type="dxa"/>
                  <w:vMerge w:val="continue"/>
                  <w:vAlign w:val="center"/>
                </w:tcPr>
                <w:p>
                  <w:pPr>
                    <w:pStyle w:val="32"/>
                    <w:bidi w:val="0"/>
                    <w:jc w:val="center"/>
                    <w:rPr>
                      <w:rFonts w:hint="eastAsia"/>
                      <w:color w:val="FF0000"/>
                      <w:highlight w:val="none"/>
                      <w:lang w:eastAsia="zh-CN"/>
                    </w:rPr>
                  </w:pPr>
                </w:p>
              </w:tc>
              <w:tc>
                <w:tcPr>
                  <w:tcW w:w="901" w:type="dxa"/>
                  <w:vAlign w:val="center"/>
                </w:tcPr>
                <w:p>
                  <w:pPr>
                    <w:pStyle w:val="32"/>
                    <w:bidi w:val="0"/>
                    <w:ind w:firstLine="0" w:firstLineChars="0"/>
                    <w:jc w:val="center"/>
                    <w:rPr>
                      <w:rFonts w:hint="eastAsia" w:ascii="Times New Roman" w:hAnsi="Times New Roman" w:eastAsia="宋体" w:cs="Times New Roman"/>
                      <w:color w:val="FF0000"/>
                      <w:kern w:val="0"/>
                      <w:sz w:val="20"/>
                      <w:szCs w:val="20"/>
                      <w:highlight w:val="none"/>
                      <w:lang w:val="en-US" w:eastAsia="zh-CN" w:bidi="ar-SA"/>
                    </w:rPr>
                  </w:pPr>
                  <w:r>
                    <w:rPr>
                      <w:rFonts w:hint="eastAsia"/>
                      <w:color w:val="FF0000"/>
                      <w:highlight w:val="none"/>
                      <w:lang w:val="en-US" w:eastAsia="zh-CN"/>
                    </w:rPr>
                    <w:t>NOx</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0.079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0.031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0.106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0.043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0.145 </w:t>
                  </w:r>
                </w:p>
              </w:tc>
              <w:tc>
                <w:tcPr>
                  <w:tcW w:w="1109" w:type="dxa"/>
                  <w:vAlign w:val="center"/>
                </w:tcPr>
                <w:p>
                  <w:pPr>
                    <w:pStyle w:val="32"/>
                    <w:bidi w:val="0"/>
                    <w:rPr>
                      <w:rFonts w:hint="eastAsia"/>
                      <w:color w:val="FF0000"/>
                      <w:highlight w:val="none"/>
                      <w:lang w:eastAsia="zh-CN"/>
                    </w:rPr>
                  </w:pPr>
                  <w:r>
                    <w:rPr>
                      <w:rFonts w:hint="eastAsia"/>
                      <w:color w:val="FF0000"/>
                      <w:highlight w:val="none"/>
                      <w:lang w:val="en-US" w:eastAsia="zh-CN"/>
                    </w:rPr>
                    <w:t xml:space="preserve">0.060 </w:t>
                  </w:r>
                </w:p>
              </w:tc>
            </w:tr>
          </w:tbl>
          <w:p>
            <w:pPr>
              <w:pStyle w:val="33"/>
              <w:bidi w:val="0"/>
              <w:rPr>
                <w:rFonts w:hint="eastAsia"/>
                <w:color w:val="FF0000"/>
                <w:highlight w:val="none"/>
                <w:lang w:eastAsia="zh-CN"/>
              </w:rPr>
            </w:pPr>
            <w:r>
              <w:rPr>
                <w:rFonts w:hint="eastAsia"/>
                <w:color w:val="FF0000"/>
                <w:highlight w:val="none"/>
                <w:lang w:val="en-US" w:eastAsia="zh-CN"/>
              </w:rPr>
              <w:t>运营期环境空气污染源主要是运营车辆排放的污染物。汽车尾气中主要污染物是CO、NOx、THC等，其污染源类型属分散、流动的线源，排放源高度低，污染物扩散范围小。因昼夜车流量的变化，一般白天的污染重于夜间，下风向一侧污染重于上风向一侧，静风天气重于有风天气。污染物排放量随燃油类型、车型、耗油量而变化，一般重型车大于中、轻型车，汽油车CO、THC排放量大。</w:t>
            </w:r>
          </w:p>
          <w:p>
            <w:pPr>
              <w:pStyle w:val="33"/>
              <w:bidi w:val="0"/>
              <w:rPr>
                <w:rFonts w:hint="eastAsia"/>
                <w:color w:val="FF0000"/>
                <w:highlight w:val="none"/>
                <w:lang w:val="en-US" w:eastAsia="zh-CN"/>
              </w:rPr>
            </w:pPr>
            <w:r>
              <w:rPr>
                <w:rFonts w:hint="eastAsia"/>
                <w:color w:val="FF0000"/>
                <w:highlight w:val="none"/>
                <w:lang w:val="en-US" w:eastAsia="zh-CN"/>
              </w:rPr>
              <w:t>本项目建成通车后，可以大大提高交叉口通行能力，缩短车辆怠速时长，有利于减少汽车尾气的排放量；同时根据预测分析结果，本项目各特征年大气污染物排放量相对较低，且道路周边设置绿化带，因此道路汽车尾气对沿线两侧环境空气的影响范围将会减小，汽车尾气对沿线空气质量带来的影响较小。</w:t>
            </w:r>
          </w:p>
          <w:p>
            <w:pPr>
              <w:pStyle w:val="33"/>
              <w:bidi w:val="0"/>
              <w:rPr>
                <w:b/>
                <w:bCs/>
                <w:color w:val="auto"/>
                <w:highlight w:val="none"/>
              </w:rPr>
            </w:pPr>
            <w:r>
              <w:rPr>
                <w:rFonts w:hint="eastAsia"/>
                <w:b/>
                <w:bCs/>
                <w:color w:val="auto"/>
                <w:highlight w:val="none"/>
                <w:lang w:val="en-US" w:eastAsia="zh-CN"/>
              </w:rPr>
              <w:t>4.2.2运营期水环境影响分析</w:t>
            </w:r>
          </w:p>
          <w:p>
            <w:pPr>
              <w:pStyle w:val="33"/>
              <w:bidi w:val="0"/>
              <w:rPr>
                <w:color w:val="auto"/>
                <w:highlight w:val="none"/>
              </w:rPr>
            </w:pPr>
            <w:r>
              <w:rPr>
                <w:rFonts w:hint="eastAsia"/>
                <w:color w:val="auto"/>
                <w:highlight w:val="none"/>
                <w:lang w:eastAsia="zh-CN"/>
              </w:rPr>
              <w:t>本</w:t>
            </w:r>
            <w:r>
              <w:rPr>
                <w:color w:val="auto"/>
                <w:highlight w:val="none"/>
              </w:rPr>
              <w:t>项目营运期间主要的水污染源为</w:t>
            </w:r>
            <w:r>
              <w:rPr>
                <w:rFonts w:hint="eastAsia"/>
                <w:color w:val="auto"/>
                <w:highlight w:val="none"/>
                <w:lang w:eastAsia="zh-CN"/>
              </w:rPr>
              <w:t>雨水</w:t>
            </w:r>
            <w:r>
              <w:rPr>
                <w:color w:val="auto"/>
                <w:highlight w:val="none"/>
              </w:rPr>
              <w:t>冲刷路面造成的路面径流。</w:t>
            </w:r>
          </w:p>
          <w:p>
            <w:pPr>
              <w:pStyle w:val="33"/>
              <w:bidi w:val="0"/>
              <w:rPr>
                <w:rFonts w:hint="eastAsia"/>
                <w:color w:val="auto"/>
                <w:highlight w:val="none"/>
              </w:rPr>
            </w:pPr>
            <w:r>
              <w:rPr>
                <w:rFonts w:hint="eastAsia"/>
                <w:color w:val="auto"/>
                <w:highlight w:val="none"/>
              </w:rPr>
              <w:t>营运过程中，各种类型车辆排放尾气中所携带的污染物在</w:t>
            </w:r>
            <w:r>
              <w:rPr>
                <w:rFonts w:hint="eastAsia"/>
                <w:color w:val="auto"/>
                <w:highlight w:val="none"/>
                <w:lang w:eastAsia="zh-CN"/>
              </w:rPr>
              <w:t>路面</w:t>
            </w:r>
            <w:r>
              <w:rPr>
                <w:rFonts w:hint="eastAsia"/>
                <w:color w:val="auto"/>
                <w:highlight w:val="none"/>
              </w:rPr>
              <w:t>沉积、汽车轮胎磨损的微粒、车架上粘带的泥土及车辆制动时散落的污染物等，都会随降雨产生的</w:t>
            </w:r>
            <w:r>
              <w:rPr>
                <w:rFonts w:hint="eastAsia"/>
                <w:color w:val="auto"/>
                <w:highlight w:val="none"/>
                <w:lang w:eastAsia="zh-CN"/>
              </w:rPr>
              <w:t>路面</w:t>
            </w:r>
            <w:r>
              <w:rPr>
                <w:rFonts w:hint="eastAsia"/>
                <w:color w:val="auto"/>
                <w:highlight w:val="none"/>
              </w:rPr>
              <w:t>径流进入排水系统并最终进入地表水体，污染物以悬浮物为主，可能对沿线水体产生一定的污染。</w:t>
            </w:r>
          </w:p>
          <w:p>
            <w:pPr>
              <w:pStyle w:val="33"/>
              <w:bidi w:val="0"/>
              <w:rPr>
                <w:rFonts w:hint="eastAsia"/>
                <w:color w:val="auto"/>
                <w:highlight w:val="none"/>
              </w:rPr>
            </w:pPr>
            <w:r>
              <w:rPr>
                <w:rFonts w:hint="eastAsia"/>
                <w:color w:val="auto"/>
                <w:highlight w:val="none"/>
              </w:rPr>
              <w:t>根据有关资料，</w:t>
            </w:r>
            <w:r>
              <w:rPr>
                <w:rFonts w:hint="eastAsia"/>
                <w:color w:val="auto"/>
                <w:highlight w:val="none"/>
                <w:lang w:eastAsia="zh-CN"/>
              </w:rPr>
              <w:t>路面</w:t>
            </w:r>
            <w:r>
              <w:rPr>
                <w:rFonts w:hint="eastAsia"/>
                <w:color w:val="auto"/>
                <w:highlight w:val="none"/>
              </w:rPr>
              <w:t>冲刷物的浓度集中在降水初期，15分钟内污染物浓度随降水时间增加而增大，随后逐渐减小。</w:t>
            </w:r>
          </w:p>
          <w:p>
            <w:pPr>
              <w:pStyle w:val="33"/>
              <w:bidi w:val="0"/>
              <w:rPr>
                <w:rFonts w:hint="eastAsia"/>
                <w:color w:val="auto"/>
                <w:highlight w:val="none"/>
              </w:rPr>
            </w:pPr>
            <w:r>
              <w:rPr>
                <w:rFonts w:hint="eastAsia"/>
                <w:color w:val="auto"/>
                <w:highlight w:val="none"/>
              </w:rPr>
              <w:t>运营期没有固定废水排放源。雨天路面径流汇入地表水体会对地表水有所影响</w:t>
            </w:r>
            <w:r>
              <w:rPr>
                <w:rFonts w:hint="eastAsia"/>
                <w:color w:val="auto"/>
                <w:highlight w:val="none"/>
                <w:lang w:eastAsia="zh-CN"/>
              </w:rPr>
              <w:t>，</w:t>
            </w:r>
            <w:r>
              <w:rPr>
                <w:rFonts w:hint="eastAsia"/>
                <w:color w:val="auto"/>
                <w:highlight w:val="none"/>
              </w:rPr>
              <w:t>路面径流中的污染物浓度与路面的清洁度有关，因此，</w:t>
            </w:r>
            <w:r>
              <w:rPr>
                <w:rFonts w:hint="eastAsia"/>
                <w:color w:val="auto"/>
                <w:highlight w:val="none"/>
                <w:lang w:val="en-US" w:eastAsia="zh-CN"/>
              </w:rPr>
              <w:t>日常加强路面清理，则雨天路面径流对地表水环境的影响很小。</w:t>
            </w:r>
          </w:p>
          <w:p>
            <w:pPr>
              <w:pStyle w:val="33"/>
              <w:bidi w:val="0"/>
              <w:rPr>
                <w:rFonts w:hint="eastAsia" w:eastAsia="宋体"/>
                <w:b/>
                <w:bCs/>
                <w:color w:val="auto"/>
                <w:highlight w:val="none"/>
                <w:lang w:eastAsia="zh-CN"/>
              </w:rPr>
            </w:pPr>
            <w:r>
              <w:rPr>
                <w:rFonts w:hint="eastAsia"/>
                <w:b/>
                <w:bCs/>
                <w:color w:val="auto"/>
                <w:highlight w:val="none"/>
                <w:lang w:val="en-US" w:eastAsia="zh-CN"/>
              </w:rPr>
              <w:t>4.2.3运营期</w:t>
            </w:r>
            <w:r>
              <w:rPr>
                <w:b/>
                <w:bCs/>
                <w:color w:val="auto"/>
                <w:highlight w:val="none"/>
              </w:rPr>
              <w:t>噪声</w:t>
            </w:r>
            <w:r>
              <w:rPr>
                <w:rFonts w:hint="eastAsia"/>
                <w:b/>
                <w:bCs/>
                <w:color w:val="auto"/>
                <w:highlight w:val="none"/>
                <w:lang w:eastAsia="zh-CN"/>
              </w:rPr>
              <w:t>影响分析</w:t>
            </w:r>
          </w:p>
          <w:p>
            <w:pPr>
              <w:pStyle w:val="33"/>
              <w:bidi w:val="0"/>
              <w:rPr>
                <w:color w:val="auto"/>
                <w:highlight w:val="none"/>
              </w:rPr>
            </w:pPr>
            <w:r>
              <w:rPr>
                <w:color w:val="auto"/>
                <w:highlight w:val="none"/>
              </w:rPr>
              <w:t>本工程营运期的噪声源主要为道路交通噪声。</w:t>
            </w:r>
          </w:p>
          <w:p>
            <w:pPr>
              <w:pStyle w:val="33"/>
              <w:bidi w:val="0"/>
              <w:rPr>
                <w:rFonts w:hint="eastAsia"/>
                <w:color w:val="auto"/>
                <w:highlight w:val="none"/>
                <w:lang w:eastAsia="zh-CN"/>
              </w:rPr>
            </w:pPr>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）评价等级</w:t>
            </w:r>
          </w:p>
          <w:p>
            <w:pPr>
              <w:pStyle w:val="33"/>
              <w:bidi w:val="0"/>
              <w:rPr>
                <w:rFonts w:hint="eastAsia"/>
                <w:color w:val="auto"/>
                <w:highlight w:val="none"/>
                <w:lang w:eastAsia="zh-CN"/>
              </w:rPr>
            </w:pPr>
            <w:r>
              <w:rPr>
                <w:rFonts w:hint="eastAsia"/>
                <w:color w:val="auto"/>
                <w:highlight w:val="none"/>
              </w:rPr>
              <w:t>根据《环境影响评价技术导则 声环境》（HJ2.4-2009），</w:t>
            </w:r>
            <w:r>
              <w:rPr>
                <w:rFonts w:hint="eastAsia"/>
                <w:color w:val="auto"/>
                <w:highlight w:val="none"/>
                <w:lang w:eastAsia="zh-CN"/>
              </w:rPr>
              <w:t>本项目位于海港经济开发区北部，项目所在地的声环境功能区为</w:t>
            </w:r>
            <w:r>
              <w:rPr>
                <w:rFonts w:hint="eastAsia"/>
                <w:color w:val="auto"/>
                <w:highlight w:val="none"/>
                <w:lang w:val="en-US" w:eastAsia="zh-CN"/>
              </w:rPr>
              <w:t>GB3096规定的2类、3类地区，且受影响人口数量不发生变化，</w:t>
            </w:r>
            <w:r>
              <w:rPr>
                <w:rFonts w:hint="eastAsia"/>
                <w:color w:val="auto"/>
                <w:highlight w:val="none"/>
              </w:rPr>
              <w:t>确定本项目声环境影响评价等级为</w:t>
            </w:r>
            <w:r>
              <w:rPr>
                <w:rFonts w:hint="eastAsia"/>
                <w:color w:val="auto"/>
                <w:highlight w:val="none"/>
                <w:lang w:eastAsia="zh-CN"/>
              </w:rPr>
              <w:t>二</w:t>
            </w:r>
            <w:r>
              <w:rPr>
                <w:rFonts w:hint="eastAsia"/>
                <w:color w:val="auto"/>
                <w:highlight w:val="none"/>
              </w:rPr>
              <w:t>级</w:t>
            </w:r>
            <w:r>
              <w:rPr>
                <w:rFonts w:hint="eastAsia"/>
                <w:color w:val="auto"/>
                <w:highlight w:val="none"/>
                <w:lang w:eastAsia="zh-CN"/>
              </w:rPr>
              <w:t>。</w:t>
            </w:r>
          </w:p>
          <w:p>
            <w:pPr>
              <w:pStyle w:val="33"/>
              <w:bidi w:val="0"/>
              <w:rPr>
                <w:rFonts w:hint="eastAsia"/>
                <w:color w:val="auto"/>
                <w:highlight w:val="none"/>
                <w:lang w:eastAsia="zh-CN"/>
              </w:rPr>
            </w:pPr>
            <w:r>
              <w:rPr>
                <w:rFonts w:hint="eastAsia"/>
                <w:color w:val="auto"/>
                <w:highlight w:val="none"/>
                <w:lang w:eastAsia="zh-CN"/>
              </w:rPr>
              <w:t>（</w:t>
            </w:r>
            <w:r>
              <w:rPr>
                <w:rFonts w:hint="eastAsia"/>
                <w:color w:val="auto"/>
                <w:highlight w:val="none"/>
                <w:lang w:val="en-US" w:eastAsia="zh-CN"/>
              </w:rPr>
              <w:t>2</w:t>
            </w:r>
            <w:r>
              <w:rPr>
                <w:rFonts w:hint="eastAsia"/>
                <w:color w:val="auto"/>
                <w:highlight w:val="none"/>
                <w:lang w:eastAsia="zh-CN"/>
              </w:rPr>
              <w:t>）评价范围</w:t>
            </w:r>
          </w:p>
          <w:p>
            <w:pPr>
              <w:pStyle w:val="33"/>
              <w:bidi w:val="0"/>
              <w:rPr>
                <w:rFonts w:hint="eastAsia"/>
                <w:color w:val="auto"/>
                <w:highlight w:val="none"/>
                <w:lang w:val="en-US" w:eastAsia="zh-CN"/>
              </w:rPr>
            </w:pPr>
            <w:r>
              <w:rPr>
                <w:rFonts w:hint="eastAsia"/>
                <w:color w:val="auto"/>
                <w:highlight w:val="none"/>
                <w:lang w:eastAsia="zh-CN"/>
              </w:rPr>
              <w:t>根据</w:t>
            </w:r>
            <w:r>
              <w:rPr>
                <w:rFonts w:hint="eastAsia"/>
                <w:color w:val="auto"/>
                <w:highlight w:val="none"/>
              </w:rPr>
              <w:t>《环境影响评价技术导则 声环境》（HJ2.4-2009）</w:t>
            </w:r>
            <w:r>
              <w:rPr>
                <w:rFonts w:hint="eastAsia"/>
                <w:color w:val="auto"/>
                <w:highlight w:val="none"/>
                <w:lang w:eastAsia="zh-CN"/>
              </w:rPr>
              <w:t>中“对于以移动声源为主的建设项目，二级、三级评价范围可根据建设项目所在地区和相邻区域的声环境功能区类别及声环境保护目标等实际情况适当缩小”，本项目不涉及声环境敏感目标，声环境功能区为</w:t>
            </w:r>
            <w:r>
              <w:rPr>
                <w:rFonts w:hint="eastAsia"/>
                <w:color w:val="auto"/>
                <w:highlight w:val="none"/>
                <w:lang w:val="en-US" w:eastAsia="zh-CN"/>
              </w:rPr>
              <w:t>2类、3类地区，因此确定本项目评价范围为道路中心线外两侧100m范围内。</w:t>
            </w:r>
          </w:p>
          <w:p>
            <w:pPr>
              <w:pStyle w:val="33"/>
              <w:bidi w:val="0"/>
              <w:rPr>
                <w:rFonts w:hint="eastAsia"/>
                <w:color w:val="auto"/>
                <w:highlight w:val="none"/>
                <w:lang w:val="en-US" w:eastAsia="zh-CN"/>
              </w:rPr>
            </w:pPr>
            <w:r>
              <w:rPr>
                <w:rFonts w:hint="eastAsia"/>
                <w:color w:val="auto"/>
                <w:highlight w:val="none"/>
                <w:lang w:val="en-US" w:eastAsia="zh-CN"/>
              </w:rPr>
              <w:t>（3）交通量预测</w:t>
            </w:r>
          </w:p>
          <w:p>
            <w:pPr>
              <w:pStyle w:val="33"/>
              <w:bidi w:val="0"/>
              <w:rPr>
                <w:rFonts w:hint="eastAsia"/>
                <w:color w:val="auto"/>
                <w:highlight w:val="none"/>
              </w:rPr>
            </w:pPr>
            <w:r>
              <w:rPr>
                <w:rFonts w:hint="eastAsia"/>
                <w:color w:val="auto"/>
                <w:highlight w:val="none"/>
              </w:rPr>
              <w:t>根据</w:t>
            </w:r>
            <w:r>
              <w:rPr>
                <w:rFonts w:hint="eastAsia"/>
                <w:color w:val="auto"/>
                <w:highlight w:val="none"/>
                <w:lang w:val="en-US" w:eastAsia="zh-CN"/>
              </w:rPr>
              <w:t>乐港路跨沿海公路立交桥项目可行性研究报告及</w:t>
            </w:r>
            <w:r>
              <w:rPr>
                <w:rFonts w:hint="eastAsia"/>
                <w:color w:val="auto"/>
                <w:highlight w:val="none"/>
              </w:rPr>
              <w:t>初步设计说明书，</w:t>
            </w:r>
            <w:r>
              <w:rPr>
                <w:rFonts w:hint="eastAsia"/>
                <w:color w:val="auto"/>
                <w:highlight w:val="none"/>
                <w:lang w:eastAsia="zh-CN"/>
              </w:rPr>
              <w:t>本项目</w:t>
            </w:r>
            <w:r>
              <w:rPr>
                <w:rFonts w:hint="eastAsia"/>
                <w:color w:val="auto"/>
                <w:highlight w:val="none"/>
              </w:rPr>
              <w:t>交通量采用“四阶段法”预测，采用随机用户平衡法分配交通量。交通分布预测时将考虑诱增因素的影响，由于本项目若干方案的小区节点相同，交通量路网分配时将不考虑不同路线方案对分配结果的影响。</w:t>
            </w:r>
          </w:p>
          <w:p>
            <w:pPr>
              <w:pStyle w:val="33"/>
              <w:bidi w:val="0"/>
              <w:rPr>
                <w:rFonts w:hint="eastAsia"/>
                <w:color w:val="auto"/>
                <w:highlight w:val="none"/>
                <w:lang w:eastAsia="zh-CN"/>
              </w:rPr>
            </w:pPr>
            <w:r>
              <w:rPr>
                <w:rFonts w:hint="eastAsia"/>
                <w:color w:val="auto"/>
                <w:highlight w:val="none"/>
                <w:lang w:eastAsia="zh-CN"/>
              </w:rPr>
              <w:t>本次预测评价的立交桥为一级公路标准，计划</w:t>
            </w:r>
            <w:r>
              <w:rPr>
                <w:rFonts w:hint="eastAsia"/>
                <w:color w:val="auto"/>
                <w:highlight w:val="none"/>
                <w:lang w:val="en-US" w:eastAsia="zh-CN"/>
              </w:rPr>
              <w:t>2024</w:t>
            </w:r>
            <w:r>
              <w:rPr>
                <w:rFonts w:hint="eastAsia"/>
                <w:color w:val="auto"/>
                <w:highlight w:val="none"/>
                <w:lang w:eastAsia="zh-CN"/>
              </w:rPr>
              <w:t>年</w:t>
            </w:r>
            <w:r>
              <w:rPr>
                <w:rFonts w:hint="eastAsia"/>
                <w:color w:val="auto"/>
                <w:highlight w:val="none"/>
                <w:lang w:val="en-US" w:eastAsia="zh-CN"/>
              </w:rPr>
              <w:t>11月完成</w:t>
            </w:r>
            <w:r>
              <w:rPr>
                <w:rFonts w:hint="eastAsia"/>
                <w:color w:val="auto"/>
                <w:highlight w:val="none"/>
                <w:lang w:eastAsia="zh-CN"/>
              </w:rPr>
              <w:t>，因此项目预测起始年选为202</w:t>
            </w:r>
            <w:r>
              <w:rPr>
                <w:rFonts w:hint="eastAsia"/>
                <w:color w:val="auto"/>
                <w:highlight w:val="none"/>
                <w:lang w:val="en-US" w:eastAsia="zh-CN"/>
              </w:rPr>
              <w:t>5</w:t>
            </w:r>
            <w:r>
              <w:rPr>
                <w:rFonts w:hint="eastAsia"/>
                <w:color w:val="auto"/>
                <w:highlight w:val="none"/>
                <w:lang w:eastAsia="zh-CN"/>
              </w:rPr>
              <w:t>年，远景年取</w:t>
            </w:r>
            <w:r>
              <w:rPr>
                <w:rFonts w:hint="eastAsia"/>
                <w:color w:val="auto"/>
                <w:highlight w:val="none"/>
                <w:lang w:val="en-US" w:eastAsia="zh-CN"/>
              </w:rPr>
              <w:t>2044</w:t>
            </w:r>
            <w:r>
              <w:rPr>
                <w:rFonts w:hint="eastAsia"/>
                <w:color w:val="auto"/>
                <w:highlight w:val="none"/>
                <w:lang w:eastAsia="zh-CN"/>
              </w:rPr>
              <w:t>年，预测基准年取202</w:t>
            </w:r>
            <w:r>
              <w:rPr>
                <w:rFonts w:hint="eastAsia"/>
                <w:color w:val="auto"/>
                <w:highlight w:val="none"/>
                <w:lang w:val="en-US" w:eastAsia="zh-CN"/>
              </w:rPr>
              <w:t>5</w:t>
            </w:r>
            <w:r>
              <w:rPr>
                <w:rFonts w:hint="eastAsia"/>
                <w:color w:val="auto"/>
                <w:highlight w:val="none"/>
                <w:lang w:eastAsia="zh-CN"/>
              </w:rPr>
              <w:t>年、20</w:t>
            </w:r>
            <w:r>
              <w:rPr>
                <w:rFonts w:hint="eastAsia"/>
                <w:color w:val="auto"/>
                <w:highlight w:val="none"/>
                <w:lang w:val="en-US" w:eastAsia="zh-CN"/>
              </w:rPr>
              <w:t>35</w:t>
            </w:r>
            <w:r>
              <w:rPr>
                <w:rFonts w:hint="eastAsia"/>
                <w:color w:val="auto"/>
                <w:highlight w:val="none"/>
                <w:lang w:eastAsia="zh-CN"/>
              </w:rPr>
              <w:t>年、20</w:t>
            </w:r>
            <w:r>
              <w:rPr>
                <w:rFonts w:hint="eastAsia"/>
                <w:color w:val="auto"/>
                <w:highlight w:val="none"/>
                <w:lang w:val="en-US" w:eastAsia="zh-CN"/>
              </w:rPr>
              <w:t>44</w:t>
            </w:r>
            <w:r>
              <w:rPr>
                <w:rFonts w:hint="eastAsia"/>
                <w:color w:val="auto"/>
                <w:highlight w:val="none"/>
                <w:lang w:eastAsia="zh-CN"/>
              </w:rPr>
              <w:t>年作为预测水平年，分别代表项目建成运行后的近期、中期和远期。</w:t>
            </w:r>
          </w:p>
          <w:p>
            <w:pPr>
              <w:pStyle w:val="33"/>
              <w:bidi w:val="0"/>
              <w:rPr>
                <w:rFonts w:hint="eastAsia"/>
                <w:color w:val="auto"/>
                <w:highlight w:val="none"/>
                <w:lang w:val="en-US" w:eastAsia="zh-CN"/>
              </w:rPr>
            </w:pPr>
            <w:r>
              <w:rPr>
                <w:rFonts w:hint="eastAsia"/>
                <w:color w:val="auto"/>
                <w:highlight w:val="none"/>
                <w:lang w:val="en-US" w:eastAsia="zh-CN"/>
              </w:rPr>
              <w:t>通过对拟建项目所在路网的详细研究，根据交通量调查资料，经分析、整理，在此基础上根据确定的未来发展趋势，全段特征年交通量预测结果见下表。</w:t>
            </w:r>
          </w:p>
          <w:p>
            <w:pPr>
              <w:pStyle w:val="36"/>
              <w:numPr>
                <w:ilvl w:val="0"/>
                <w:numId w:val="12"/>
              </w:numPr>
              <w:bidi w:val="0"/>
              <w:ind w:left="0" w:leftChars="0" w:firstLine="0" w:firstLineChars="0"/>
              <w:jc w:val="right"/>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 xml:space="preserve">特征年交通量预测结果         </w:t>
            </w:r>
            <w:r>
              <w:rPr>
                <w:rFonts w:hint="eastAsia" w:cs="Times New Roman"/>
                <w:color w:val="auto"/>
                <w:highlight w:val="none"/>
                <w:lang w:val="en-US" w:eastAsia="zh-CN"/>
              </w:rPr>
              <w:t xml:space="preserve">   </w:t>
            </w:r>
            <w:r>
              <w:rPr>
                <w:rFonts w:hint="eastAsia" w:ascii="Times New Roman" w:hAnsi="Times New Roman" w:eastAsia="宋体" w:cs="Times New Roman"/>
                <w:color w:val="auto"/>
                <w:highlight w:val="none"/>
                <w:lang w:val="en-US" w:eastAsia="zh-CN"/>
              </w:rPr>
              <w:t xml:space="preserve">    单位：pcu/d</w:t>
            </w:r>
          </w:p>
          <w:tbl>
            <w:tblPr>
              <w:tblStyle w:val="23"/>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84"/>
              <w:gridCol w:w="2787"/>
              <w:gridCol w:w="27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6"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年份</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G509主线</w:t>
                  </w:r>
                </w:p>
              </w:tc>
              <w:tc>
                <w:tcPr>
                  <w:tcW w:w="1666" w:type="pct"/>
                  <w:noWrap w:val="0"/>
                  <w:vAlign w:val="center"/>
                </w:tcPr>
                <w:p>
                  <w:pPr>
                    <w:pStyle w:val="32"/>
                    <w:bidi w:val="0"/>
                    <w:jc w:val="center"/>
                    <w:rPr>
                      <w:rFonts w:hint="eastAsia" w:eastAsia="宋体"/>
                      <w:color w:val="auto"/>
                      <w:highlight w:val="none"/>
                      <w:lang w:eastAsia="zh-CN"/>
                    </w:rPr>
                  </w:pPr>
                  <w:r>
                    <w:rPr>
                      <w:rFonts w:hint="eastAsia"/>
                      <w:color w:val="auto"/>
                      <w:highlight w:val="none"/>
                      <w:lang w:eastAsia="zh-CN"/>
                    </w:rPr>
                    <w:t>辅道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6"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2025（近期）</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13665</w:t>
                  </w:r>
                </w:p>
              </w:tc>
              <w:tc>
                <w:tcPr>
                  <w:tcW w:w="1666"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2716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6"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2035（中期）</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20325</w:t>
                  </w:r>
                </w:p>
              </w:tc>
              <w:tc>
                <w:tcPr>
                  <w:tcW w:w="1666"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3633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66"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2044（远期）</w:t>
                  </w:r>
                </w:p>
              </w:tc>
              <w:tc>
                <w:tcPr>
                  <w:tcW w:w="1667"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24685</w:t>
                  </w:r>
                </w:p>
              </w:tc>
              <w:tc>
                <w:tcPr>
                  <w:tcW w:w="1666" w:type="pct"/>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4854</w:t>
                  </w:r>
                </w:p>
              </w:tc>
            </w:tr>
          </w:tbl>
          <w:p>
            <w:pPr>
              <w:pStyle w:val="33"/>
              <w:bidi w:val="0"/>
              <w:rPr>
                <w:rFonts w:hint="eastAsia" w:eastAsia="宋体"/>
                <w:color w:val="auto"/>
                <w:highlight w:val="none"/>
                <w:lang w:eastAsia="zh-CN"/>
              </w:rPr>
            </w:pPr>
            <w:r>
              <w:rPr>
                <w:rFonts w:hint="eastAsia"/>
                <w:color w:val="auto"/>
                <w:highlight w:val="none"/>
              </w:rPr>
              <w:t>根据工程初步设计资料可知，本项目设计年限内各种车型的比例如下表</w:t>
            </w:r>
            <w:r>
              <w:rPr>
                <w:rFonts w:hint="eastAsia"/>
                <w:color w:val="auto"/>
                <w:highlight w:val="none"/>
                <w:lang w:eastAsia="zh-CN"/>
              </w:rPr>
              <w:t>。</w:t>
            </w:r>
          </w:p>
          <w:p>
            <w:pPr>
              <w:pStyle w:val="36"/>
              <w:numPr>
                <w:ilvl w:val="0"/>
                <w:numId w:val="12"/>
              </w:numPr>
              <w:bidi w:val="0"/>
              <w:ind w:left="0" w:leftChars="0" w:firstLine="0" w:firstLineChars="0"/>
              <w:jc w:val="center"/>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本项目车型比例预测结果表</w:t>
            </w:r>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347"/>
              <w:gridCol w:w="882"/>
              <w:gridCol w:w="882"/>
              <w:gridCol w:w="882"/>
              <w:gridCol w:w="882"/>
              <w:gridCol w:w="882"/>
              <w:gridCol w:w="882"/>
              <w:gridCol w:w="882"/>
              <w:gridCol w:w="8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347" w:type="dxa"/>
                  <w:noWrap w:val="0"/>
                  <w:vAlign w:val="center"/>
                </w:tcPr>
                <w:p>
                  <w:pPr>
                    <w:pStyle w:val="32"/>
                    <w:bidi w:val="0"/>
                    <w:jc w:val="center"/>
                    <w:rPr>
                      <w:rFonts w:hint="eastAsia" w:eastAsia="宋体"/>
                      <w:color w:val="auto"/>
                      <w:highlight w:val="none"/>
                      <w:lang w:eastAsia="zh-CN"/>
                    </w:rPr>
                  </w:pPr>
                  <w:r>
                    <w:rPr>
                      <w:rFonts w:hint="eastAsia" w:eastAsia="宋体"/>
                      <w:color w:val="auto"/>
                      <w:highlight w:val="none"/>
                      <w:lang w:eastAsia="zh-CN"/>
                    </w:rPr>
                    <w:t>车型种类</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小客</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大客</w:t>
                  </w:r>
                </w:p>
              </w:tc>
              <w:tc>
                <w:tcPr>
                  <w:tcW w:w="882" w:type="dxa"/>
                  <w:noWrap w:val="0"/>
                  <w:vAlign w:val="center"/>
                </w:tcPr>
                <w:p>
                  <w:pPr>
                    <w:pStyle w:val="32"/>
                    <w:bidi w:val="0"/>
                    <w:jc w:val="center"/>
                    <w:rPr>
                      <w:rFonts w:hint="eastAsia" w:eastAsia="宋体"/>
                      <w:color w:val="auto"/>
                      <w:highlight w:val="none"/>
                      <w:lang w:eastAsia="zh-CN"/>
                    </w:rPr>
                  </w:pPr>
                  <w:r>
                    <w:rPr>
                      <w:rFonts w:hint="eastAsia" w:eastAsia="宋体"/>
                      <w:color w:val="auto"/>
                      <w:highlight w:val="none"/>
                      <w:lang w:eastAsia="zh-CN"/>
                    </w:rPr>
                    <w:t>小货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中货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大货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特大</w:t>
                  </w:r>
                </w:p>
              </w:tc>
              <w:tc>
                <w:tcPr>
                  <w:tcW w:w="882"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拖挂</w:t>
                  </w:r>
                </w:p>
              </w:tc>
              <w:tc>
                <w:tcPr>
                  <w:tcW w:w="885" w:type="dxa"/>
                  <w:noWrap w:val="0"/>
                  <w:vAlign w:val="center"/>
                </w:tcPr>
                <w:p>
                  <w:pPr>
                    <w:pStyle w:val="32"/>
                    <w:bidi w:val="0"/>
                    <w:jc w:val="center"/>
                    <w:rPr>
                      <w:rFonts w:hint="eastAsia"/>
                      <w:color w:val="auto"/>
                      <w:highlight w:val="none"/>
                      <w:lang w:eastAsia="zh-CN"/>
                    </w:rPr>
                  </w:pPr>
                  <w:r>
                    <w:rPr>
                      <w:rFonts w:hint="eastAsia"/>
                      <w:color w:val="auto"/>
                      <w:highlight w:val="none"/>
                      <w:lang w:eastAsia="zh-CN"/>
                    </w:rPr>
                    <w:t>集装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trPr>
              <w:tc>
                <w:tcPr>
                  <w:tcW w:w="1347"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车型比例（%）</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13.4</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8.4</w:t>
                  </w:r>
                </w:p>
              </w:tc>
              <w:tc>
                <w:tcPr>
                  <w:tcW w:w="882" w:type="dxa"/>
                  <w:noWrap w:val="0"/>
                  <w:vAlign w:val="center"/>
                </w:tcPr>
                <w:p>
                  <w:pPr>
                    <w:pStyle w:val="32"/>
                    <w:bidi w:val="0"/>
                    <w:jc w:val="center"/>
                    <w:rPr>
                      <w:rFonts w:hint="default" w:eastAsia="宋体"/>
                      <w:color w:val="auto"/>
                      <w:highlight w:val="none"/>
                      <w:lang w:val="en-US" w:eastAsia="zh-CN"/>
                    </w:rPr>
                  </w:pPr>
                  <w:r>
                    <w:rPr>
                      <w:rFonts w:hint="eastAsia" w:eastAsia="宋体"/>
                      <w:color w:val="auto"/>
                      <w:highlight w:val="none"/>
                      <w:lang w:val="en-US" w:eastAsia="zh-CN"/>
                    </w:rPr>
                    <w:t>7.7</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4.8</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14.6</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18.4</w:t>
                  </w:r>
                </w:p>
              </w:tc>
              <w:tc>
                <w:tcPr>
                  <w:tcW w:w="882"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29.1</w:t>
                  </w:r>
                </w:p>
              </w:tc>
              <w:tc>
                <w:tcPr>
                  <w:tcW w:w="885" w:type="dxa"/>
                  <w:noWrap w:val="0"/>
                  <w:vAlign w:val="center"/>
                </w:tcPr>
                <w:p>
                  <w:pPr>
                    <w:pStyle w:val="32"/>
                    <w:bidi w:val="0"/>
                    <w:jc w:val="center"/>
                    <w:rPr>
                      <w:rFonts w:hint="default"/>
                      <w:color w:val="auto"/>
                      <w:highlight w:val="none"/>
                      <w:lang w:val="en-US" w:eastAsia="zh-CN"/>
                    </w:rPr>
                  </w:pPr>
                  <w:r>
                    <w:rPr>
                      <w:rFonts w:hint="eastAsia"/>
                      <w:color w:val="auto"/>
                      <w:highlight w:val="none"/>
                      <w:lang w:val="en-US" w:eastAsia="zh-CN"/>
                    </w:rPr>
                    <w:t>3.6</w:t>
                  </w:r>
                </w:p>
              </w:tc>
            </w:tr>
          </w:tbl>
          <w:p>
            <w:pPr>
              <w:pStyle w:val="33"/>
              <w:bidi w:val="0"/>
              <w:rPr>
                <w:rFonts w:hint="eastAsia"/>
                <w:color w:val="auto"/>
                <w:highlight w:val="none"/>
              </w:rPr>
            </w:pPr>
            <w:r>
              <w:rPr>
                <w:rFonts w:hint="eastAsia"/>
                <w:color w:val="auto"/>
                <w:highlight w:val="none"/>
                <w:lang w:eastAsia="zh-CN"/>
              </w:rPr>
              <w:t>根据《环境影响评价技术导则</w:t>
            </w:r>
            <w:r>
              <w:rPr>
                <w:rFonts w:hint="eastAsia"/>
                <w:color w:val="auto"/>
                <w:highlight w:val="none"/>
                <w:lang w:val="en-US" w:eastAsia="zh-CN"/>
              </w:rPr>
              <w:t xml:space="preserve"> 声环境</w:t>
            </w:r>
            <w:r>
              <w:rPr>
                <w:rFonts w:hint="eastAsia"/>
                <w:color w:val="auto"/>
                <w:highlight w:val="none"/>
                <w:lang w:eastAsia="zh-CN"/>
              </w:rPr>
              <w:t>》（</w:t>
            </w:r>
            <w:r>
              <w:rPr>
                <w:rFonts w:hint="eastAsia"/>
                <w:color w:val="auto"/>
                <w:highlight w:val="none"/>
                <w:lang w:val="en-US" w:eastAsia="zh-CN"/>
              </w:rPr>
              <w:t>HJ2.4-2021</w:t>
            </w:r>
            <w:r>
              <w:rPr>
                <w:rFonts w:hint="eastAsia"/>
                <w:color w:val="auto"/>
                <w:highlight w:val="none"/>
                <w:lang w:eastAsia="zh-CN"/>
              </w:rPr>
              <w:t>）附录</w:t>
            </w:r>
            <w:r>
              <w:rPr>
                <w:rFonts w:hint="eastAsia"/>
                <w:color w:val="auto"/>
                <w:highlight w:val="none"/>
                <w:lang w:val="en-US" w:eastAsia="zh-CN"/>
              </w:rPr>
              <w:t>B中表B.1车型分类表，</w:t>
            </w:r>
            <w:r>
              <w:rPr>
                <w:rFonts w:hint="eastAsia"/>
                <w:color w:val="auto"/>
                <w:highlight w:val="none"/>
              </w:rPr>
              <w:t>小型车：座位≤19座位的客车和载质量≤2t的货车；中型车：座位＞19座位的客车和2t＜载质量≤7t的货车，大型车：7t＜载质量≤20t的货车。</w:t>
            </w:r>
          </w:p>
          <w:p>
            <w:pPr>
              <w:pStyle w:val="33"/>
              <w:bidi w:val="0"/>
              <w:rPr>
                <w:rFonts w:hint="eastAsia"/>
                <w:color w:val="auto"/>
                <w:highlight w:val="none"/>
                <w:lang w:eastAsia="zh-CN"/>
              </w:rPr>
            </w:pPr>
            <w:r>
              <w:rPr>
                <w:rFonts w:hint="eastAsia"/>
                <w:color w:val="auto"/>
                <w:highlight w:val="none"/>
              </w:rPr>
              <w:t>本项目</w:t>
            </w:r>
            <w:r>
              <w:rPr>
                <w:rFonts w:hint="eastAsia"/>
                <w:color w:val="auto"/>
                <w:highlight w:val="none"/>
                <w:lang w:eastAsia="zh-CN"/>
              </w:rPr>
              <w:t>将小客、小货</w:t>
            </w:r>
            <w:r>
              <w:rPr>
                <w:rFonts w:hint="eastAsia"/>
                <w:color w:val="auto"/>
                <w:highlight w:val="none"/>
              </w:rPr>
              <w:t>按小型车计算，将</w:t>
            </w:r>
            <w:r>
              <w:rPr>
                <w:rFonts w:hint="eastAsia"/>
                <w:color w:val="auto"/>
                <w:highlight w:val="none"/>
                <w:lang w:eastAsia="zh-CN"/>
              </w:rPr>
              <w:t>大客、中货</w:t>
            </w:r>
            <w:r>
              <w:rPr>
                <w:rFonts w:hint="eastAsia"/>
                <w:color w:val="auto"/>
                <w:highlight w:val="none"/>
              </w:rPr>
              <w:t>按中型车计算，大货</w:t>
            </w:r>
            <w:r>
              <w:rPr>
                <w:rFonts w:hint="eastAsia"/>
                <w:color w:val="auto"/>
                <w:highlight w:val="none"/>
                <w:lang w:eastAsia="zh-CN"/>
              </w:rPr>
              <w:t>、</w:t>
            </w:r>
            <w:r>
              <w:rPr>
                <w:rFonts w:hint="eastAsia"/>
                <w:color w:val="auto"/>
                <w:highlight w:val="none"/>
              </w:rPr>
              <w:t>特大</w:t>
            </w:r>
            <w:r>
              <w:rPr>
                <w:rFonts w:hint="eastAsia"/>
                <w:color w:val="auto"/>
                <w:highlight w:val="none"/>
                <w:lang w:eastAsia="zh-CN"/>
              </w:rPr>
              <w:t>、</w:t>
            </w:r>
            <w:r>
              <w:rPr>
                <w:rFonts w:hint="eastAsia"/>
                <w:color w:val="auto"/>
                <w:highlight w:val="none"/>
              </w:rPr>
              <w:t>拖挂</w:t>
            </w:r>
            <w:r>
              <w:rPr>
                <w:rFonts w:hint="eastAsia"/>
                <w:color w:val="auto"/>
                <w:highlight w:val="none"/>
                <w:lang w:eastAsia="zh-CN"/>
              </w:rPr>
              <w:t>、</w:t>
            </w:r>
            <w:r>
              <w:rPr>
                <w:rFonts w:hint="eastAsia"/>
                <w:color w:val="auto"/>
                <w:highlight w:val="none"/>
              </w:rPr>
              <w:t>集装按大型车计算，昼间（早6:00~晚22:00）和夜间（晚22:00~次日6:00）比例分别按</w:t>
            </w:r>
            <w:r>
              <w:rPr>
                <w:rFonts w:hint="eastAsia"/>
                <w:color w:val="auto"/>
                <w:highlight w:val="none"/>
                <w:lang w:val="en-US" w:eastAsia="zh-CN"/>
              </w:rPr>
              <w:t>70</w:t>
            </w:r>
            <w:r>
              <w:rPr>
                <w:rFonts w:hint="eastAsia"/>
                <w:color w:val="auto"/>
                <w:highlight w:val="none"/>
              </w:rPr>
              <w:t>%、</w:t>
            </w:r>
            <w:r>
              <w:rPr>
                <w:rFonts w:hint="eastAsia"/>
                <w:color w:val="auto"/>
                <w:highlight w:val="none"/>
                <w:lang w:val="en-US" w:eastAsia="zh-CN"/>
              </w:rPr>
              <w:t>30</w:t>
            </w:r>
            <w:r>
              <w:rPr>
                <w:rFonts w:hint="eastAsia"/>
                <w:color w:val="auto"/>
                <w:highlight w:val="none"/>
              </w:rPr>
              <w:t>%计算，最终按车型分的车流量如下表</w:t>
            </w:r>
            <w:r>
              <w:rPr>
                <w:rFonts w:hint="eastAsia"/>
                <w:color w:val="auto"/>
                <w:highlight w:val="none"/>
                <w:lang w:eastAsia="zh-CN"/>
              </w:rPr>
              <w:t>。</w:t>
            </w:r>
          </w:p>
          <w:p>
            <w:pPr>
              <w:pStyle w:val="36"/>
              <w:numPr>
                <w:ilvl w:val="0"/>
                <w:numId w:val="12"/>
              </w:numPr>
              <w:bidi w:val="0"/>
              <w:ind w:left="0" w:leftChars="0" w:firstLine="0" w:firstLineChars="0"/>
              <w:jc w:val="right"/>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 xml:space="preserve">特征年交通量预测结果       </w:t>
            </w:r>
            <w:r>
              <w:rPr>
                <w:rFonts w:hint="eastAsia" w:cs="Times New Roman"/>
                <w:color w:val="auto"/>
                <w:highlight w:val="none"/>
                <w:lang w:val="en-US" w:eastAsia="zh-CN"/>
              </w:rPr>
              <w:t xml:space="preserve">  </w:t>
            </w:r>
            <w:r>
              <w:rPr>
                <w:rFonts w:hint="eastAsia" w:ascii="Times New Roman" w:hAnsi="Times New Roman" w:eastAsia="宋体" w:cs="Times New Roman"/>
                <w:color w:val="auto"/>
                <w:highlight w:val="none"/>
                <w:lang w:val="en-US" w:eastAsia="zh-CN"/>
              </w:rPr>
              <w:t xml:space="preserve">      单位：</w:t>
            </w:r>
            <w:r>
              <w:rPr>
                <w:rFonts w:hint="eastAsia" w:cs="Times New Roman"/>
                <w:color w:val="auto"/>
                <w:highlight w:val="none"/>
                <w:lang w:val="en-US" w:eastAsia="zh-CN"/>
              </w:rPr>
              <w:t>辆</w:t>
            </w:r>
            <w:r>
              <w:rPr>
                <w:rFonts w:hint="eastAsia" w:ascii="Times New Roman" w:hAnsi="Times New Roman" w:eastAsia="宋体" w:cs="Times New Roman"/>
                <w:color w:val="auto"/>
                <w:highlight w:val="none"/>
                <w:lang w:val="en-US" w:eastAsia="zh-CN"/>
              </w:rPr>
              <w:t>/</w:t>
            </w:r>
            <w:r>
              <w:rPr>
                <w:rFonts w:hint="eastAsia" w:cs="Times New Roman"/>
                <w:color w:val="auto"/>
                <w:highlight w:val="none"/>
                <w:lang w:val="en-US" w:eastAsia="zh-CN"/>
              </w:rPr>
              <w:t>h</w:t>
            </w:r>
          </w:p>
          <w:tbl>
            <w:tblPr>
              <w:tblStyle w:val="22"/>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424"/>
              <w:gridCol w:w="1354"/>
              <w:gridCol w:w="1426"/>
              <w:gridCol w:w="1300"/>
              <w:gridCol w:w="1426"/>
              <w:gridCol w:w="143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年份</w:t>
                  </w:r>
                </w:p>
              </w:tc>
              <w:tc>
                <w:tcPr>
                  <w:tcW w:w="80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车型</w:t>
                  </w:r>
                </w:p>
              </w:tc>
              <w:tc>
                <w:tcPr>
                  <w:tcW w:w="1629"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G509</w:t>
                  </w:r>
                  <w:r>
                    <w:rPr>
                      <w:rFonts w:hint="eastAsia"/>
                      <w:color w:val="auto"/>
                      <w:highlight w:val="none"/>
                      <w:lang w:val="en-US" w:eastAsia="zh-CN"/>
                    </w:rPr>
                    <w:t>主线</w:t>
                  </w:r>
                </w:p>
              </w:tc>
              <w:tc>
                <w:tcPr>
                  <w:tcW w:w="1709"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辅道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p>
              </w:tc>
              <w:tc>
                <w:tcPr>
                  <w:tcW w:w="8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lang w:val="en-US" w:eastAsia="zh-CN"/>
                    </w:rPr>
                  </w:pPr>
                  <w:r>
                    <w:rPr>
                      <w:rFonts w:hint="default"/>
                      <w:color w:val="auto"/>
                      <w:highlight w:val="none"/>
                      <w:lang w:val="en-US" w:eastAsia="zh-CN"/>
                    </w:rPr>
                    <w:t>2025</w:t>
                  </w:r>
                </w:p>
                <w:p>
                  <w:pPr>
                    <w:pStyle w:val="32"/>
                    <w:bidi w:val="0"/>
                    <w:rPr>
                      <w:rFonts w:hint="default"/>
                      <w:color w:val="auto"/>
                      <w:highlight w:val="none"/>
                    </w:rPr>
                  </w:pPr>
                  <w:r>
                    <w:rPr>
                      <w:rFonts w:hint="eastAsia"/>
                      <w:color w:val="auto"/>
                      <w:highlight w:val="none"/>
                      <w:lang w:val="en-US" w:eastAsia="zh-CN"/>
                    </w:rPr>
                    <w:t>（近期）</w:t>
                  </w: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小</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84</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36</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16</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中</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35</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15</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6</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大</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104</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44</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20</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lang w:val="en-US" w:eastAsia="zh-CN"/>
                    </w:rPr>
                  </w:pPr>
                  <w:r>
                    <w:rPr>
                      <w:rFonts w:hint="default"/>
                      <w:color w:val="auto"/>
                      <w:highlight w:val="none"/>
                      <w:lang w:val="en-US" w:eastAsia="zh-CN"/>
                    </w:rPr>
                    <w:t>2035</w:t>
                  </w:r>
                </w:p>
                <w:p>
                  <w:pPr>
                    <w:pStyle w:val="32"/>
                    <w:bidi w:val="0"/>
                    <w:rPr>
                      <w:rFonts w:hint="default"/>
                      <w:color w:val="auto"/>
                      <w:highlight w:val="none"/>
                    </w:rPr>
                  </w:pPr>
                  <w:r>
                    <w:rPr>
                      <w:rFonts w:hint="eastAsia"/>
                      <w:color w:val="auto"/>
                      <w:highlight w:val="none"/>
                      <w:lang w:val="en-US" w:eastAsia="zh-CN"/>
                    </w:rPr>
                    <w:t>（中期）</w:t>
                  </w: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小</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124</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53</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21</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中</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51</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22</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8</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大</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155</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66</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27</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lang w:val="en-US" w:eastAsia="zh-CN"/>
                    </w:rPr>
                  </w:pPr>
                  <w:r>
                    <w:rPr>
                      <w:rFonts w:hint="default"/>
                      <w:color w:val="auto"/>
                      <w:highlight w:val="none"/>
                      <w:lang w:val="en-US" w:eastAsia="zh-CN"/>
                    </w:rPr>
                    <w:t>2044</w:t>
                  </w:r>
                </w:p>
                <w:p>
                  <w:pPr>
                    <w:pStyle w:val="32"/>
                    <w:bidi w:val="0"/>
                    <w:rPr>
                      <w:rFonts w:hint="default"/>
                      <w:color w:val="auto"/>
                      <w:highlight w:val="none"/>
                    </w:rPr>
                  </w:pPr>
                  <w:r>
                    <w:rPr>
                      <w:rFonts w:hint="eastAsia"/>
                      <w:color w:val="auto"/>
                      <w:highlight w:val="none"/>
                      <w:lang w:val="en-US" w:eastAsia="zh-CN"/>
                    </w:rPr>
                    <w:t>（远期）</w:t>
                  </w: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小</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151</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65</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29</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中</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63</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27</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12</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p>
              </w:tc>
              <w:tc>
                <w:tcPr>
                  <w:tcW w:w="80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大</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189</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81</w:t>
                  </w:r>
                </w:p>
              </w:tc>
              <w:tc>
                <w:tcPr>
                  <w:tcW w:w="85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36</w:t>
                  </w:r>
                </w:p>
              </w:tc>
              <w:tc>
                <w:tcPr>
                  <w:tcW w:w="85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default"/>
                      <w:color w:val="auto"/>
                      <w:highlight w:val="none"/>
                      <w:lang w:val="en-US" w:eastAsia="zh-CN"/>
                    </w:rPr>
                    <w:t>15</w:t>
                  </w:r>
                </w:p>
              </w:tc>
            </w:tr>
          </w:tbl>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4</w:t>
            </w:r>
            <w:r>
              <w:rPr>
                <w:rFonts w:hint="eastAsia"/>
                <w:color w:val="auto"/>
                <w:highlight w:val="none"/>
                <w:lang w:eastAsia="zh-CN"/>
              </w:rPr>
              <w:t>）</w:t>
            </w:r>
            <w:r>
              <w:rPr>
                <w:rFonts w:hint="eastAsia"/>
                <w:color w:val="auto"/>
                <w:highlight w:val="none"/>
              </w:rPr>
              <w:t>运营期噪声</w:t>
            </w:r>
            <w:r>
              <w:rPr>
                <w:rFonts w:hint="eastAsia"/>
                <w:color w:val="auto"/>
                <w:highlight w:val="none"/>
                <w:lang w:eastAsia="zh-CN"/>
              </w:rPr>
              <w:t>源强</w:t>
            </w:r>
            <w:r>
              <w:rPr>
                <w:rFonts w:hint="eastAsia"/>
                <w:color w:val="auto"/>
                <w:highlight w:val="none"/>
              </w:rPr>
              <w:t>分析</w:t>
            </w:r>
          </w:p>
          <w:p>
            <w:pPr>
              <w:pStyle w:val="33"/>
              <w:bidi w:val="0"/>
              <w:rPr>
                <w:color w:val="auto"/>
                <w:highlight w:val="none"/>
              </w:rPr>
            </w:pPr>
            <w:r>
              <w:rPr>
                <w:color w:val="auto"/>
                <w:highlight w:val="none"/>
              </w:rPr>
              <w:t>根据《</w:t>
            </w:r>
            <w:r>
              <w:rPr>
                <w:rFonts w:hint="eastAsia"/>
                <w:color w:val="auto"/>
                <w:highlight w:val="none"/>
              </w:rPr>
              <w:t>公路建设项目环境影响评价规范</w:t>
            </w:r>
            <w:r>
              <w:rPr>
                <w:color w:val="auto"/>
                <w:highlight w:val="none"/>
              </w:rPr>
              <w:t>》（JTG B03-2006）中相关</w:t>
            </w:r>
            <w:r>
              <w:rPr>
                <w:rFonts w:hint="eastAsia"/>
                <w:color w:val="auto"/>
                <w:highlight w:val="none"/>
                <w:lang w:eastAsia="zh-CN"/>
              </w:rPr>
              <w:t>要求</w:t>
            </w:r>
            <w:r>
              <w:rPr>
                <w:color w:val="auto"/>
                <w:highlight w:val="none"/>
              </w:rPr>
              <w:t>，</w:t>
            </w:r>
            <w:r>
              <w:rPr>
                <w:rFonts w:hint="eastAsia"/>
                <w:color w:val="auto"/>
                <w:highlight w:val="none"/>
                <w:lang w:eastAsia="zh-CN"/>
              </w:rPr>
              <w:t>计算主线、辅道各车型车辆的噪声源强</w:t>
            </w:r>
            <w:r>
              <w:rPr>
                <w:color w:val="auto"/>
                <w:highlight w:val="none"/>
              </w:rPr>
              <w:t>。</w:t>
            </w:r>
          </w:p>
          <w:p>
            <w:pPr>
              <w:pStyle w:val="33"/>
              <w:bidi w:val="0"/>
              <w:ind w:left="0" w:leftChars="0"/>
              <w:rPr>
                <w:color w:val="auto"/>
                <w:highlight w:val="none"/>
              </w:rPr>
            </w:pPr>
            <w:r>
              <w:rPr>
                <w:color w:val="auto"/>
                <w:highlight w:val="none"/>
              </w:rPr>
              <w:t>本项目路面为沥青路面，</w:t>
            </w:r>
            <w:r>
              <w:rPr>
                <w:rFonts w:hint="eastAsia"/>
                <w:color w:val="auto"/>
                <w:highlight w:val="none"/>
                <w:lang w:eastAsia="zh-CN"/>
              </w:rPr>
              <w:t>主线设计车速为</w:t>
            </w:r>
            <w:r>
              <w:rPr>
                <w:rFonts w:hint="eastAsia"/>
                <w:color w:val="auto"/>
                <w:highlight w:val="none"/>
                <w:lang w:val="en-US" w:eastAsia="zh-CN"/>
              </w:rPr>
              <w:t>60km/h，</w:t>
            </w:r>
            <w:r>
              <w:rPr>
                <w:color w:val="auto"/>
                <w:highlight w:val="none"/>
              </w:rPr>
              <w:t>最大纵坡</w:t>
            </w:r>
            <w:r>
              <w:rPr>
                <w:rFonts w:hint="eastAsia"/>
                <w:color w:val="auto"/>
                <w:highlight w:val="none"/>
                <w:lang w:eastAsia="zh-CN"/>
              </w:rPr>
              <w:t>为</w:t>
            </w:r>
            <w:r>
              <w:rPr>
                <w:rFonts w:hint="eastAsia"/>
                <w:color w:val="auto"/>
                <w:highlight w:val="none"/>
                <w:lang w:val="en-US" w:eastAsia="zh-CN"/>
              </w:rPr>
              <w:t>2.984</w:t>
            </w:r>
            <w:r>
              <w:rPr>
                <w:color w:val="auto"/>
                <w:highlight w:val="none"/>
              </w:rPr>
              <w:t>%</w:t>
            </w:r>
            <w:r>
              <w:rPr>
                <w:rFonts w:hint="eastAsia"/>
                <w:color w:val="auto"/>
                <w:highlight w:val="none"/>
                <w:lang w:eastAsia="zh-CN"/>
              </w:rPr>
              <w:t>，路面宽</w:t>
            </w:r>
            <w:r>
              <w:rPr>
                <w:rFonts w:hint="eastAsia"/>
                <w:color w:val="auto"/>
                <w:highlight w:val="none"/>
                <w:lang w:val="en-US" w:eastAsia="zh-CN"/>
              </w:rPr>
              <w:t>2.4m</w:t>
            </w:r>
            <w:r>
              <w:rPr>
                <w:rFonts w:hint="eastAsia"/>
                <w:color w:val="auto"/>
                <w:highlight w:val="none"/>
                <w:lang w:eastAsia="zh-CN"/>
              </w:rPr>
              <w:t>；辅道设计车速为</w:t>
            </w:r>
            <w:r>
              <w:rPr>
                <w:rFonts w:hint="eastAsia"/>
                <w:color w:val="auto"/>
                <w:highlight w:val="none"/>
                <w:lang w:val="en-US" w:eastAsia="zh-CN"/>
              </w:rPr>
              <w:t>40km/h，</w:t>
            </w:r>
            <w:r>
              <w:rPr>
                <w:rFonts w:hint="eastAsia"/>
                <w:color w:val="auto"/>
                <w:highlight w:val="none"/>
                <w:lang w:eastAsia="zh-CN"/>
              </w:rPr>
              <w:t>最大纵坡为</w:t>
            </w:r>
            <w:r>
              <w:rPr>
                <w:rFonts w:hint="eastAsia"/>
                <w:color w:val="auto"/>
                <w:highlight w:val="none"/>
                <w:lang w:val="en-US" w:eastAsia="zh-CN"/>
              </w:rPr>
              <w:t>0.451%，路面宽1.1m</w:t>
            </w:r>
            <w:r>
              <w:rPr>
                <w:color w:val="auto"/>
                <w:highlight w:val="none"/>
              </w:rPr>
              <w:t>。</w:t>
            </w:r>
          </w:p>
          <w:p>
            <w:pPr>
              <w:pStyle w:val="33"/>
              <w:bidi w:val="0"/>
              <w:rPr>
                <w:color w:val="auto"/>
                <w:highlight w:val="none"/>
              </w:rPr>
            </w:pPr>
            <w:r>
              <w:rPr>
                <w:color w:val="auto"/>
                <w:highlight w:val="none"/>
              </w:rPr>
              <w:t>车辆在参照点（7.5m处）的平均辐射噪声级（dB）L</w:t>
            </w:r>
            <w:r>
              <w:rPr>
                <w:rFonts w:hint="eastAsia"/>
                <w:color w:val="auto"/>
                <w:highlight w:val="none"/>
                <w:vertAlign w:val="subscript"/>
                <w:lang w:val="en-US" w:eastAsia="zh-CN"/>
              </w:rPr>
              <w:t>0</w:t>
            </w:r>
            <w:r>
              <w:rPr>
                <w:color w:val="auto"/>
                <w:highlight w:val="none"/>
                <w:vertAlign w:val="subscript"/>
              </w:rPr>
              <w:t>i</w:t>
            </w:r>
            <w:r>
              <w:rPr>
                <w:color w:val="auto"/>
                <w:highlight w:val="none"/>
              </w:rPr>
              <w:t>按下式计算</w:t>
            </w:r>
            <w:r>
              <w:rPr>
                <w:rFonts w:hint="eastAsia"/>
                <w:color w:val="auto"/>
                <w:highlight w:val="none"/>
                <w:lang w:eastAsia="zh-CN"/>
              </w:rPr>
              <w:t>：</w:t>
            </w:r>
          </w:p>
          <w:p>
            <w:pPr>
              <w:pStyle w:val="33"/>
              <w:bidi w:val="0"/>
              <w:jc w:val="center"/>
              <w:rPr>
                <w:rFonts w:hint="eastAsia" w:eastAsia="宋体"/>
                <w:color w:val="auto"/>
                <w:highlight w:val="none"/>
                <w:lang w:val="en-US" w:eastAsia="zh-CN"/>
              </w:rPr>
            </w:pPr>
            <w:r>
              <w:rPr>
                <w:rFonts w:hint="eastAsia"/>
                <w:color w:val="auto"/>
                <w:highlight w:val="none"/>
              </w:rPr>
              <w:t xml:space="preserve">小型车 </w:t>
            </w:r>
            <w:r>
              <w:rPr>
                <w:color w:val="auto"/>
                <w:highlight w:val="none"/>
              </w:rPr>
              <w:t>L</w:t>
            </w:r>
            <w:r>
              <w:rPr>
                <w:rFonts w:hint="eastAsia"/>
                <w:color w:val="auto"/>
                <w:highlight w:val="none"/>
                <w:vertAlign w:val="subscript"/>
                <w:lang w:val="en-US" w:eastAsia="zh-CN"/>
              </w:rPr>
              <w:t>0</w:t>
            </w:r>
            <w:r>
              <w:rPr>
                <w:color w:val="auto"/>
                <w:highlight w:val="none"/>
                <w:vertAlign w:val="subscript"/>
              </w:rPr>
              <w:t>S</w:t>
            </w:r>
            <w:r>
              <w:rPr>
                <w:color w:val="auto"/>
                <w:highlight w:val="none"/>
              </w:rPr>
              <w:t xml:space="preserve"> =12.6+34.73lgV</w:t>
            </w:r>
            <w:r>
              <w:rPr>
                <w:color w:val="auto"/>
                <w:highlight w:val="none"/>
                <w:vertAlign w:val="subscript"/>
              </w:rPr>
              <w:t>S</w:t>
            </w:r>
            <w:r>
              <w:rPr>
                <w:rFonts w:hint="eastAsia"/>
                <w:color w:val="auto"/>
                <w:highlight w:val="none"/>
                <w:lang w:val="en-US" w:eastAsia="zh-CN"/>
              </w:rPr>
              <w:t>+</w:t>
            </w:r>
            <w:r>
              <w:rPr>
                <w:rFonts w:hint="default" w:ascii="Times New Roman" w:hAnsi="Times New Roman" w:eastAsia="宋体" w:cs="Times New Roman"/>
                <w:i w:val="0"/>
                <w:iCs w:val="0"/>
                <w:color w:val="auto"/>
                <w:highlight w:val="none"/>
              </w:rPr>
              <w:t>Δ</w:t>
            </w:r>
            <w:r>
              <w:rPr>
                <w:rFonts w:hint="default" w:ascii="Times New Roman" w:hAnsi="Times New Roman" w:cs="Times New Roman"/>
                <w:i w:val="0"/>
                <w:iCs w:val="0"/>
                <w:color w:val="auto"/>
                <w:highlight w:val="none"/>
                <w:lang w:val="en-US" w:eastAsia="zh-CN"/>
              </w:rPr>
              <w:t>L</w:t>
            </w:r>
            <w:r>
              <w:rPr>
                <w:rFonts w:hint="eastAsia" w:cs="Times New Roman"/>
                <w:i w:val="0"/>
                <w:iCs w:val="0"/>
                <w:color w:val="auto"/>
                <w:highlight w:val="none"/>
                <w:vertAlign w:val="subscript"/>
                <w:lang w:val="en-US" w:eastAsia="zh-CN"/>
              </w:rPr>
              <w:t>路面</w:t>
            </w:r>
          </w:p>
          <w:p>
            <w:pPr>
              <w:pStyle w:val="33"/>
              <w:bidi w:val="0"/>
              <w:jc w:val="center"/>
              <w:rPr>
                <w:color w:val="auto"/>
                <w:highlight w:val="none"/>
              </w:rPr>
            </w:pPr>
            <w:r>
              <w:rPr>
                <w:rFonts w:hint="eastAsia"/>
                <w:color w:val="auto"/>
                <w:highlight w:val="none"/>
              </w:rPr>
              <w:t xml:space="preserve">中型车 </w:t>
            </w:r>
            <w:r>
              <w:rPr>
                <w:color w:val="auto"/>
                <w:highlight w:val="none"/>
              </w:rPr>
              <w:t>L</w:t>
            </w:r>
            <w:r>
              <w:rPr>
                <w:rFonts w:hint="eastAsia"/>
                <w:color w:val="auto"/>
                <w:highlight w:val="none"/>
                <w:vertAlign w:val="subscript"/>
                <w:lang w:val="en-US" w:eastAsia="zh-CN"/>
              </w:rPr>
              <w:t>0</w:t>
            </w:r>
            <w:r>
              <w:rPr>
                <w:color w:val="auto"/>
                <w:highlight w:val="none"/>
                <w:vertAlign w:val="subscript"/>
              </w:rPr>
              <w:t>M</w:t>
            </w:r>
            <w:r>
              <w:rPr>
                <w:color w:val="auto"/>
                <w:highlight w:val="none"/>
              </w:rPr>
              <w:t xml:space="preserve"> =8.8+40.48lgV</w:t>
            </w:r>
            <w:r>
              <w:rPr>
                <w:color w:val="auto"/>
                <w:highlight w:val="none"/>
                <w:vertAlign w:val="subscript"/>
              </w:rPr>
              <w:t>M</w:t>
            </w:r>
            <w:r>
              <w:rPr>
                <w:rFonts w:hint="eastAsia"/>
                <w:color w:val="auto"/>
                <w:highlight w:val="none"/>
                <w:lang w:val="en-US" w:eastAsia="zh-CN"/>
              </w:rPr>
              <w:t>+</w:t>
            </w:r>
            <w:r>
              <w:rPr>
                <w:rFonts w:hint="default" w:ascii="Times New Roman" w:hAnsi="Times New Roman" w:eastAsia="宋体" w:cs="Times New Roman"/>
                <w:i w:val="0"/>
                <w:iCs w:val="0"/>
                <w:color w:val="auto"/>
                <w:highlight w:val="none"/>
              </w:rPr>
              <w:t>Δ</w:t>
            </w:r>
            <w:r>
              <w:rPr>
                <w:rFonts w:hint="default" w:ascii="Times New Roman" w:hAnsi="Times New Roman" w:cs="Times New Roman"/>
                <w:i w:val="0"/>
                <w:iCs w:val="0"/>
                <w:color w:val="auto"/>
                <w:highlight w:val="none"/>
                <w:lang w:val="en-US" w:eastAsia="zh-CN"/>
              </w:rPr>
              <w:t>L</w:t>
            </w:r>
            <w:r>
              <w:rPr>
                <w:rFonts w:hint="eastAsia" w:cs="Times New Roman"/>
                <w:i w:val="0"/>
                <w:iCs w:val="0"/>
                <w:color w:val="auto"/>
                <w:highlight w:val="none"/>
                <w:vertAlign w:val="subscript"/>
                <w:lang w:val="en-US" w:eastAsia="zh-CN"/>
              </w:rPr>
              <w:t>纵坡</w:t>
            </w:r>
          </w:p>
          <w:p>
            <w:pPr>
              <w:pStyle w:val="33"/>
              <w:bidi w:val="0"/>
              <w:jc w:val="center"/>
              <w:rPr>
                <w:color w:val="auto"/>
                <w:highlight w:val="none"/>
              </w:rPr>
            </w:pPr>
            <w:r>
              <w:rPr>
                <w:rFonts w:hint="eastAsia"/>
                <w:color w:val="auto"/>
                <w:highlight w:val="none"/>
              </w:rPr>
              <w:t xml:space="preserve">大型车 </w:t>
            </w:r>
            <w:r>
              <w:rPr>
                <w:color w:val="auto"/>
                <w:highlight w:val="none"/>
              </w:rPr>
              <w:t>L</w:t>
            </w:r>
            <w:r>
              <w:rPr>
                <w:rFonts w:hint="eastAsia"/>
                <w:color w:val="auto"/>
                <w:highlight w:val="none"/>
                <w:vertAlign w:val="subscript"/>
                <w:lang w:val="en-US" w:eastAsia="zh-CN"/>
              </w:rPr>
              <w:t>0</w:t>
            </w:r>
            <w:r>
              <w:rPr>
                <w:color w:val="auto"/>
                <w:highlight w:val="none"/>
                <w:vertAlign w:val="subscript"/>
              </w:rPr>
              <w:t xml:space="preserve">L </w:t>
            </w:r>
            <w:r>
              <w:rPr>
                <w:color w:val="auto"/>
                <w:highlight w:val="none"/>
              </w:rPr>
              <w:t>=22.0+36.32lgV</w:t>
            </w:r>
            <w:r>
              <w:rPr>
                <w:color w:val="auto"/>
                <w:highlight w:val="none"/>
                <w:vertAlign w:val="subscript"/>
              </w:rPr>
              <w:t>L</w:t>
            </w:r>
            <w:r>
              <w:rPr>
                <w:rFonts w:hint="eastAsia"/>
                <w:color w:val="auto"/>
                <w:highlight w:val="none"/>
                <w:lang w:val="en-US" w:eastAsia="zh-CN"/>
              </w:rPr>
              <w:t>+</w:t>
            </w:r>
            <w:r>
              <w:rPr>
                <w:rFonts w:hint="default" w:ascii="Times New Roman" w:hAnsi="Times New Roman" w:eastAsia="宋体" w:cs="Times New Roman"/>
                <w:i w:val="0"/>
                <w:iCs w:val="0"/>
                <w:color w:val="auto"/>
                <w:highlight w:val="none"/>
              </w:rPr>
              <w:t>Δ</w:t>
            </w:r>
            <w:r>
              <w:rPr>
                <w:rFonts w:hint="default" w:ascii="Times New Roman" w:hAnsi="Times New Roman" w:cs="Times New Roman"/>
                <w:i w:val="0"/>
                <w:iCs w:val="0"/>
                <w:color w:val="auto"/>
                <w:highlight w:val="none"/>
                <w:lang w:val="en-US" w:eastAsia="zh-CN"/>
              </w:rPr>
              <w:t>L</w:t>
            </w:r>
            <w:r>
              <w:rPr>
                <w:rFonts w:hint="eastAsia" w:cs="Times New Roman"/>
                <w:i w:val="0"/>
                <w:iCs w:val="0"/>
                <w:color w:val="auto"/>
                <w:highlight w:val="none"/>
                <w:vertAlign w:val="subscript"/>
                <w:lang w:val="en-US" w:eastAsia="zh-CN"/>
              </w:rPr>
              <w:t>纵坡</w:t>
            </w:r>
          </w:p>
          <w:p>
            <w:pPr>
              <w:pStyle w:val="33"/>
              <w:bidi w:val="0"/>
              <w:rPr>
                <w:color w:val="auto"/>
                <w:highlight w:val="none"/>
              </w:rPr>
            </w:pPr>
            <w:r>
              <w:rPr>
                <w:color w:val="auto"/>
                <w:highlight w:val="none"/>
              </w:rPr>
              <w:t>式中：右下角注</w:t>
            </w:r>
            <w:r>
              <w:rPr>
                <w:rFonts w:hint="eastAsia"/>
                <w:color w:val="auto"/>
                <w:highlight w:val="none"/>
              </w:rPr>
              <w:t>S</w:t>
            </w:r>
            <w:r>
              <w:rPr>
                <w:color w:val="auto"/>
                <w:highlight w:val="none"/>
              </w:rPr>
              <w:t>、</w:t>
            </w:r>
            <w:r>
              <w:rPr>
                <w:rFonts w:hint="eastAsia"/>
                <w:color w:val="auto"/>
                <w:highlight w:val="none"/>
              </w:rPr>
              <w:t>M</w:t>
            </w:r>
            <w:r>
              <w:rPr>
                <w:color w:val="auto"/>
                <w:highlight w:val="none"/>
              </w:rPr>
              <w:t>、</w:t>
            </w:r>
            <w:r>
              <w:rPr>
                <w:rFonts w:hint="eastAsia"/>
                <w:color w:val="auto"/>
                <w:highlight w:val="none"/>
              </w:rPr>
              <w:t>L</w:t>
            </w:r>
            <w:r>
              <w:rPr>
                <w:color w:val="auto"/>
                <w:highlight w:val="none"/>
              </w:rPr>
              <w:t>——分别表示小、中、大型车；</w:t>
            </w:r>
          </w:p>
          <w:p>
            <w:pPr>
              <w:pStyle w:val="33"/>
              <w:bidi w:val="0"/>
              <w:rPr>
                <w:color w:val="auto"/>
                <w:highlight w:val="none"/>
              </w:rPr>
            </w:pPr>
            <w:r>
              <w:rPr>
                <w:color w:val="auto"/>
                <w:highlight w:val="none"/>
              </w:rPr>
              <w:t xml:space="preserve">         </w:t>
            </w:r>
            <w:r>
              <w:rPr>
                <w:rFonts w:hint="eastAsia"/>
                <w:color w:val="auto"/>
                <w:highlight w:val="none"/>
                <w:lang w:val="en-US" w:eastAsia="zh-CN"/>
              </w:rPr>
              <w:t xml:space="preserve">     </w:t>
            </w:r>
            <w:r>
              <w:rPr>
                <w:color w:val="auto"/>
                <w:highlight w:val="none"/>
              </w:rPr>
              <w:t xml:space="preserve"> Vi ——该车型车辆的平均行驶速度，km/h。</w:t>
            </w:r>
          </w:p>
          <w:p>
            <w:pPr>
              <w:pStyle w:val="36"/>
              <w:numPr>
                <w:ilvl w:val="0"/>
                <w:numId w:val="12"/>
              </w:numPr>
              <w:bidi w:val="0"/>
              <w:ind w:left="0" w:leftChars="0" w:firstLine="0" w:firstLineChars="0"/>
              <w:rPr>
                <w:rFonts w:hint="eastAsia" w:ascii="Times New Roman" w:hAnsi="Times New Roman" w:eastAsia="宋体" w:cs="Times New Roman"/>
                <w:b/>
                <w:bCs w:val="0"/>
                <w:color w:val="auto"/>
                <w:kern w:val="2"/>
                <w:sz w:val="21"/>
                <w:szCs w:val="24"/>
                <w:highlight w:val="none"/>
                <w:lang w:val="zh-CN" w:eastAsia="zh-CN" w:bidi="ar-SA"/>
              </w:rPr>
            </w:pPr>
            <w:r>
              <w:rPr>
                <w:rFonts w:hint="eastAsia" w:ascii="Times New Roman" w:hAnsi="Times New Roman" w:eastAsia="宋体" w:cs="Times New Roman"/>
                <w:b/>
                <w:bCs w:val="0"/>
                <w:color w:val="auto"/>
                <w:kern w:val="2"/>
                <w:sz w:val="21"/>
                <w:szCs w:val="24"/>
                <w:highlight w:val="none"/>
                <w:lang w:val="zh-CN" w:eastAsia="zh-CN" w:bidi="ar-SA"/>
              </w:rPr>
              <w:t>本项目各类型车辆平均辐射声级计算结果   [7.5m处声级]</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
              <w:gridCol w:w="1035"/>
              <w:gridCol w:w="1237"/>
              <w:gridCol w:w="1311"/>
              <w:gridCol w:w="1311"/>
              <w:gridCol w:w="1311"/>
              <w:gridCol w:w="13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路段</w:t>
                  </w:r>
                </w:p>
              </w:tc>
              <w:tc>
                <w:tcPr>
                  <w:tcW w:w="619" w:type="pct"/>
                  <w:vMerge w:val="restart"/>
                  <w:tcBorders>
                    <w:tl2br w:val="nil"/>
                    <w:tr2bl w:val="nil"/>
                  </w:tcBorders>
                  <w:noWrap w:val="0"/>
                  <w:vAlign w:val="center"/>
                </w:tcPr>
                <w:p>
                  <w:pPr>
                    <w:pStyle w:val="32"/>
                    <w:bidi w:val="0"/>
                    <w:rPr>
                      <w:color w:val="auto"/>
                      <w:highlight w:val="none"/>
                    </w:rPr>
                  </w:pPr>
                  <w:r>
                    <w:rPr>
                      <w:color w:val="auto"/>
                      <w:highlight w:val="none"/>
                    </w:rPr>
                    <w:t>车辆种类</w:t>
                  </w:r>
                </w:p>
              </w:tc>
              <w:tc>
                <w:tcPr>
                  <w:tcW w:w="740" w:type="pct"/>
                  <w:vMerge w:val="restart"/>
                  <w:tcBorders>
                    <w:tl2br w:val="nil"/>
                    <w:tr2bl w:val="nil"/>
                  </w:tcBorders>
                  <w:noWrap w:val="0"/>
                  <w:vAlign w:val="center"/>
                </w:tcPr>
                <w:p>
                  <w:pPr>
                    <w:pStyle w:val="32"/>
                    <w:bidi w:val="0"/>
                    <w:rPr>
                      <w:color w:val="auto"/>
                      <w:highlight w:val="none"/>
                    </w:rPr>
                  </w:pPr>
                  <w:r>
                    <w:rPr>
                      <w:color w:val="auto"/>
                      <w:highlight w:val="none"/>
                    </w:rPr>
                    <w:t>设计速度（km/h）</w:t>
                  </w:r>
                </w:p>
              </w:tc>
              <w:tc>
                <w:tcPr>
                  <w:tcW w:w="1568" w:type="pct"/>
                  <w:gridSpan w:val="2"/>
                  <w:tcBorders>
                    <w:tl2br w:val="nil"/>
                    <w:tr2bl w:val="nil"/>
                  </w:tcBorders>
                  <w:noWrap w:val="0"/>
                  <w:vAlign w:val="center"/>
                </w:tcPr>
                <w:p>
                  <w:pPr>
                    <w:pStyle w:val="32"/>
                    <w:bidi w:val="0"/>
                    <w:rPr>
                      <w:color w:val="auto"/>
                      <w:highlight w:val="none"/>
                    </w:rPr>
                  </w:pPr>
                  <w:r>
                    <w:rPr>
                      <w:color w:val="auto"/>
                      <w:highlight w:val="none"/>
                    </w:rPr>
                    <w:t>预测车速Vi(km/h)</w:t>
                  </w:r>
                </w:p>
              </w:tc>
              <w:tc>
                <w:tcPr>
                  <w:tcW w:w="1569" w:type="pct"/>
                  <w:gridSpan w:val="2"/>
                  <w:tcBorders>
                    <w:tl2br w:val="nil"/>
                    <w:tr2bl w:val="nil"/>
                  </w:tcBorders>
                  <w:noWrap w:val="0"/>
                  <w:vAlign w:val="center"/>
                </w:tcPr>
                <w:p>
                  <w:pPr>
                    <w:pStyle w:val="32"/>
                    <w:bidi w:val="0"/>
                    <w:jc w:val="center"/>
                    <w:rPr>
                      <w:rFonts w:hint="eastAsia" w:eastAsia="宋体"/>
                      <w:color w:val="auto"/>
                      <w:highlight w:val="none"/>
                      <w:lang w:eastAsia="zh-CN"/>
                    </w:rPr>
                  </w:pPr>
                  <w:r>
                    <w:rPr>
                      <w:color w:val="auto"/>
                      <w:highlight w:val="none"/>
                    </w:rPr>
                    <w:t>源强（dB(A)</w:t>
                  </w:r>
                  <w:r>
                    <w:rPr>
                      <w:rFonts w:hint="eastAsia"/>
                      <w:color w:val="auto"/>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continue"/>
                  <w:tcBorders>
                    <w:tl2br w:val="nil"/>
                    <w:tr2bl w:val="nil"/>
                  </w:tcBorders>
                  <w:noWrap w:val="0"/>
                  <w:vAlign w:val="center"/>
                </w:tcPr>
                <w:p>
                  <w:pPr>
                    <w:pStyle w:val="32"/>
                    <w:bidi w:val="0"/>
                    <w:rPr>
                      <w:color w:val="auto"/>
                      <w:highlight w:val="none"/>
                    </w:rPr>
                  </w:pPr>
                </w:p>
              </w:tc>
              <w:tc>
                <w:tcPr>
                  <w:tcW w:w="619" w:type="pct"/>
                  <w:vMerge w:val="continue"/>
                  <w:tcBorders>
                    <w:tl2br w:val="nil"/>
                    <w:tr2bl w:val="nil"/>
                  </w:tcBorders>
                  <w:noWrap w:val="0"/>
                  <w:vAlign w:val="center"/>
                </w:tcPr>
                <w:p>
                  <w:pPr>
                    <w:pStyle w:val="32"/>
                    <w:bidi w:val="0"/>
                    <w:rPr>
                      <w:color w:val="auto"/>
                      <w:highlight w:val="none"/>
                    </w:rPr>
                  </w:pPr>
                </w:p>
              </w:tc>
              <w:tc>
                <w:tcPr>
                  <w:tcW w:w="740" w:type="pct"/>
                  <w:vMerge w:val="continue"/>
                  <w:tcBorders>
                    <w:tl2br w:val="nil"/>
                    <w:tr2bl w:val="nil"/>
                  </w:tcBorders>
                  <w:noWrap w:val="0"/>
                  <w:vAlign w:val="center"/>
                </w:tcPr>
                <w:p>
                  <w:pPr>
                    <w:pStyle w:val="32"/>
                    <w:bidi w:val="0"/>
                    <w:rPr>
                      <w:color w:val="auto"/>
                      <w:highlight w:val="none"/>
                    </w:rPr>
                  </w:pPr>
                </w:p>
              </w:tc>
              <w:tc>
                <w:tcPr>
                  <w:tcW w:w="784" w:type="pct"/>
                  <w:tcBorders>
                    <w:tl2br w:val="nil"/>
                    <w:tr2bl w:val="nil"/>
                  </w:tcBorders>
                  <w:noWrap w:val="0"/>
                  <w:vAlign w:val="center"/>
                </w:tcPr>
                <w:p>
                  <w:pPr>
                    <w:pStyle w:val="32"/>
                    <w:bidi w:val="0"/>
                    <w:rPr>
                      <w:color w:val="auto"/>
                      <w:highlight w:val="none"/>
                    </w:rPr>
                  </w:pPr>
                  <w:r>
                    <w:rPr>
                      <w:color w:val="auto"/>
                      <w:highlight w:val="none"/>
                    </w:rPr>
                    <w:t>昼间</w:t>
                  </w:r>
                </w:p>
              </w:tc>
              <w:tc>
                <w:tcPr>
                  <w:tcW w:w="784" w:type="pct"/>
                  <w:tcBorders>
                    <w:tl2br w:val="nil"/>
                    <w:tr2bl w:val="nil"/>
                  </w:tcBorders>
                  <w:noWrap w:val="0"/>
                  <w:vAlign w:val="center"/>
                </w:tcPr>
                <w:p>
                  <w:pPr>
                    <w:pStyle w:val="32"/>
                    <w:bidi w:val="0"/>
                    <w:rPr>
                      <w:color w:val="auto"/>
                      <w:highlight w:val="none"/>
                    </w:rPr>
                  </w:pPr>
                  <w:r>
                    <w:rPr>
                      <w:color w:val="auto"/>
                      <w:highlight w:val="none"/>
                    </w:rPr>
                    <w:t>夜间</w:t>
                  </w:r>
                </w:p>
              </w:tc>
              <w:tc>
                <w:tcPr>
                  <w:tcW w:w="784" w:type="pct"/>
                  <w:tcBorders>
                    <w:tl2br w:val="nil"/>
                    <w:tr2bl w:val="nil"/>
                  </w:tcBorders>
                  <w:noWrap w:val="0"/>
                  <w:vAlign w:val="center"/>
                </w:tcPr>
                <w:p>
                  <w:pPr>
                    <w:pStyle w:val="32"/>
                    <w:bidi w:val="0"/>
                    <w:jc w:val="center"/>
                    <w:rPr>
                      <w:color w:val="auto"/>
                      <w:highlight w:val="none"/>
                    </w:rPr>
                  </w:pPr>
                  <w:r>
                    <w:rPr>
                      <w:color w:val="auto"/>
                      <w:highlight w:val="none"/>
                    </w:rPr>
                    <w:t>昼间</w:t>
                  </w:r>
                </w:p>
              </w:tc>
              <w:tc>
                <w:tcPr>
                  <w:tcW w:w="785" w:type="pct"/>
                  <w:tcBorders>
                    <w:tl2br w:val="nil"/>
                    <w:tr2bl w:val="nil"/>
                  </w:tcBorders>
                  <w:noWrap w:val="0"/>
                  <w:vAlign w:val="center"/>
                </w:tcPr>
                <w:p>
                  <w:pPr>
                    <w:pStyle w:val="32"/>
                    <w:bidi w:val="0"/>
                    <w:jc w:val="center"/>
                    <w:rPr>
                      <w:color w:val="auto"/>
                      <w:highlight w:val="none"/>
                    </w:rPr>
                  </w:pPr>
                  <w:r>
                    <w:rPr>
                      <w:color w:val="auto"/>
                      <w:highlight w:val="none"/>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主线</w:t>
                  </w:r>
                </w:p>
              </w:tc>
              <w:tc>
                <w:tcPr>
                  <w:tcW w:w="619" w:type="pct"/>
                  <w:tcBorders>
                    <w:tl2br w:val="nil"/>
                    <w:tr2bl w:val="nil"/>
                  </w:tcBorders>
                  <w:noWrap w:val="0"/>
                  <w:vAlign w:val="center"/>
                </w:tcPr>
                <w:p>
                  <w:pPr>
                    <w:pStyle w:val="32"/>
                    <w:bidi w:val="0"/>
                    <w:rPr>
                      <w:color w:val="auto"/>
                      <w:highlight w:val="none"/>
                    </w:rPr>
                  </w:pPr>
                  <w:r>
                    <w:rPr>
                      <w:color w:val="auto"/>
                      <w:highlight w:val="none"/>
                    </w:rPr>
                    <w:t>小型车</w:t>
                  </w:r>
                </w:p>
              </w:tc>
              <w:tc>
                <w:tcPr>
                  <w:tcW w:w="740"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60</w:t>
                  </w:r>
                </w:p>
              </w:tc>
              <w:tc>
                <w:tcPr>
                  <w:tcW w:w="784"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60</w:t>
                  </w:r>
                </w:p>
              </w:tc>
              <w:tc>
                <w:tcPr>
                  <w:tcW w:w="784"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60</w:t>
                  </w:r>
                </w:p>
              </w:tc>
              <w:tc>
                <w:tcPr>
                  <w:tcW w:w="1308" w:type="dxa"/>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 xml:space="preserve">74.4 </w:t>
                  </w:r>
                </w:p>
              </w:tc>
              <w:tc>
                <w:tcPr>
                  <w:tcW w:w="1311" w:type="dxa"/>
                  <w:tcBorders>
                    <w:tl2br w:val="nil"/>
                    <w:tr2bl w:val="nil"/>
                  </w:tcBorders>
                  <w:noWrap w:val="0"/>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eastAsia"/>
                      <w:color w:val="auto"/>
                      <w:highlight w:val="none"/>
                      <w:lang w:val="en-US" w:eastAsia="zh-CN"/>
                    </w:rPr>
                    <w:t xml:space="preserve">74.4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continue"/>
                  <w:tcBorders>
                    <w:tl2br w:val="nil"/>
                    <w:tr2bl w:val="nil"/>
                  </w:tcBorders>
                  <w:noWrap w:val="0"/>
                  <w:vAlign w:val="center"/>
                </w:tcPr>
                <w:p>
                  <w:pPr>
                    <w:pStyle w:val="32"/>
                    <w:bidi w:val="0"/>
                    <w:rPr>
                      <w:color w:val="auto"/>
                      <w:highlight w:val="none"/>
                    </w:rPr>
                  </w:pPr>
                </w:p>
              </w:tc>
              <w:tc>
                <w:tcPr>
                  <w:tcW w:w="619" w:type="pct"/>
                  <w:tcBorders>
                    <w:tl2br w:val="nil"/>
                    <w:tr2bl w:val="nil"/>
                  </w:tcBorders>
                  <w:noWrap w:val="0"/>
                  <w:vAlign w:val="center"/>
                </w:tcPr>
                <w:p>
                  <w:pPr>
                    <w:pStyle w:val="32"/>
                    <w:bidi w:val="0"/>
                    <w:rPr>
                      <w:color w:val="auto"/>
                      <w:highlight w:val="none"/>
                    </w:rPr>
                  </w:pPr>
                  <w:r>
                    <w:rPr>
                      <w:color w:val="auto"/>
                      <w:highlight w:val="none"/>
                    </w:rPr>
                    <w:t>中型车</w:t>
                  </w:r>
                </w:p>
              </w:tc>
              <w:tc>
                <w:tcPr>
                  <w:tcW w:w="740"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60</w:t>
                  </w:r>
                </w:p>
              </w:tc>
              <w:tc>
                <w:tcPr>
                  <w:tcW w:w="784"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60</w:t>
                  </w:r>
                </w:p>
              </w:tc>
              <w:tc>
                <w:tcPr>
                  <w:tcW w:w="784"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60</w:t>
                  </w:r>
                </w:p>
              </w:tc>
              <w:tc>
                <w:tcPr>
                  <w:tcW w:w="1308" w:type="dxa"/>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83.0</w:t>
                  </w:r>
                </w:p>
              </w:tc>
              <w:tc>
                <w:tcPr>
                  <w:tcW w:w="1311" w:type="dxa"/>
                  <w:tcBorders>
                    <w:tl2br w:val="nil"/>
                    <w:tr2bl w:val="nil"/>
                  </w:tcBorders>
                  <w:noWrap w:val="0"/>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eastAsia"/>
                      <w:color w:val="auto"/>
                      <w:highlight w:val="none"/>
                      <w:lang w:val="en-US" w:eastAsia="zh-CN"/>
                    </w:rPr>
                    <w:t>83.0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continue"/>
                  <w:tcBorders>
                    <w:tl2br w:val="nil"/>
                    <w:tr2bl w:val="nil"/>
                  </w:tcBorders>
                  <w:noWrap w:val="0"/>
                  <w:vAlign w:val="center"/>
                </w:tcPr>
                <w:p>
                  <w:pPr>
                    <w:pStyle w:val="32"/>
                    <w:bidi w:val="0"/>
                    <w:rPr>
                      <w:color w:val="auto"/>
                      <w:highlight w:val="none"/>
                    </w:rPr>
                  </w:pPr>
                </w:p>
              </w:tc>
              <w:tc>
                <w:tcPr>
                  <w:tcW w:w="619" w:type="pct"/>
                  <w:tcBorders>
                    <w:tl2br w:val="nil"/>
                    <w:tr2bl w:val="nil"/>
                  </w:tcBorders>
                  <w:noWrap w:val="0"/>
                  <w:vAlign w:val="center"/>
                </w:tcPr>
                <w:p>
                  <w:pPr>
                    <w:pStyle w:val="32"/>
                    <w:bidi w:val="0"/>
                    <w:rPr>
                      <w:color w:val="auto"/>
                      <w:highlight w:val="none"/>
                    </w:rPr>
                  </w:pPr>
                  <w:r>
                    <w:rPr>
                      <w:color w:val="auto"/>
                      <w:highlight w:val="none"/>
                    </w:rPr>
                    <w:t>大型车</w:t>
                  </w:r>
                </w:p>
              </w:tc>
              <w:tc>
                <w:tcPr>
                  <w:tcW w:w="740"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60</w:t>
                  </w:r>
                </w:p>
              </w:tc>
              <w:tc>
                <w:tcPr>
                  <w:tcW w:w="784"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60</w:t>
                  </w:r>
                </w:p>
              </w:tc>
              <w:tc>
                <w:tcPr>
                  <w:tcW w:w="784"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60</w:t>
                  </w:r>
                </w:p>
              </w:tc>
              <w:tc>
                <w:tcPr>
                  <w:tcW w:w="1308" w:type="dxa"/>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 xml:space="preserve">89.5 </w:t>
                  </w:r>
                </w:p>
              </w:tc>
              <w:tc>
                <w:tcPr>
                  <w:tcW w:w="1311" w:type="dxa"/>
                  <w:tcBorders>
                    <w:tl2br w:val="nil"/>
                    <w:tr2bl w:val="nil"/>
                  </w:tcBorders>
                  <w:noWrap w:val="0"/>
                  <w:vAlign w:val="center"/>
                </w:tcPr>
                <w:p>
                  <w:pPr>
                    <w:pStyle w:val="32"/>
                    <w:bidi w:val="0"/>
                    <w:ind w:firstLine="0" w:firstLineChars="0"/>
                    <w:rPr>
                      <w:rFonts w:hint="default" w:ascii="Times New Roman" w:hAnsi="Times New Roman" w:eastAsia="宋体" w:cs="Times New Roman"/>
                      <w:color w:val="auto"/>
                      <w:kern w:val="0"/>
                      <w:sz w:val="20"/>
                      <w:szCs w:val="20"/>
                      <w:highlight w:val="none"/>
                      <w:lang w:val="en-US" w:eastAsia="zh-CN" w:bidi="ar-SA"/>
                    </w:rPr>
                  </w:pPr>
                  <w:r>
                    <w:rPr>
                      <w:rFonts w:hint="eastAsia"/>
                      <w:color w:val="auto"/>
                      <w:highlight w:val="none"/>
                      <w:lang w:val="en-US" w:eastAsia="zh-CN"/>
                    </w:rPr>
                    <w:t xml:space="preserve">89.5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辅道</w:t>
                  </w:r>
                </w:p>
              </w:tc>
              <w:tc>
                <w:tcPr>
                  <w:tcW w:w="619" w:type="pct"/>
                  <w:tcBorders>
                    <w:tl2br w:val="nil"/>
                    <w:tr2bl w:val="nil"/>
                  </w:tcBorders>
                  <w:noWrap w:val="0"/>
                  <w:vAlign w:val="center"/>
                </w:tcPr>
                <w:p>
                  <w:pPr>
                    <w:pStyle w:val="32"/>
                    <w:bidi w:val="0"/>
                    <w:rPr>
                      <w:color w:val="auto"/>
                      <w:highlight w:val="none"/>
                      <w:lang w:val="en-US" w:eastAsia="zh-CN"/>
                    </w:rPr>
                  </w:pPr>
                  <w:r>
                    <w:rPr>
                      <w:color w:val="auto"/>
                      <w:highlight w:val="none"/>
                    </w:rPr>
                    <w:t>小型车</w:t>
                  </w:r>
                </w:p>
              </w:tc>
              <w:tc>
                <w:tcPr>
                  <w:tcW w:w="740"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rPr>
                      <w:rFonts w:hint="eastAsia"/>
                      <w:color w:val="auto"/>
                      <w:highlight w:val="none"/>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rPr>
                      <w:rFonts w:hint="eastAsia"/>
                      <w:color w:val="auto"/>
                      <w:highlight w:val="none"/>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68.2</w:t>
                  </w:r>
                </w:p>
              </w:tc>
              <w:tc>
                <w:tcPr>
                  <w:tcW w:w="785" w:type="pct"/>
                  <w:tcBorders>
                    <w:tl2br w:val="nil"/>
                    <w:tr2bl w:val="nil"/>
                  </w:tcBorders>
                  <w:noWrap w:val="0"/>
                  <w:vAlign w:val="center"/>
                </w:tcPr>
                <w:p>
                  <w:pPr>
                    <w:pStyle w:val="32"/>
                    <w:bidi w:val="0"/>
                    <w:ind w:firstLine="0" w:firstLineChars="0"/>
                    <w:jc w:val="center"/>
                    <w:rPr>
                      <w:rFonts w:hint="eastAsia" w:ascii="Times New Roman" w:hAnsi="Times New Roman" w:eastAsia="宋体" w:cs="Times New Roman"/>
                      <w:color w:val="auto"/>
                      <w:kern w:val="0"/>
                      <w:sz w:val="20"/>
                      <w:szCs w:val="20"/>
                      <w:highlight w:val="none"/>
                      <w:lang w:val="en-US" w:eastAsia="zh-CN" w:bidi="ar-SA"/>
                    </w:rPr>
                  </w:pPr>
                  <w:r>
                    <w:rPr>
                      <w:rFonts w:hint="eastAsia"/>
                      <w:color w:val="auto"/>
                      <w:highlight w:val="none"/>
                      <w:lang w:val="en-US" w:eastAsia="zh-CN"/>
                    </w:rPr>
                    <w:t>68.2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continue"/>
                  <w:tcBorders>
                    <w:tl2br w:val="nil"/>
                    <w:tr2bl w:val="nil"/>
                  </w:tcBorders>
                  <w:noWrap w:val="0"/>
                  <w:vAlign w:val="center"/>
                </w:tcPr>
                <w:p>
                  <w:pPr>
                    <w:pStyle w:val="32"/>
                    <w:bidi w:val="0"/>
                    <w:rPr>
                      <w:color w:val="auto"/>
                      <w:highlight w:val="none"/>
                    </w:rPr>
                  </w:pPr>
                </w:p>
              </w:tc>
              <w:tc>
                <w:tcPr>
                  <w:tcW w:w="619" w:type="pct"/>
                  <w:tcBorders>
                    <w:tl2br w:val="nil"/>
                    <w:tr2bl w:val="nil"/>
                  </w:tcBorders>
                  <w:noWrap w:val="0"/>
                  <w:vAlign w:val="center"/>
                </w:tcPr>
                <w:p>
                  <w:pPr>
                    <w:pStyle w:val="32"/>
                    <w:bidi w:val="0"/>
                    <w:rPr>
                      <w:color w:val="auto"/>
                      <w:highlight w:val="none"/>
                      <w:lang w:val="en-US" w:eastAsia="zh-CN"/>
                    </w:rPr>
                  </w:pPr>
                  <w:r>
                    <w:rPr>
                      <w:color w:val="auto"/>
                      <w:highlight w:val="none"/>
                    </w:rPr>
                    <w:t>中型车</w:t>
                  </w:r>
                </w:p>
              </w:tc>
              <w:tc>
                <w:tcPr>
                  <w:tcW w:w="740"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rPr>
                      <w:rFonts w:hint="eastAsia"/>
                      <w:color w:val="auto"/>
                      <w:highlight w:val="none"/>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rPr>
                      <w:rFonts w:hint="eastAsia"/>
                      <w:color w:val="auto"/>
                      <w:highlight w:val="none"/>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73.8</w:t>
                  </w:r>
                </w:p>
              </w:tc>
              <w:tc>
                <w:tcPr>
                  <w:tcW w:w="785" w:type="pct"/>
                  <w:tcBorders>
                    <w:tl2br w:val="nil"/>
                    <w:tr2bl w:val="nil"/>
                  </w:tcBorders>
                  <w:noWrap w:val="0"/>
                  <w:vAlign w:val="center"/>
                </w:tcPr>
                <w:p>
                  <w:pPr>
                    <w:pStyle w:val="32"/>
                    <w:bidi w:val="0"/>
                    <w:ind w:firstLine="0" w:firstLineChars="0"/>
                    <w:jc w:val="center"/>
                    <w:rPr>
                      <w:rFonts w:hint="eastAsia" w:ascii="Times New Roman" w:hAnsi="Times New Roman" w:eastAsia="宋体" w:cs="Times New Roman"/>
                      <w:color w:val="auto"/>
                      <w:kern w:val="0"/>
                      <w:sz w:val="20"/>
                      <w:szCs w:val="20"/>
                      <w:highlight w:val="none"/>
                      <w:lang w:val="en-US" w:eastAsia="zh-CN" w:bidi="ar-SA"/>
                    </w:rPr>
                  </w:pPr>
                  <w:r>
                    <w:rPr>
                      <w:rFonts w:hint="eastAsia"/>
                      <w:color w:val="auto"/>
                      <w:highlight w:val="none"/>
                      <w:lang w:val="en-US" w:eastAsia="zh-CN"/>
                    </w:rPr>
                    <w:t>73.8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2" w:type="pct"/>
                  <w:vMerge w:val="continue"/>
                  <w:tcBorders>
                    <w:tl2br w:val="nil"/>
                    <w:tr2bl w:val="nil"/>
                  </w:tcBorders>
                  <w:noWrap w:val="0"/>
                  <w:vAlign w:val="center"/>
                </w:tcPr>
                <w:p>
                  <w:pPr>
                    <w:pStyle w:val="32"/>
                    <w:bidi w:val="0"/>
                    <w:rPr>
                      <w:color w:val="auto"/>
                      <w:highlight w:val="none"/>
                    </w:rPr>
                  </w:pPr>
                </w:p>
              </w:tc>
              <w:tc>
                <w:tcPr>
                  <w:tcW w:w="619" w:type="pct"/>
                  <w:tcBorders>
                    <w:tl2br w:val="nil"/>
                    <w:tr2bl w:val="nil"/>
                  </w:tcBorders>
                  <w:noWrap w:val="0"/>
                  <w:vAlign w:val="center"/>
                </w:tcPr>
                <w:p>
                  <w:pPr>
                    <w:pStyle w:val="32"/>
                    <w:bidi w:val="0"/>
                    <w:rPr>
                      <w:color w:val="auto"/>
                      <w:highlight w:val="none"/>
                      <w:lang w:val="en-US" w:eastAsia="zh-CN"/>
                    </w:rPr>
                  </w:pPr>
                  <w:r>
                    <w:rPr>
                      <w:color w:val="auto"/>
                      <w:highlight w:val="none"/>
                    </w:rPr>
                    <w:t>大型车</w:t>
                  </w:r>
                </w:p>
              </w:tc>
              <w:tc>
                <w:tcPr>
                  <w:tcW w:w="740" w:type="pct"/>
                  <w:tcBorders>
                    <w:tl2br w:val="nil"/>
                    <w:tr2bl w:val="nil"/>
                  </w:tcBorders>
                  <w:noWrap w:val="0"/>
                  <w:vAlign w:val="center"/>
                </w:tcPr>
                <w:p>
                  <w:pPr>
                    <w:pStyle w:val="32"/>
                    <w:bidi w:val="0"/>
                    <w:rPr>
                      <w:rFonts w:hint="default"/>
                      <w:color w:val="auto"/>
                      <w:highlight w:val="none"/>
                      <w:lang w:val="en-US" w:eastAsia="zh-CN"/>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rPr>
                      <w:rFonts w:hint="eastAsia"/>
                      <w:color w:val="auto"/>
                      <w:highlight w:val="none"/>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rPr>
                      <w:rFonts w:hint="eastAsia"/>
                      <w:color w:val="auto"/>
                      <w:highlight w:val="none"/>
                    </w:rPr>
                  </w:pPr>
                  <w:r>
                    <w:rPr>
                      <w:rFonts w:hint="eastAsia"/>
                      <w:color w:val="auto"/>
                      <w:highlight w:val="none"/>
                      <w:lang w:val="en-US" w:eastAsia="zh-CN"/>
                    </w:rPr>
                    <w:t>40</w:t>
                  </w:r>
                </w:p>
              </w:tc>
              <w:tc>
                <w:tcPr>
                  <w:tcW w:w="784" w:type="pct"/>
                  <w:tcBorders>
                    <w:tl2br w:val="nil"/>
                    <w:tr2bl w:val="nil"/>
                  </w:tcBorders>
                  <w:noWrap w:val="0"/>
                  <w:vAlign w:val="center"/>
                </w:tcPr>
                <w:p>
                  <w:pPr>
                    <w:pStyle w:val="32"/>
                    <w:bidi w:val="0"/>
                    <w:jc w:val="center"/>
                    <w:rPr>
                      <w:rFonts w:hint="default" w:eastAsia="宋体"/>
                      <w:color w:val="auto"/>
                      <w:highlight w:val="none"/>
                      <w:lang w:val="en-US" w:eastAsia="zh-CN"/>
                    </w:rPr>
                  </w:pPr>
                  <w:r>
                    <w:rPr>
                      <w:rFonts w:hint="eastAsia"/>
                      <w:color w:val="auto"/>
                      <w:highlight w:val="none"/>
                      <w:lang w:val="en-US" w:eastAsia="zh-CN"/>
                    </w:rPr>
                    <w:t>80.4</w:t>
                  </w:r>
                </w:p>
              </w:tc>
              <w:tc>
                <w:tcPr>
                  <w:tcW w:w="785" w:type="pct"/>
                  <w:tcBorders>
                    <w:tl2br w:val="nil"/>
                    <w:tr2bl w:val="nil"/>
                  </w:tcBorders>
                  <w:noWrap w:val="0"/>
                  <w:vAlign w:val="center"/>
                </w:tcPr>
                <w:p>
                  <w:pPr>
                    <w:pStyle w:val="32"/>
                    <w:bidi w:val="0"/>
                    <w:ind w:firstLine="0" w:firstLineChars="0"/>
                    <w:jc w:val="center"/>
                    <w:rPr>
                      <w:rFonts w:hint="eastAsia" w:ascii="Times New Roman" w:hAnsi="Times New Roman" w:eastAsia="宋体" w:cs="Times New Roman"/>
                      <w:color w:val="auto"/>
                      <w:kern w:val="0"/>
                      <w:sz w:val="20"/>
                      <w:szCs w:val="20"/>
                      <w:highlight w:val="none"/>
                      <w:lang w:val="en-US" w:eastAsia="zh-CN" w:bidi="ar-SA"/>
                    </w:rPr>
                  </w:pPr>
                  <w:r>
                    <w:rPr>
                      <w:rFonts w:hint="eastAsia"/>
                      <w:color w:val="auto"/>
                      <w:highlight w:val="none"/>
                      <w:lang w:val="en-US" w:eastAsia="zh-CN"/>
                    </w:rPr>
                    <w:t>80.4</w:t>
                  </w:r>
                </w:p>
              </w:tc>
            </w:tr>
          </w:tbl>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5</w:t>
            </w:r>
            <w:r>
              <w:rPr>
                <w:rFonts w:hint="eastAsia"/>
                <w:color w:val="auto"/>
                <w:highlight w:val="none"/>
                <w:lang w:eastAsia="zh-CN"/>
              </w:rPr>
              <w:t>）</w:t>
            </w:r>
            <w:r>
              <w:rPr>
                <w:rFonts w:hint="eastAsia"/>
                <w:color w:val="auto"/>
                <w:highlight w:val="none"/>
              </w:rPr>
              <w:t>运营期声环境影响预测与评价</w:t>
            </w:r>
          </w:p>
          <w:p>
            <w:pPr>
              <w:pStyle w:val="33"/>
              <w:bidi w:val="0"/>
              <w:rPr>
                <w:color w:val="auto"/>
                <w:highlight w:val="none"/>
              </w:rPr>
            </w:pPr>
            <w:r>
              <w:rPr>
                <w:rFonts w:hint="eastAsia"/>
                <w:color w:val="auto"/>
                <w:highlight w:val="none"/>
                <w:lang w:val="en-US" w:eastAsia="zh-CN"/>
              </w:rPr>
              <w:t>1）</w:t>
            </w:r>
            <w:r>
              <w:rPr>
                <w:color w:val="auto"/>
                <w:highlight w:val="none"/>
              </w:rPr>
              <w:t>预测模式</w:t>
            </w:r>
          </w:p>
          <w:p>
            <w:pPr>
              <w:pStyle w:val="33"/>
              <w:bidi w:val="0"/>
              <w:rPr>
                <w:color w:val="auto"/>
                <w:highlight w:val="none"/>
              </w:rPr>
            </w:pPr>
            <w:r>
              <w:rPr>
                <w:color w:val="auto"/>
                <w:highlight w:val="none"/>
              </w:rPr>
              <w:t>根据本项目道路特点、沿线的环境特征，以及工程设计的交通量等因素，本评价采用《环境影响评价技术导则－声环境》（HJ2.4-</w:t>
            </w:r>
            <w:r>
              <w:rPr>
                <w:rFonts w:hint="eastAsia"/>
                <w:color w:val="auto"/>
                <w:highlight w:val="none"/>
                <w:lang w:val="en-US" w:eastAsia="zh-CN"/>
              </w:rPr>
              <w:t>2021</w:t>
            </w:r>
            <w:r>
              <w:rPr>
                <w:color w:val="auto"/>
                <w:highlight w:val="none"/>
              </w:rPr>
              <w:t>）中的道路交通噪声预测模式。</w:t>
            </w:r>
          </w:p>
          <w:p>
            <w:pPr>
              <w:pStyle w:val="33"/>
              <w:bidi w:val="0"/>
              <w:rPr>
                <w:color w:val="auto"/>
                <w:highlight w:val="none"/>
              </w:rPr>
            </w:pPr>
            <w:r>
              <w:rPr>
                <w:color w:val="auto"/>
                <w:highlight w:val="none"/>
              </w:rPr>
              <w:t>①第i型车等效声级的预测模式</w:t>
            </w:r>
          </w:p>
          <w:p>
            <w:pPr>
              <w:jc w:val="center"/>
              <w:rPr>
                <w:rFonts w:hint="eastAsia" w:eastAsia="宋体"/>
                <w:color w:val="auto"/>
                <w:highlight w:val="none"/>
                <w:lang w:eastAsia="zh-CN"/>
              </w:rPr>
            </w:pPr>
            <w:bookmarkStart w:id="29" w:name="OLE_LINK6"/>
            <w:r>
              <w:rPr>
                <w:rFonts w:hint="eastAsia" w:eastAsia="宋体"/>
                <w:color w:val="auto"/>
                <w:position w:val="-22"/>
                <w:highlight w:val="none"/>
                <w:lang w:eastAsia="zh-CN"/>
              </w:rPr>
              <w:object>
                <v:shape id="_x0000_i1027" o:spt="75" type="#_x0000_t75" style="height:36.85pt;width:270.2pt;" o:ole="t" filled="f" o:preferrelative="t" stroked="f" coordsize="21600,21600">
                  <v:path/>
                  <v:fill on="f" focussize="0,0"/>
                  <v:stroke on="f"/>
                  <v:imagedata r:id="rId24" o:title=""/>
                  <o:lock v:ext="edit" aspectratio="t"/>
                  <w10:wrap type="none"/>
                  <w10:anchorlock/>
                </v:shape>
                <o:OLEObject Type="Embed" ProgID="Equation.KSEE3" ShapeID="_x0000_i1027" DrawAspect="Content" ObjectID="_1468075728" r:id="rId23">
                  <o:LockedField>false</o:LockedField>
                </o:OLEObject>
              </w:object>
            </w:r>
            <w:bookmarkEnd w:id="29"/>
          </w:p>
          <w:p>
            <w:pPr>
              <w:pStyle w:val="33"/>
              <w:bidi w:val="0"/>
              <w:rPr>
                <w:color w:val="auto"/>
                <w:highlight w:val="none"/>
              </w:rPr>
            </w:pPr>
            <w:r>
              <w:rPr>
                <w:color w:val="auto"/>
                <w:highlight w:val="none"/>
              </w:rPr>
              <w:t>式中：</w:t>
            </w:r>
            <w:r>
              <w:rPr>
                <w:i/>
                <w:iCs/>
                <w:color w:val="auto"/>
                <w:highlight w:val="none"/>
              </w:rPr>
              <w:t>L</w:t>
            </w:r>
            <w:r>
              <w:rPr>
                <w:i/>
                <w:iCs/>
                <w:color w:val="auto"/>
                <w:highlight w:val="none"/>
                <w:vertAlign w:val="subscript"/>
              </w:rPr>
              <w:t>eq</w:t>
            </w:r>
            <w:r>
              <w:rPr>
                <w:i/>
                <w:iCs/>
                <w:color w:val="auto"/>
                <w:highlight w:val="none"/>
              </w:rPr>
              <w:t>(h)</w:t>
            </w:r>
            <w:r>
              <w:rPr>
                <w:i/>
                <w:iCs/>
                <w:color w:val="auto"/>
                <w:highlight w:val="none"/>
                <w:vertAlign w:val="subscript"/>
              </w:rPr>
              <w:t>i</w:t>
            </w:r>
            <w:r>
              <w:rPr>
                <w:color w:val="auto"/>
                <w:highlight w:val="none"/>
              </w:rPr>
              <w:t>—第 i 类车的小时等效声级，dB(A)；</w:t>
            </w:r>
          </w:p>
          <w:p>
            <w:pPr>
              <w:pStyle w:val="33"/>
              <w:keepNext w:val="0"/>
              <w:keepLines w:val="0"/>
              <w:pageBreakBefore w:val="0"/>
              <w:widowControl w:val="0"/>
              <w:kinsoku/>
              <w:wordWrap/>
              <w:overflowPunct/>
              <w:topLinePunct w:val="0"/>
              <w:autoSpaceDE/>
              <w:autoSpaceDN/>
              <w:bidi w:val="0"/>
              <w:adjustRightInd w:val="0"/>
              <w:snapToGrid w:val="0"/>
              <w:ind w:left="956" w:leftChars="400" w:firstLine="0" w:firstLineChars="0"/>
              <w:textAlignment w:val="auto"/>
              <w:rPr>
                <w:color w:val="auto"/>
                <w:highlight w:val="none"/>
              </w:rPr>
            </w:pPr>
            <m:oMath>
              <m:sSub>
                <m:sSubPr>
                  <m:ctrlPr>
                    <w:rPr>
                      <w:rFonts w:ascii="Cambria Math" w:hAnsi="Cambria Math"/>
                      <w:i/>
                      <w:color w:val="auto"/>
                      <w:highlight w:val="none"/>
                    </w:rPr>
                  </m:ctrlPr>
                </m:sSubPr>
                <m:e>
                  <m:d>
                    <m:dPr>
                      <m:ctrlPr>
                        <w:rPr>
                          <w:rFonts w:ascii="Cambria Math" w:hAnsi="Cambria Math"/>
                          <w:i/>
                          <w:color w:val="auto"/>
                          <w:highlight w:val="none"/>
                        </w:rPr>
                      </m:ctrlPr>
                    </m:dPr>
                    <m:e>
                      <m:bar>
                        <m:barPr>
                          <m:pos m:val="top"/>
                          <m:ctrlPr>
                            <w:rPr>
                              <w:rFonts w:ascii="Cambria Math" w:hAnsi="Cambria Math"/>
                              <w:i/>
                              <w:color w:val="auto"/>
                              <w:highlight w:val="none"/>
                            </w:rPr>
                          </m:ctrlPr>
                        </m:barPr>
                        <m:e>
                          <m:sSub>
                            <m:sSubPr>
                              <m:ctrlPr>
                                <w:rPr>
                                  <w:rFonts w:ascii="Cambria Math" w:hAnsi="Cambria Math"/>
                                  <w:i/>
                                  <w:color w:val="auto"/>
                                  <w:highlight w:val="none"/>
                                </w:rPr>
                              </m:ctrlPr>
                            </m:sSubPr>
                            <m:e>
                              <m:r>
                                <m:rPr/>
                                <w:rPr>
                                  <w:rFonts w:hint="default" w:ascii="Cambria Math" w:hAnsi="Cambria Math"/>
                                  <w:color w:val="auto"/>
                                  <w:highlight w:val="none"/>
                                  <w:lang w:val="en-US" w:eastAsia="zh-CN"/>
                                </w:rPr>
                                <m:t>L</m:t>
                              </m:r>
                              <m:ctrlPr>
                                <w:rPr>
                                  <w:rFonts w:ascii="Cambria Math" w:hAnsi="Cambria Math"/>
                                  <w:i/>
                                  <w:color w:val="auto"/>
                                  <w:highlight w:val="none"/>
                                </w:rPr>
                              </m:ctrlPr>
                            </m:e>
                            <m:sub>
                              <m:r>
                                <m:rPr/>
                                <w:rPr>
                                  <w:rFonts w:hint="default" w:ascii="Cambria Math" w:hAnsi="Cambria Math"/>
                                  <w:color w:val="auto"/>
                                  <w:highlight w:val="none"/>
                                  <w:lang w:val="en-US" w:eastAsia="zh-CN"/>
                                </w:rPr>
                                <m:t>0E</m:t>
                              </m:r>
                              <m:ctrlPr>
                                <w:rPr>
                                  <w:rFonts w:ascii="Cambria Math" w:hAnsi="Cambria Math"/>
                                  <w:i/>
                                  <w:color w:val="auto"/>
                                  <w:highlight w:val="none"/>
                                </w:rPr>
                              </m:ctrlPr>
                            </m:sub>
                          </m:sSub>
                          <m:ctrlPr>
                            <w:rPr>
                              <w:rFonts w:ascii="Cambria Math" w:hAnsi="Cambria Math"/>
                              <w:i/>
                              <w:color w:val="auto"/>
                              <w:highlight w:val="none"/>
                            </w:rPr>
                          </m:ctrlPr>
                        </m:e>
                      </m:bar>
                      <m:ctrlPr>
                        <w:rPr>
                          <w:rFonts w:ascii="Cambria Math" w:hAnsi="Cambria Math"/>
                          <w:i/>
                          <w:color w:val="auto"/>
                          <w:highlight w:val="none"/>
                        </w:rPr>
                      </m:ctrlPr>
                    </m:e>
                  </m:d>
                  <m:ctrlPr>
                    <w:rPr>
                      <w:rFonts w:ascii="Cambria Math" w:hAnsi="Cambria Math"/>
                      <w:i/>
                      <w:color w:val="auto"/>
                      <w:highlight w:val="none"/>
                    </w:rPr>
                  </m:ctrlPr>
                </m:e>
                <m:sub>
                  <m:r>
                    <m:rPr/>
                    <w:rPr>
                      <w:rFonts w:hint="default" w:ascii="Cambria Math" w:hAnsi="Cambria Math"/>
                      <w:color w:val="auto"/>
                      <w:highlight w:val="none"/>
                      <w:lang w:val="en-US" w:eastAsia="zh-CN"/>
                    </w:rPr>
                    <m:t>i</m:t>
                  </m:r>
                  <m:ctrlPr>
                    <w:rPr>
                      <w:rFonts w:ascii="Cambria Math" w:hAnsi="Cambria Math"/>
                      <w:i/>
                      <w:color w:val="auto"/>
                      <w:highlight w:val="none"/>
                    </w:rPr>
                  </m:ctrlPr>
                </m:sub>
              </m:sSub>
            </m:oMath>
            <w:r>
              <w:rPr>
                <w:color w:val="auto"/>
                <w:highlight w:val="none"/>
              </w:rPr>
              <w:t>——</w:t>
            </w:r>
            <w:r>
              <w:rPr>
                <w:rFonts w:hint="eastAsia"/>
                <w:color w:val="auto"/>
                <w:highlight w:val="none"/>
              </w:rPr>
              <w:t>第</w:t>
            </w:r>
            <w:r>
              <w:rPr>
                <w:color w:val="auto"/>
                <w:highlight w:val="none"/>
              </w:rPr>
              <w:t xml:space="preserve">i </w:t>
            </w:r>
            <w:r>
              <w:rPr>
                <w:rFonts w:hint="eastAsia"/>
                <w:color w:val="auto"/>
                <w:highlight w:val="none"/>
              </w:rPr>
              <w:t>类车速度为</w:t>
            </w:r>
            <w:r>
              <w:rPr>
                <w:rFonts w:hint="eastAsia"/>
                <w:i/>
                <w:iCs/>
                <w:color w:val="auto"/>
                <w:highlight w:val="none"/>
                <w:lang w:val="en-US" w:eastAsia="zh-CN"/>
              </w:rPr>
              <w:t>V</w:t>
            </w:r>
            <w:r>
              <w:rPr>
                <w:rFonts w:hint="eastAsia"/>
                <w:i/>
                <w:iCs/>
                <w:color w:val="auto"/>
                <w:highlight w:val="none"/>
                <w:vertAlign w:val="subscript"/>
                <w:lang w:val="en-US" w:eastAsia="zh-CN"/>
              </w:rPr>
              <w:t>i</w:t>
            </w:r>
            <w:r>
              <w:rPr>
                <w:rFonts w:hint="eastAsia"/>
                <w:color w:val="auto"/>
                <w:highlight w:val="none"/>
              </w:rPr>
              <w:t>，</w:t>
            </w:r>
            <w:r>
              <w:rPr>
                <w:color w:val="auto"/>
                <w:highlight w:val="none"/>
              </w:rPr>
              <w:t>km/h</w:t>
            </w:r>
            <w:r>
              <w:rPr>
                <w:rFonts w:hint="eastAsia"/>
                <w:color w:val="auto"/>
                <w:highlight w:val="none"/>
                <w:lang w:eastAsia="zh-CN"/>
              </w:rPr>
              <w:t>，</w:t>
            </w:r>
            <w:r>
              <w:rPr>
                <w:rFonts w:hint="eastAsia"/>
                <w:color w:val="auto"/>
                <w:highlight w:val="none"/>
              </w:rPr>
              <w:t>水平距离为</w:t>
            </w:r>
            <w:r>
              <w:rPr>
                <w:color w:val="auto"/>
                <w:highlight w:val="none"/>
              </w:rPr>
              <w:t>7.5m</w:t>
            </w:r>
            <w:r>
              <w:rPr>
                <w:rFonts w:hint="eastAsia"/>
                <w:color w:val="auto"/>
                <w:highlight w:val="none"/>
              </w:rPr>
              <w:t>处的能量平均</w:t>
            </w:r>
            <w:r>
              <w:rPr>
                <w:color w:val="auto"/>
                <w:highlight w:val="none"/>
              </w:rPr>
              <w:t xml:space="preserve">A </w:t>
            </w:r>
            <w:r>
              <w:rPr>
                <w:rFonts w:hint="eastAsia"/>
                <w:color w:val="auto"/>
                <w:highlight w:val="none"/>
              </w:rPr>
              <w:t>声级，</w:t>
            </w:r>
            <w:r>
              <w:rPr>
                <w:color w:val="auto"/>
                <w:highlight w:val="none"/>
              </w:rPr>
              <w:t>dB(A)</w:t>
            </w:r>
            <w:r>
              <w:rPr>
                <w:rFonts w:hint="eastAsia"/>
                <w:color w:val="auto"/>
                <w:highlight w:val="none"/>
              </w:rPr>
              <w:t>；</w:t>
            </w:r>
          </w:p>
          <w:p>
            <w:pPr>
              <w:pStyle w:val="33"/>
              <w:keepNext w:val="0"/>
              <w:keepLines w:val="0"/>
              <w:pageBreakBefore w:val="0"/>
              <w:widowControl w:val="0"/>
              <w:kinsoku/>
              <w:wordWrap/>
              <w:overflowPunct/>
              <w:topLinePunct w:val="0"/>
              <w:autoSpaceDE/>
              <w:autoSpaceDN/>
              <w:bidi w:val="0"/>
              <w:adjustRightInd w:val="0"/>
              <w:snapToGrid w:val="0"/>
              <w:ind w:left="956" w:leftChars="400" w:firstLine="0" w:firstLineChars="0"/>
              <w:textAlignment w:val="auto"/>
              <w:rPr>
                <w:color w:val="auto"/>
                <w:highlight w:val="none"/>
              </w:rPr>
            </w:pPr>
            <w:r>
              <w:rPr>
                <w:rFonts w:hint="eastAsia"/>
                <w:i/>
                <w:iCs/>
                <w:color w:val="auto"/>
                <w:highlight w:val="none"/>
                <w:lang w:val="en-US" w:eastAsia="zh-CN"/>
              </w:rPr>
              <w:t>N</w:t>
            </w:r>
            <w:r>
              <w:rPr>
                <w:rFonts w:hint="eastAsia"/>
                <w:i/>
                <w:iCs/>
                <w:color w:val="auto"/>
                <w:highlight w:val="none"/>
                <w:vertAlign w:val="subscript"/>
                <w:lang w:val="en-US" w:eastAsia="zh-CN"/>
              </w:rPr>
              <w:t>i</w:t>
            </w:r>
            <w:r>
              <w:rPr>
                <w:color w:val="auto"/>
                <w:highlight w:val="none"/>
              </w:rPr>
              <w:t>——</w:t>
            </w:r>
            <w:r>
              <w:rPr>
                <w:rFonts w:hint="eastAsia"/>
                <w:color w:val="auto"/>
                <w:highlight w:val="none"/>
              </w:rPr>
              <w:t>昼间，夜间通过某个预测点的第</w:t>
            </w:r>
            <w:r>
              <w:rPr>
                <w:color w:val="auto"/>
                <w:highlight w:val="none"/>
              </w:rPr>
              <w:t>i</w:t>
            </w:r>
            <w:r>
              <w:rPr>
                <w:rFonts w:hint="eastAsia"/>
                <w:color w:val="auto"/>
                <w:highlight w:val="none"/>
              </w:rPr>
              <w:t>类车平均小时车流量，辆</w:t>
            </w:r>
            <w:r>
              <w:rPr>
                <w:color w:val="auto"/>
                <w:highlight w:val="none"/>
              </w:rPr>
              <w:t>/h</w:t>
            </w:r>
            <w:r>
              <w:rPr>
                <w:rFonts w:hint="eastAsia"/>
                <w:color w:val="auto"/>
                <w:highlight w:val="none"/>
              </w:rPr>
              <w:t>；</w:t>
            </w:r>
          </w:p>
          <w:p>
            <w:pPr>
              <w:pStyle w:val="33"/>
              <w:keepNext w:val="0"/>
              <w:keepLines w:val="0"/>
              <w:pageBreakBefore w:val="0"/>
              <w:widowControl w:val="0"/>
              <w:kinsoku/>
              <w:wordWrap/>
              <w:overflowPunct/>
              <w:topLinePunct w:val="0"/>
              <w:autoSpaceDE/>
              <w:autoSpaceDN/>
              <w:bidi w:val="0"/>
              <w:adjustRightInd w:val="0"/>
              <w:snapToGrid w:val="0"/>
              <w:ind w:left="956" w:leftChars="400" w:firstLine="0" w:firstLineChars="0"/>
              <w:textAlignment w:val="auto"/>
              <w:rPr>
                <w:color w:val="auto"/>
                <w:highlight w:val="none"/>
              </w:rPr>
            </w:pPr>
            <w:r>
              <w:rPr>
                <w:rFonts w:hint="eastAsia"/>
                <w:i/>
                <w:iCs/>
                <w:color w:val="auto"/>
                <w:highlight w:val="none"/>
                <w:lang w:val="en-US" w:eastAsia="zh-CN"/>
              </w:rPr>
              <w:t>V</w:t>
            </w:r>
            <w:r>
              <w:rPr>
                <w:rFonts w:hint="eastAsia"/>
                <w:i/>
                <w:iCs/>
                <w:color w:val="auto"/>
                <w:highlight w:val="none"/>
                <w:vertAlign w:val="subscript"/>
                <w:lang w:val="en-US" w:eastAsia="zh-CN"/>
              </w:rPr>
              <w:t>i</w:t>
            </w:r>
            <w:r>
              <w:rPr>
                <w:color w:val="auto"/>
                <w:highlight w:val="none"/>
              </w:rPr>
              <w:t>——</w:t>
            </w:r>
            <w:r>
              <w:rPr>
                <w:rFonts w:hint="eastAsia"/>
                <w:color w:val="auto"/>
                <w:highlight w:val="none"/>
              </w:rPr>
              <w:t>第</w:t>
            </w:r>
            <w:r>
              <w:rPr>
                <w:color w:val="auto"/>
                <w:highlight w:val="none"/>
              </w:rPr>
              <w:t>i</w:t>
            </w:r>
            <w:r>
              <w:rPr>
                <w:rFonts w:hint="eastAsia"/>
                <w:color w:val="auto"/>
                <w:highlight w:val="none"/>
              </w:rPr>
              <w:t>类车的平均车速，</w:t>
            </w:r>
            <w:r>
              <w:rPr>
                <w:color w:val="auto"/>
                <w:highlight w:val="none"/>
              </w:rPr>
              <w:t>km/h</w:t>
            </w:r>
            <w:r>
              <w:rPr>
                <w:rFonts w:hint="eastAsia"/>
                <w:color w:val="auto"/>
                <w:highlight w:val="none"/>
              </w:rPr>
              <w:t>；</w:t>
            </w:r>
          </w:p>
          <w:p>
            <w:pPr>
              <w:pStyle w:val="33"/>
              <w:keepNext w:val="0"/>
              <w:keepLines w:val="0"/>
              <w:pageBreakBefore w:val="0"/>
              <w:widowControl w:val="0"/>
              <w:kinsoku/>
              <w:wordWrap/>
              <w:overflowPunct/>
              <w:topLinePunct w:val="0"/>
              <w:autoSpaceDE/>
              <w:autoSpaceDN/>
              <w:bidi w:val="0"/>
              <w:adjustRightInd w:val="0"/>
              <w:snapToGrid w:val="0"/>
              <w:ind w:left="956" w:leftChars="400" w:firstLine="0" w:firstLineChars="0"/>
              <w:textAlignment w:val="auto"/>
              <w:rPr>
                <w:color w:val="auto"/>
                <w:highlight w:val="none"/>
              </w:rPr>
            </w:pPr>
            <w:r>
              <w:rPr>
                <w:rFonts w:hint="eastAsia"/>
                <w:i/>
                <w:iCs/>
                <w:color w:val="auto"/>
                <w:highlight w:val="none"/>
                <w:lang w:val="en-US" w:eastAsia="zh-CN"/>
              </w:rPr>
              <w:t>T</w:t>
            </w:r>
            <w:r>
              <w:rPr>
                <w:color w:val="auto"/>
                <w:highlight w:val="none"/>
              </w:rPr>
              <w:t>——</w:t>
            </w:r>
            <w:r>
              <w:rPr>
                <w:rFonts w:hint="eastAsia"/>
                <w:color w:val="auto"/>
                <w:highlight w:val="none"/>
              </w:rPr>
              <w:t>计算等效声级的时间，</w:t>
            </w:r>
            <w:r>
              <w:rPr>
                <w:color w:val="auto"/>
                <w:highlight w:val="none"/>
              </w:rPr>
              <w:t>1h</w:t>
            </w:r>
            <w:r>
              <w:rPr>
                <w:rFonts w:hint="eastAsia"/>
                <w:color w:val="auto"/>
                <w:highlight w:val="none"/>
              </w:rPr>
              <w:t>；</w:t>
            </w:r>
          </w:p>
          <w:p>
            <w:pPr>
              <w:pStyle w:val="33"/>
              <w:keepNext w:val="0"/>
              <w:keepLines w:val="0"/>
              <w:pageBreakBefore w:val="0"/>
              <w:widowControl w:val="0"/>
              <w:kinsoku/>
              <w:wordWrap/>
              <w:overflowPunct/>
              <w:topLinePunct w:val="0"/>
              <w:autoSpaceDE/>
              <w:autoSpaceDN/>
              <w:bidi w:val="0"/>
              <w:adjustRightInd w:val="0"/>
              <w:snapToGrid w:val="0"/>
              <w:ind w:left="2001" w:leftChars="400" w:hanging="1045" w:hangingChars="500"/>
              <w:textAlignment w:val="auto"/>
              <w:rPr>
                <w:rFonts w:hint="eastAsia" w:cs="Times New Roman"/>
                <w:color w:val="auto"/>
                <w:highlight w:val="none"/>
                <w:vertAlign w:val="baseline"/>
                <w:lang w:val="en-US" w:eastAsia="zh-CN"/>
              </w:rPr>
            </w:pPr>
            <w:r>
              <w:rPr>
                <w:rFonts w:hint="default" w:ascii="Times New Roman" w:hAnsi="Times New Roman" w:eastAsia="宋体" w:cs="Times New Roman"/>
                <w:i/>
                <w:iCs/>
                <w:color w:val="auto"/>
                <w:highlight w:val="none"/>
              </w:rPr>
              <w:t>Δ</w:t>
            </w:r>
            <w:r>
              <w:rPr>
                <w:rFonts w:hint="default" w:ascii="Times New Roman" w:hAnsi="Times New Roman" w:cs="Times New Roman"/>
                <w:i/>
                <w:iCs/>
                <w:color w:val="auto"/>
                <w:highlight w:val="none"/>
                <w:lang w:val="en-US" w:eastAsia="zh-CN"/>
              </w:rPr>
              <w:t>L</w:t>
            </w:r>
            <w:r>
              <w:rPr>
                <w:rFonts w:hint="eastAsia" w:cs="Times New Roman"/>
                <w:color w:val="auto"/>
                <w:highlight w:val="none"/>
                <w:vertAlign w:val="subscript"/>
                <w:lang w:val="en-US" w:eastAsia="zh-CN"/>
              </w:rPr>
              <w:t>距离</w:t>
            </w:r>
            <w:r>
              <w:rPr>
                <w:color w:val="auto"/>
                <w:highlight w:val="none"/>
              </w:rPr>
              <w:t>——</w:t>
            </w:r>
            <w:r>
              <w:rPr>
                <w:rFonts w:hint="eastAsia"/>
                <w:color w:val="auto"/>
                <w:highlight w:val="none"/>
                <w:lang w:eastAsia="zh-CN"/>
              </w:rPr>
              <w:t>距离衰减量，</w:t>
            </w:r>
            <w:r>
              <w:rPr>
                <w:color w:val="auto"/>
                <w:highlight w:val="none"/>
              </w:rPr>
              <w:t>dB(A)</w:t>
            </w:r>
            <w:r>
              <w:rPr>
                <w:rFonts w:hint="eastAsia"/>
                <w:color w:val="auto"/>
                <w:highlight w:val="none"/>
                <w:lang w:eastAsia="zh-CN"/>
              </w:rPr>
              <w:t>，小时车流量大于等于</w:t>
            </w:r>
            <w:r>
              <w:rPr>
                <w:rFonts w:hint="eastAsia"/>
                <w:color w:val="auto"/>
                <w:highlight w:val="none"/>
                <w:lang w:val="en-US" w:eastAsia="zh-CN"/>
              </w:rPr>
              <w:t>300辆/小时：</w:t>
            </w:r>
            <w:r>
              <w:rPr>
                <w:rFonts w:hint="default" w:ascii="Times New Roman" w:hAnsi="Times New Roman" w:eastAsia="宋体" w:cs="Times New Roman"/>
                <w:i/>
                <w:iCs/>
                <w:color w:val="auto"/>
                <w:highlight w:val="none"/>
              </w:rPr>
              <w:t>Δ</w:t>
            </w:r>
            <w:r>
              <w:rPr>
                <w:rFonts w:hint="default" w:ascii="Times New Roman" w:hAnsi="Times New Roman" w:cs="Times New Roman"/>
                <w:i/>
                <w:iCs/>
                <w:color w:val="auto"/>
                <w:highlight w:val="none"/>
                <w:lang w:val="en-US" w:eastAsia="zh-CN"/>
              </w:rPr>
              <w:t>L</w:t>
            </w:r>
            <w:r>
              <w:rPr>
                <w:rFonts w:hint="eastAsia" w:cs="Times New Roman"/>
                <w:color w:val="auto"/>
                <w:highlight w:val="none"/>
                <w:vertAlign w:val="subscript"/>
                <w:lang w:val="en-US" w:eastAsia="zh-CN"/>
              </w:rPr>
              <w:t>距离</w:t>
            </w:r>
            <w:r>
              <w:rPr>
                <w:rFonts w:hint="eastAsia" w:cs="Times New Roman"/>
                <w:color w:val="auto"/>
                <w:highlight w:val="none"/>
                <w:vertAlign w:val="baseline"/>
                <w:lang w:val="en-US" w:eastAsia="zh-CN"/>
              </w:rPr>
              <w:t>=10lg(7.5/r)，小时车流量小于300辆/小时：</w:t>
            </w:r>
            <w:r>
              <w:rPr>
                <w:rFonts w:hint="default" w:ascii="Times New Roman" w:hAnsi="Times New Roman" w:eastAsia="宋体" w:cs="Times New Roman"/>
                <w:i/>
                <w:iCs/>
                <w:color w:val="auto"/>
                <w:highlight w:val="none"/>
              </w:rPr>
              <w:t>Δ</w:t>
            </w:r>
            <w:r>
              <w:rPr>
                <w:rFonts w:hint="default" w:ascii="Times New Roman" w:hAnsi="Times New Roman" w:cs="Times New Roman"/>
                <w:i/>
                <w:iCs/>
                <w:color w:val="auto"/>
                <w:highlight w:val="none"/>
                <w:lang w:val="en-US" w:eastAsia="zh-CN"/>
              </w:rPr>
              <w:t>L</w:t>
            </w:r>
            <w:r>
              <w:rPr>
                <w:rFonts w:hint="eastAsia" w:cs="Times New Roman"/>
                <w:color w:val="auto"/>
                <w:highlight w:val="none"/>
                <w:vertAlign w:val="subscript"/>
                <w:lang w:val="en-US" w:eastAsia="zh-CN"/>
              </w:rPr>
              <w:t>距离</w:t>
            </w:r>
            <w:r>
              <w:rPr>
                <w:rFonts w:hint="eastAsia" w:cs="Times New Roman"/>
                <w:color w:val="auto"/>
                <w:highlight w:val="none"/>
                <w:vertAlign w:val="baseline"/>
                <w:lang w:val="en-US" w:eastAsia="zh-CN"/>
              </w:rPr>
              <w:t>=15lg(7.5/r)；</w:t>
            </w:r>
          </w:p>
          <w:p>
            <w:pPr>
              <w:pStyle w:val="33"/>
              <w:keepNext w:val="0"/>
              <w:keepLines w:val="0"/>
              <w:pageBreakBefore w:val="0"/>
              <w:widowControl w:val="0"/>
              <w:kinsoku/>
              <w:wordWrap/>
              <w:overflowPunct/>
              <w:topLinePunct w:val="0"/>
              <w:autoSpaceDE/>
              <w:autoSpaceDN/>
              <w:bidi w:val="0"/>
              <w:adjustRightInd w:val="0"/>
              <w:snapToGrid w:val="0"/>
              <w:ind w:left="956" w:leftChars="400" w:firstLine="0" w:firstLineChars="0"/>
              <w:textAlignment w:val="auto"/>
              <w:rPr>
                <w:rFonts w:hint="eastAsia"/>
                <w:color w:val="auto"/>
                <w:highlight w:val="none"/>
              </w:rPr>
            </w:pPr>
            <w:r>
              <w:rPr>
                <w:color w:val="auto"/>
                <w:highlight w:val="none"/>
              </w:rPr>
              <w:t>r ——</w:t>
            </w:r>
            <w:r>
              <w:rPr>
                <w:rFonts w:hint="eastAsia"/>
                <w:color w:val="auto"/>
                <w:highlight w:val="none"/>
              </w:rPr>
              <w:t>从车道中心线到预测点的距离，</w:t>
            </w:r>
            <w:r>
              <w:rPr>
                <w:color w:val="auto"/>
                <w:highlight w:val="none"/>
              </w:rPr>
              <w:t>m</w:t>
            </w:r>
            <w:r>
              <w:rPr>
                <w:rFonts w:hint="eastAsia"/>
                <w:color w:val="auto"/>
                <w:highlight w:val="none"/>
              </w:rPr>
              <w:t>；</w:t>
            </w:r>
          </w:p>
          <w:p>
            <w:pPr>
              <w:pStyle w:val="33"/>
              <w:keepNext w:val="0"/>
              <w:keepLines w:val="0"/>
              <w:pageBreakBefore w:val="0"/>
              <w:widowControl w:val="0"/>
              <w:kinsoku/>
              <w:wordWrap/>
              <w:overflowPunct/>
              <w:topLinePunct w:val="0"/>
              <w:autoSpaceDE/>
              <w:autoSpaceDN/>
              <w:bidi w:val="0"/>
              <w:adjustRightInd w:val="0"/>
              <w:snapToGrid w:val="0"/>
              <w:ind w:left="956" w:leftChars="400" w:firstLine="0" w:firstLineChars="0"/>
              <w:textAlignment w:val="auto"/>
              <w:rPr>
                <w:color w:val="auto"/>
                <w:highlight w:val="none"/>
              </w:rPr>
            </w:pPr>
            <m:oMath>
              <m:sSub>
                <m:sSubPr>
                  <m:ctrlPr>
                    <w:rPr>
                      <w:rFonts w:ascii="Cambria Math" w:hAnsi="Cambria Math"/>
                      <w:i/>
                      <w:color w:val="auto"/>
                      <w:highlight w:val="none"/>
                    </w:rPr>
                  </m:ctrlPr>
                </m:sSubPr>
                <m:e>
                  <m:r>
                    <m:rPr/>
                    <w:rPr>
                      <w:rFonts w:ascii="Cambria Math" w:hAnsi="Cambria Math"/>
                      <w:color w:val="auto"/>
                      <w:highlight w:val="none"/>
                    </w:rPr>
                    <m:t>Ψ</m:t>
                  </m:r>
                  <m:ctrlPr>
                    <w:rPr>
                      <w:rFonts w:ascii="Cambria Math" w:hAnsi="Cambria Math"/>
                      <w:i/>
                      <w:color w:val="auto"/>
                      <w:highlight w:val="none"/>
                    </w:rPr>
                  </m:ctrlPr>
                </m:e>
                <m:sub>
                  <m:r>
                    <m:rPr/>
                    <w:rPr>
                      <w:rFonts w:hint="default" w:ascii="Cambria Math" w:hAnsi="Cambria Math"/>
                      <w:color w:val="auto"/>
                      <w:highlight w:val="none"/>
                      <w:lang w:val="en-US" w:eastAsia="zh-CN"/>
                    </w:rPr>
                    <m:t>1</m:t>
                  </m:r>
                  <m:ctrlPr>
                    <w:rPr>
                      <w:rFonts w:ascii="Cambria Math" w:hAnsi="Cambria Math"/>
                      <w:i/>
                      <w:color w:val="auto"/>
                      <w:highlight w:val="none"/>
                    </w:rPr>
                  </m:ctrlPr>
                </m:sub>
              </m:sSub>
              <m:r>
                <m:rPr/>
                <w:rPr>
                  <w:rFonts w:hint="default" w:ascii="Cambria Math" w:hAnsi="Cambria Math"/>
                  <w:color w:val="auto"/>
                  <w:highlight w:val="none"/>
                  <w:lang w:eastAsia="zh-CN"/>
                </w:rPr>
                <m:t>、</m:t>
              </m:r>
              <m:sSub>
                <m:sSubPr>
                  <m:ctrlPr>
                    <w:rPr>
                      <w:rFonts w:ascii="Cambria Math" w:hAnsi="Cambria Math"/>
                      <w:i/>
                      <w:color w:val="auto"/>
                      <w:highlight w:val="none"/>
                    </w:rPr>
                  </m:ctrlPr>
                </m:sSubPr>
                <m:e>
                  <m:r>
                    <m:rPr/>
                    <w:rPr>
                      <w:rFonts w:ascii="Cambria Math" w:hAnsi="Cambria Math"/>
                      <w:color w:val="auto"/>
                      <w:highlight w:val="none"/>
                    </w:rPr>
                    <m:t>Ψ</m:t>
                  </m:r>
                  <m:ctrlPr>
                    <w:rPr>
                      <w:rFonts w:ascii="Cambria Math" w:hAnsi="Cambria Math"/>
                      <w:i/>
                      <w:color w:val="auto"/>
                      <w:highlight w:val="none"/>
                    </w:rPr>
                  </m:ctrlPr>
                </m:e>
                <m:sub>
                  <m:r>
                    <m:rPr/>
                    <w:rPr>
                      <w:rFonts w:hint="default" w:ascii="Cambria Math" w:hAnsi="Cambria Math"/>
                      <w:color w:val="auto"/>
                      <w:highlight w:val="none"/>
                      <w:lang w:val="en-US" w:eastAsia="zh-CN"/>
                    </w:rPr>
                    <m:t>2</m:t>
                  </m:r>
                  <m:ctrlPr>
                    <w:rPr>
                      <w:rFonts w:ascii="Cambria Math" w:hAnsi="Cambria Math"/>
                      <w:i/>
                      <w:color w:val="auto"/>
                      <w:highlight w:val="none"/>
                    </w:rPr>
                  </m:ctrlPr>
                </m:sub>
              </m:sSub>
            </m:oMath>
            <w:r>
              <w:rPr>
                <w:color w:val="auto"/>
                <w:highlight w:val="none"/>
              </w:rPr>
              <w:t>——</w:t>
            </w:r>
            <w:r>
              <w:rPr>
                <w:rFonts w:hint="eastAsia"/>
                <w:color w:val="auto"/>
                <w:highlight w:val="none"/>
              </w:rPr>
              <w:t>预测点到有限长路段两端的张角，弧度</w:t>
            </w:r>
            <w:r>
              <w:rPr>
                <w:color w:val="auto"/>
                <w:highlight w:val="none"/>
              </w:rPr>
              <w:t xml:space="preserve">，见图 </w:t>
            </w:r>
            <w:r>
              <w:rPr>
                <w:rFonts w:hint="eastAsia"/>
                <w:color w:val="auto"/>
                <w:highlight w:val="none"/>
              </w:rPr>
              <w:t>4</w:t>
            </w:r>
            <w:r>
              <w:rPr>
                <w:color w:val="auto"/>
                <w:highlight w:val="none"/>
              </w:rPr>
              <w:t>-1所示；</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color w:val="auto"/>
                <w:highlight w:val="none"/>
              </w:rPr>
              <w:drawing>
                <wp:inline distT="0" distB="0" distL="114300" distR="114300">
                  <wp:extent cx="2973705" cy="1143000"/>
                  <wp:effectExtent l="0" t="0" r="17145" b="0"/>
                  <wp:docPr id="1"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5.jpeg"/>
                          <pic:cNvPicPr>
                            <a:picLocks noChangeAspect="1"/>
                          </pic:cNvPicPr>
                        </pic:nvPicPr>
                        <pic:blipFill>
                          <a:blip r:embed="rId25"/>
                          <a:stretch>
                            <a:fillRect/>
                          </a:stretch>
                        </pic:blipFill>
                        <pic:spPr>
                          <a:xfrm>
                            <a:off x="0" y="0"/>
                            <a:ext cx="2973705" cy="1143000"/>
                          </a:xfrm>
                          <a:prstGeom prst="rect">
                            <a:avLst/>
                          </a:prstGeom>
                          <a:noFill/>
                          <a:ln>
                            <a:noFill/>
                          </a:ln>
                        </pic:spPr>
                      </pic:pic>
                    </a:graphicData>
                  </a:graphic>
                </wp:inline>
              </w:drawing>
            </w:r>
          </w:p>
          <w:p>
            <w:pPr>
              <w:pStyle w:val="41"/>
              <w:bidi w:val="0"/>
              <w:rPr>
                <w:color w:val="auto"/>
                <w:highlight w:val="none"/>
              </w:rPr>
            </w:pPr>
            <w:r>
              <w:rPr>
                <w:color w:val="auto"/>
                <w:highlight w:val="none"/>
              </w:rPr>
              <w:t>图 4-1</w:t>
            </w:r>
            <w:r>
              <w:rPr>
                <w:color w:val="auto"/>
                <w:highlight w:val="none"/>
              </w:rPr>
              <w:tab/>
            </w:r>
            <w:r>
              <w:rPr>
                <w:color w:val="auto"/>
                <w:highlight w:val="none"/>
              </w:rPr>
              <w:t>有限路段的修正函数，A-B 为路段，P 为预测点</w:t>
            </w:r>
          </w:p>
          <w:p>
            <w:pPr>
              <w:pStyle w:val="33"/>
              <w:bidi w:val="0"/>
              <w:rPr>
                <w:color w:val="auto"/>
                <w:highlight w:val="none"/>
              </w:rPr>
            </w:pPr>
            <w:r>
              <w:rPr>
                <w:color w:val="auto"/>
                <w:highlight w:val="none"/>
              </w:rPr>
              <w:t>由其他因素引起的修正量</w:t>
            </w:r>
            <w:r>
              <w:rPr>
                <w:rFonts w:hint="eastAsia"/>
                <w:color w:val="auto"/>
                <w:highlight w:val="none"/>
                <w:lang w:eastAsia="zh-CN"/>
              </w:rPr>
              <w:t>（</w:t>
            </w:r>
            <w:r>
              <w:rPr>
                <w:rFonts w:hint="default" w:ascii="Times New Roman" w:hAnsi="Times New Roman" w:eastAsia="宋体" w:cs="Times New Roman"/>
                <w:i/>
                <w:iCs/>
                <w:color w:val="auto"/>
                <w:highlight w:val="none"/>
              </w:rPr>
              <w:t>Δ</w:t>
            </w:r>
            <w:r>
              <w:rPr>
                <w:rFonts w:hint="default" w:ascii="Times New Roman" w:hAnsi="Times New Roman" w:cs="Times New Roman"/>
                <w:i/>
                <w:iCs/>
                <w:color w:val="auto"/>
                <w:highlight w:val="none"/>
                <w:lang w:val="en-US" w:eastAsia="zh-CN"/>
              </w:rPr>
              <w:t>L</w:t>
            </w:r>
            <w:r>
              <w:rPr>
                <w:rFonts w:hint="eastAsia" w:cs="Times New Roman"/>
                <w:color w:val="auto"/>
                <w:highlight w:val="none"/>
                <w:vertAlign w:val="subscript"/>
                <w:lang w:val="en-US" w:eastAsia="zh-CN"/>
              </w:rPr>
              <w:t>1</w:t>
            </w:r>
            <w:r>
              <w:rPr>
                <w:rFonts w:hint="eastAsia"/>
                <w:color w:val="auto"/>
                <w:highlight w:val="none"/>
                <w:lang w:eastAsia="zh-CN"/>
              </w:rPr>
              <w:t>）</w:t>
            </w:r>
            <w:r>
              <w:rPr>
                <w:color w:val="auto"/>
                <w:highlight w:val="none"/>
              </w:rPr>
              <w:t>可按下式计算：</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bookmarkStart w:id="30" w:name="OLE_LINK7"/>
            <w:r>
              <w:rPr>
                <w:color w:val="auto"/>
                <w:position w:val="-32"/>
                <w:highlight w:val="none"/>
              </w:rPr>
              <w:object>
                <v:shape id="_x0000_i1028" o:spt="75" type="#_x0000_t75" style="height:60.4pt;width:148.3pt;" o:ole="t" filled="f" o:preferrelative="t" stroked="f" coordsize="21600,21600">
                  <v:path/>
                  <v:fill on="f" focussize="0,0"/>
                  <v:stroke on="f"/>
                  <v:imagedata r:id="rId27" o:title=""/>
                  <o:lock v:ext="edit" aspectratio="t"/>
                  <w10:wrap type="none"/>
                  <w10:anchorlock/>
                </v:shape>
                <o:OLEObject Type="Embed" ProgID="Equation.KSEE3" ShapeID="_x0000_i1028" DrawAspect="Content" ObjectID="_1468075729" r:id="rId26">
                  <o:LockedField>false</o:LockedField>
                </o:OLEObject>
              </w:object>
            </w:r>
            <w:bookmarkEnd w:id="30"/>
          </w:p>
          <w:p>
            <w:pPr>
              <w:pStyle w:val="33"/>
              <w:bidi w:val="0"/>
              <w:rPr>
                <w:color w:val="auto"/>
                <w:highlight w:val="none"/>
              </w:rPr>
            </w:pPr>
            <w:r>
              <w:rPr>
                <w:color w:val="auto"/>
                <w:highlight w:val="none"/>
              </w:rPr>
              <w:t>式中：</w:t>
            </w:r>
            <w:r>
              <w:rPr>
                <w:i/>
                <w:iCs/>
                <w:color w:val="auto"/>
                <w:highlight w:val="none"/>
              </w:rPr>
              <w:t>∆</w:t>
            </w:r>
            <w:r>
              <w:rPr>
                <w:rFonts w:hint="eastAsia"/>
                <w:i/>
                <w:iCs/>
                <w:color w:val="auto"/>
                <w:highlight w:val="none"/>
                <w:lang w:val="en-US" w:eastAsia="zh-CN"/>
              </w:rPr>
              <w:t>L</w:t>
            </w:r>
            <w:r>
              <w:rPr>
                <w:i/>
                <w:iCs/>
                <w:color w:val="auto"/>
                <w:highlight w:val="none"/>
                <w:vertAlign w:val="subscript"/>
              </w:rPr>
              <w:t>1</w:t>
            </w:r>
            <w:r>
              <w:rPr>
                <w:color w:val="auto"/>
                <w:highlight w:val="none"/>
              </w:rPr>
              <w:t>——线路因素引起的修正值，dB(A)；</w:t>
            </w:r>
          </w:p>
          <w:p>
            <w:pPr>
              <w:pStyle w:val="33"/>
              <w:keepNext w:val="0"/>
              <w:keepLines w:val="0"/>
              <w:pageBreakBefore w:val="0"/>
              <w:widowControl w:val="0"/>
              <w:kinsoku/>
              <w:wordWrap/>
              <w:overflowPunct/>
              <w:topLinePunct w:val="0"/>
              <w:autoSpaceDE/>
              <w:autoSpaceDN/>
              <w:bidi w:val="0"/>
              <w:adjustRightInd w:val="0"/>
              <w:snapToGrid w:val="0"/>
              <w:ind w:firstLine="1045" w:firstLineChars="500"/>
              <w:textAlignment w:val="auto"/>
              <w:rPr>
                <w:color w:val="auto"/>
                <w:highlight w:val="none"/>
              </w:rPr>
            </w:pPr>
            <w:r>
              <w:rPr>
                <w:i/>
                <w:iCs/>
                <w:color w:val="auto"/>
                <w:highlight w:val="none"/>
              </w:rPr>
              <w:t>∆</w:t>
            </w:r>
            <w:r>
              <w:rPr>
                <w:rFonts w:hint="eastAsia"/>
                <w:i/>
                <w:iCs/>
                <w:color w:val="auto"/>
                <w:highlight w:val="none"/>
                <w:lang w:val="en-US" w:eastAsia="zh-CN"/>
              </w:rPr>
              <w:t>L</w:t>
            </w:r>
            <w:r>
              <w:rPr>
                <w:i/>
                <w:iCs/>
                <w:color w:val="auto"/>
                <w:highlight w:val="none"/>
                <w:vertAlign w:val="subscript"/>
              </w:rPr>
              <w:t>坡度</w:t>
            </w:r>
            <w:r>
              <w:rPr>
                <w:color w:val="auto"/>
                <w:highlight w:val="none"/>
              </w:rPr>
              <w:t>——</w:t>
            </w:r>
            <w:r>
              <w:rPr>
                <w:rFonts w:hint="eastAsia"/>
                <w:color w:val="auto"/>
                <w:highlight w:val="none"/>
                <w:lang w:eastAsia="zh-CN"/>
              </w:rPr>
              <w:t>公路</w:t>
            </w:r>
            <w:r>
              <w:rPr>
                <w:color w:val="auto"/>
                <w:highlight w:val="none"/>
              </w:rPr>
              <w:t>纵坡修正量，dB(A)；</w:t>
            </w:r>
          </w:p>
          <w:p>
            <w:pPr>
              <w:pStyle w:val="33"/>
              <w:keepNext w:val="0"/>
              <w:keepLines w:val="0"/>
              <w:pageBreakBefore w:val="0"/>
              <w:widowControl w:val="0"/>
              <w:kinsoku/>
              <w:wordWrap/>
              <w:overflowPunct/>
              <w:topLinePunct w:val="0"/>
              <w:autoSpaceDE/>
              <w:autoSpaceDN/>
              <w:bidi w:val="0"/>
              <w:adjustRightInd w:val="0"/>
              <w:snapToGrid w:val="0"/>
              <w:ind w:firstLine="1045" w:firstLineChars="500"/>
              <w:textAlignment w:val="auto"/>
              <w:rPr>
                <w:rFonts w:hint="default" w:eastAsia="宋体"/>
                <w:color w:val="auto"/>
                <w:highlight w:val="none"/>
                <w:lang w:val="en-US" w:eastAsia="zh-CN"/>
              </w:rPr>
            </w:pPr>
            <w:r>
              <w:rPr>
                <w:i/>
                <w:iCs/>
                <w:color w:val="auto"/>
                <w:highlight w:val="none"/>
              </w:rPr>
              <w:t>∆</w:t>
            </w:r>
            <w:r>
              <w:rPr>
                <w:rFonts w:hint="eastAsia"/>
                <w:i/>
                <w:iCs/>
                <w:color w:val="auto"/>
                <w:highlight w:val="none"/>
                <w:lang w:val="en-US" w:eastAsia="zh-CN"/>
              </w:rPr>
              <w:t>L</w:t>
            </w:r>
            <w:r>
              <w:rPr>
                <w:i/>
                <w:iCs/>
                <w:color w:val="auto"/>
                <w:highlight w:val="none"/>
                <w:vertAlign w:val="subscript"/>
              </w:rPr>
              <w:t>路面</w:t>
            </w:r>
            <w:r>
              <w:rPr>
                <w:color w:val="auto"/>
                <w:highlight w:val="none"/>
              </w:rPr>
              <w:t>——</w:t>
            </w:r>
            <w:r>
              <w:rPr>
                <w:rFonts w:hint="eastAsia"/>
                <w:color w:val="auto"/>
                <w:highlight w:val="none"/>
                <w:lang w:eastAsia="zh-CN"/>
              </w:rPr>
              <w:t>公路</w:t>
            </w:r>
            <w:r>
              <w:rPr>
                <w:color w:val="auto"/>
                <w:highlight w:val="none"/>
              </w:rPr>
              <w:t>路面材料引起的修正量，dB(A)；</w:t>
            </w:r>
            <w:r>
              <w:rPr>
                <w:rFonts w:hint="eastAsia"/>
                <w:color w:val="auto"/>
                <w:highlight w:val="none"/>
                <w:lang w:eastAsia="zh-CN"/>
              </w:rPr>
              <w:t>本项目路面类型为沥青混凝土，根据导则表</w:t>
            </w:r>
            <w:r>
              <w:rPr>
                <w:rFonts w:hint="eastAsia"/>
                <w:color w:val="auto"/>
                <w:highlight w:val="none"/>
                <w:lang w:val="en-US" w:eastAsia="zh-CN"/>
              </w:rPr>
              <w:t>B.2，修正量为0，即</w:t>
            </w:r>
            <w:r>
              <w:rPr>
                <w:i/>
                <w:iCs/>
                <w:color w:val="auto"/>
                <w:highlight w:val="none"/>
              </w:rPr>
              <w:t>∆</w:t>
            </w:r>
            <w:r>
              <w:rPr>
                <w:rFonts w:hint="eastAsia"/>
                <w:i/>
                <w:iCs/>
                <w:color w:val="auto"/>
                <w:highlight w:val="none"/>
                <w:lang w:val="en-US" w:eastAsia="zh-CN"/>
              </w:rPr>
              <w:t>L</w:t>
            </w:r>
            <w:r>
              <w:rPr>
                <w:i/>
                <w:iCs/>
                <w:color w:val="auto"/>
                <w:highlight w:val="none"/>
                <w:vertAlign w:val="subscript"/>
              </w:rPr>
              <w:t>路面</w:t>
            </w:r>
            <w:r>
              <w:rPr>
                <w:rFonts w:hint="eastAsia"/>
                <w:i w:val="0"/>
                <w:iCs w:val="0"/>
                <w:color w:val="auto"/>
                <w:highlight w:val="none"/>
                <w:vertAlign w:val="baseline"/>
                <w:lang w:val="en-US" w:eastAsia="zh-CN"/>
              </w:rPr>
              <w:t>=0</w:t>
            </w:r>
          </w:p>
          <w:p>
            <w:pPr>
              <w:pStyle w:val="33"/>
              <w:keepNext w:val="0"/>
              <w:keepLines w:val="0"/>
              <w:pageBreakBefore w:val="0"/>
              <w:widowControl w:val="0"/>
              <w:kinsoku/>
              <w:wordWrap/>
              <w:overflowPunct/>
              <w:topLinePunct w:val="0"/>
              <w:autoSpaceDE/>
              <w:autoSpaceDN/>
              <w:bidi w:val="0"/>
              <w:adjustRightInd w:val="0"/>
              <w:snapToGrid w:val="0"/>
              <w:ind w:firstLine="1045" w:firstLineChars="500"/>
              <w:textAlignment w:val="auto"/>
              <w:rPr>
                <w:color w:val="auto"/>
                <w:highlight w:val="none"/>
              </w:rPr>
            </w:pPr>
            <w:r>
              <w:rPr>
                <w:i/>
                <w:iCs/>
                <w:color w:val="auto"/>
                <w:highlight w:val="none"/>
              </w:rPr>
              <w:t>∆</w:t>
            </w:r>
            <w:r>
              <w:rPr>
                <w:rFonts w:hint="eastAsia"/>
                <w:i/>
                <w:iCs/>
                <w:color w:val="auto"/>
                <w:highlight w:val="none"/>
                <w:lang w:val="en-US" w:eastAsia="zh-CN"/>
              </w:rPr>
              <w:t>L</w:t>
            </w:r>
            <w:r>
              <w:rPr>
                <w:i/>
                <w:iCs/>
                <w:color w:val="auto"/>
                <w:highlight w:val="none"/>
                <w:vertAlign w:val="subscript"/>
              </w:rPr>
              <w:t>2</w:t>
            </w:r>
            <w:r>
              <w:rPr>
                <w:color w:val="auto"/>
                <w:highlight w:val="none"/>
              </w:rPr>
              <w:t>——声波传播途径中引起的衰减量，dB(A)；</w:t>
            </w:r>
          </w:p>
          <w:p>
            <w:pPr>
              <w:pStyle w:val="33"/>
              <w:keepNext w:val="0"/>
              <w:keepLines w:val="0"/>
              <w:pageBreakBefore w:val="0"/>
              <w:widowControl w:val="0"/>
              <w:kinsoku/>
              <w:wordWrap/>
              <w:overflowPunct/>
              <w:topLinePunct w:val="0"/>
              <w:autoSpaceDE/>
              <w:autoSpaceDN/>
              <w:bidi w:val="0"/>
              <w:adjustRightInd w:val="0"/>
              <w:snapToGrid w:val="0"/>
              <w:ind w:firstLine="1045" w:firstLineChars="500"/>
              <w:textAlignment w:val="auto"/>
              <w:rPr>
                <w:color w:val="auto"/>
                <w:highlight w:val="none"/>
              </w:rPr>
            </w:pPr>
            <w:r>
              <w:rPr>
                <w:i/>
                <w:iCs/>
                <w:color w:val="auto"/>
                <w:highlight w:val="none"/>
              </w:rPr>
              <w:t>∆</w:t>
            </w:r>
            <w:r>
              <w:rPr>
                <w:rFonts w:hint="eastAsia"/>
                <w:i/>
                <w:iCs/>
                <w:color w:val="auto"/>
                <w:highlight w:val="none"/>
                <w:lang w:val="en-US" w:eastAsia="zh-CN"/>
              </w:rPr>
              <w:t>L</w:t>
            </w:r>
            <w:r>
              <w:rPr>
                <w:i/>
                <w:iCs/>
                <w:color w:val="auto"/>
                <w:highlight w:val="none"/>
                <w:vertAlign w:val="subscript"/>
              </w:rPr>
              <w:t>3</w:t>
            </w:r>
            <w:r>
              <w:rPr>
                <w:color w:val="auto"/>
                <w:highlight w:val="none"/>
              </w:rPr>
              <w:t>——由反射等引起的修正量，dB(A)</w:t>
            </w:r>
            <w:r>
              <w:rPr>
                <w:rFonts w:hint="eastAsia"/>
                <w:color w:val="auto"/>
                <w:highlight w:val="none"/>
                <w:lang w:eastAsia="zh-CN"/>
              </w:rPr>
              <w:t>，本项目道路两侧建筑物较少，本次评价</w:t>
            </w:r>
            <w:r>
              <w:rPr>
                <w:color w:val="auto"/>
                <w:highlight w:val="none"/>
              </w:rPr>
              <w:t>由反射等引起的修正量</w:t>
            </w:r>
            <w:r>
              <w:rPr>
                <w:rFonts w:hint="eastAsia"/>
                <w:color w:val="auto"/>
                <w:highlight w:val="none"/>
                <w:lang w:eastAsia="zh-CN"/>
              </w:rPr>
              <w:t>忽略不计</w:t>
            </w:r>
            <w:r>
              <w:rPr>
                <w:color w:val="auto"/>
                <w:highlight w:val="none"/>
              </w:rPr>
              <w:t>。</w:t>
            </w:r>
          </w:p>
          <w:p>
            <w:pPr>
              <w:pStyle w:val="33"/>
              <w:bidi w:val="0"/>
              <w:rPr>
                <w:color w:val="auto"/>
                <w:highlight w:val="none"/>
              </w:rPr>
            </w:pPr>
            <w:r>
              <w:rPr>
                <w:color w:val="auto"/>
                <w:highlight w:val="none"/>
              </w:rPr>
              <w:t>②总车流等效声级</w:t>
            </w:r>
          </w:p>
          <w:p>
            <w:pPr>
              <w:pStyle w:val="33"/>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auto"/>
                <w:highlight w:val="none"/>
              </w:rPr>
            </w:pPr>
            <w:r>
              <w:rPr>
                <w:color w:val="auto"/>
                <w:highlight w:val="none"/>
              </w:rPr>
              <w:drawing>
                <wp:inline distT="0" distB="0" distL="114300" distR="114300">
                  <wp:extent cx="2846705" cy="334645"/>
                  <wp:effectExtent l="0" t="0" r="10795" b="6985"/>
                  <wp:docPr id="5" name="对象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对象 2"/>
                          <pic:cNvPicPr>
                            <a:picLocks noChangeAspect="1"/>
                          </pic:cNvPicPr>
                        </pic:nvPicPr>
                        <pic:blipFill>
                          <a:blip r:embed="rId28"/>
                          <a:stretch>
                            <a:fillRect/>
                          </a:stretch>
                        </pic:blipFill>
                        <pic:spPr>
                          <a:xfrm>
                            <a:off x="0" y="0"/>
                            <a:ext cx="2846705" cy="334645"/>
                          </a:xfrm>
                          <a:prstGeom prst="rect">
                            <a:avLst/>
                          </a:prstGeom>
                          <a:noFill/>
                          <a:ln>
                            <a:noFill/>
                          </a:ln>
                        </pic:spPr>
                      </pic:pic>
                    </a:graphicData>
                  </a:graphic>
                </wp:inline>
              </w:drawing>
            </w:r>
          </w:p>
          <w:p>
            <w:pPr>
              <w:pStyle w:val="33"/>
              <w:bidi w:val="0"/>
              <w:rPr>
                <w:rFonts w:hint="eastAsia" w:eastAsia="宋体"/>
                <w:color w:val="auto"/>
                <w:highlight w:val="none"/>
                <w:lang w:eastAsia="zh-CN"/>
              </w:rPr>
            </w:pPr>
            <w:r>
              <w:rPr>
                <w:color w:val="auto"/>
                <w:highlight w:val="none"/>
              </w:rPr>
              <w:t>式中：</w:t>
            </w:r>
            <w:r>
              <w:rPr>
                <w:rFonts w:hint="eastAsia"/>
                <w:i/>
                <w:iCs/>
                <w:color w:val="auto"/>
                <w:highlight w:val="none"/>
                <w:lang w:val="en-US" w:eastAsia="zh-CN"/>
              </w:rPr>
              <w:t>L</w:t>
            </w:r>
            <w:r>
              <w:rPr>
                <w:rFonts w:hint="eastAsia"/>
                <w:i/>
                <w:iCs/>
                <w:color w:val="auto"/>
                <w:highlight w:val="none"/>
                <w:vertAlign w:val="subscript"/>
                <w:lang w:val="en-US" w:eastAsia="zh-CN"/>
              </w:rPr>
              <w:t>eq</w:t>
            </w:r>
            <w:r>
              <w:rPr>
                <w:rFonts w:hint="eastAsia"/>
                <w:i/>
                <w:iCs/>
                <w:color w:val="auto"/>
                <w:highlight w:val="none"/>
                <w:lang w:val="en-US" w:eastAsia="zh-CN"/>
              </w:rPr>
              <w:t>(T)</w:t>
            </w:r>
            <w:r>
              <w:rPr>
                <w:color w:val="auto"/>
                <w:highlight w:val="none"/>
              </w:rPr>
              <w:t>——</w:t>
            </w:r>
            <w:r>
              <w:rPr>
                <w:rFonts w:hint="eastAsia"/>
                <w:color w:val="auto"/>
                <w:highlight w:val="none"/>
                <w:lang w:eastAsia="zh-CN"/>
              </w:rPr>
              <w:t>总车流等效声级</w:t>
            </w:r>
            <w:r>
              <w:rPr>
                <w:color w:val="auto"/>
                <w:highlight w:val="none"/>
              </w:rPr>
              <w:t>，dB(A)</w:t>
            </w:r>
            <w:r>
              <w:rPr>
                <w:rFonts w:hint="eastAsia"/>
                <w:color w:val="auto"/>
                <w:highlight w:val="none"/>
                <w:lang w:eastAsia="zh-CN"/>
              </w:rPr>
              <w:t>；</w:t>
            </w:r>
          </w:p>
          <w:p>
            <w:pPr>
              <w:pStyle w:val="33"/>
              <w:bidi w:val="0"/>
              <w:ind w:firstLine="1045" w:firstLineChars="500"/>
              <w:rPr>
                <w:color w:val="auto"/>
                <w:highlight w:val="none"/>
              </w:rPr>
            </w:pPr>
            <w:r>
              <w:rPr>
                <w:rFonts w:hint="eastAsia"/>
                <w:i/>
                <w:iCs/>
                <w:color w:val="auto"/>
                <w:highlight w:val="none"/>
                <w:lang w:val="en-US" w:eastAsia="zh-CN"/>
              </w:rPr>
              <w:t>L</w:t>
            </w:r>
            <w:r>
              <w:rPr>
                <w:rFonts w:hint="eastAsia"/>
                <w:i/>
                <w:iCs/>
                <w:color w:val="auto"/>
                <w:highlight w:val="none"/>
                <w:vertAlign w:val="subscript"/>
                <w:lang w:val="en-US" w:eastAsia="zh-CN"/>
              </w:rPr>
              <w:t>eq</w:t>
            </w:r>
            <w:r>
              <w:rPr>
                <w:rFonts w:hint="eastAsia"/>
                <w:i/>
                <w:iCs/>
                <w:color w:val="auto"/>
                <w:highlight w:val="none"/>
                <w:lang w:val="en-US" w:eastAsia="zh-CN"/>
              </w:rPr>
              <w:t>(h)</w:t>
            </w:r>
            <w:r>
              <w:rPr>
                <w:rFonts w:hint="eastAsia"/>
                <w:i/>
                <w:iCs/>
                <w:color w:val="auto"/>
                <w:highlight w:val="none"/>
                <w:vertAlign w:val="subscript"/>
                <w:lang w:val="en-US" w:eastAsia="zh-CN"/>
              </w:rPr>
              <w:t>大</w:t>
            </w:r>
            <w:r>
              <w:rPr>
                <w:rFonts w:hint="eastAsia"/>
                <w:color w:val="auto"/>
                <w:highlight w:val="none"/>
                <w:lang w:val="en-US" w:eastAsia="zh-CN"/>
              </w:rPr>
              <w:t>、</w:t>
            </w:r>
            <w:r>
              <w:rPr>
                <w:rFonts w:hint="eastAsia"/>
                <w:i/>
                <w:iCs/>
                <w:color w:val="auto"/>
                <w:highlight w:val="none"/>
                <w:lang w:val="en-US" w:eastAsia="zh-CN"/>
              </w:rPr>
              <w:t>L</w:t>
            </w:r>
            <w:r>
              <w:rPr>
                <w:rFonts w:hint="eastAsia"/>
                <w:i/>
                <w:iCs/>
                <w:color w:val="auto"/>
                <w:highlight w:val="none"/>
                <w:vertAlign w:val="subscript"/>
                <w:lang w:val="en-US" w:eastAsia="zh-CN"/>
              </w:rPr>
              <w:t>eq</w:t>
            </w:r>
            <w:r>
              <w:rPr>
                <w:rFonts w:hint="eastAsia"/>
                <w:i/>
                <w:iCs/>
                <w:color w:val="auto"/>
                <w:highlight w:val="none"/>
                <w:lang w:val="en-US" w:eastAsia="zh-CN"/>
              </w:rPr>
              <w:t>(h)</w:t>
            </w:r>
            <w:r>
              <w:rPr>
                <w:rFonts w:hint="eastAsia"/>
                <w:i/>
                <w:iCs/>
                <w:color w:val="auto"/>
                <w:highlight w:val="none"/>
                <w:vertAlign w:val="subscript"/>
                <w:lang w:val="en-US" w:eastAsia="zh-CN"/>
              </w:rPr>
              <w:t>中</w:t>
            </w:r>
            <w:r>
              <w:rPr>
                <w:rFonts w:hint="eastAsia"/>
                <w:i/>
                <w:iCs/>
                <w:color w:val="auto"/>
                <w:highlight w:val="none"/>
                <w:vertAlign w:val="baseline"/>
                <w:lang w:val="en-US" w:eastAsia="zh-CN"/>
              </w:rPr>
              <w:t>、</w:t>
            </w:r>
            <w:r>
              <w:rPr>
                <w:rFonts w:hint="eastAsia"/>
                <w:i/>
                <w:iCs/>
                <w:color w:val="auto"/>
                <w:highlight w:val="none"/>
                <w:lang w:val="en-US" w:eastAsia="zh-CN"/>
              </w:rPr>
              <w:t>L</w:t>
            </w:r>
            <w:r>
              <w:rPr>
                <w:rFonts w:hint="eastAsia"/>
                <w:i/>
                <w:iCs/>
                <w:color w:val="auto"/>
                <w:highlight w:val="none"/>
                <w:vertAlign w:val="subscript"/>
                <w:lang w:val="en-US" w:eastAsia="zh-CN"/>
              </w:rPr>
              <w:t>eq</w:t>
            </w:r>
            <w:r>
              <w:rPr>
                <w:rFonts w:hint="eastAsia"/>
                <w:i/>
                <w:iCs/>
                <w:color w:val="auto"/>
                <w:highlight w:val="none"/>
                <w:lang w:val="en-US" w:eastAsia="zh-CN"/>
              </w:rPr>
              <w:t>(h)</w:t>
            </w:r>
            <w:r>
              <w:rPr>
                <w:rFonts w:hint="eastAsia"/>
                <w:i/>
                <w:iCs/>
                <w:color w:val="auto"/>
                <w:highlight w:val="none"/>
                <w:vertAlign w:val="subscript"/>
                <w:lang w:val="en-US" w:eastAsia="zh-CN"/>
              </w:rPr>
              <w:t>小</w:t>
            </w:r>
            <w:r>
              <w:rPr>
                <w:color w:val="auto"/>
                <w:highlight w:val="none"/>
              </w:rPr>
              <w:t>——大、中、小型车</w:t>
            </w:r>
            <w:r>
              <w:rPr>
                <w:rFonts w:hint="eastAsia"/>
                <w:color w:val="auto"/>
                <w:highlight w:val="none"/>
                <w:lang w:eastAsia="zh-CN"/>
              </w:rPr>
              <w:t>的小时等效声级</w:t>
            </w:r>
            <w:r>
              <w:rPr>
                <w:color w:val="auto"/>
                <w:highlight w:val="none"/>
              </w:rPr>
              <w:t>，dB(A)。</w:t>
            </w:r>
          </w:p>
          <w:p>
            <w:pPr>
              <w:pStyle w:val="33"/>
              <w:bidi w:val="0"/>
              <w:rPr>
                <w:color w:val="auto"/>
                <w:highlight w:val="none"/>
              </w:rPr>
            </w:pPr>
            <w:r>
              <w:rPr>
                <w:color w:val="auto"/>
                <w:highlight w:val="none"/>
              </w:rPr>
              <w:t>交通噪声采用小时等效声级。在环境噪声计算时，假定各敏感点背景噪声不随预测点位置变化，也不随评价年不同而变化。</w:t>
            </w:r>
          </w:p>
          <w:p>
            <w:pPr>
              <w:pStyle w:val="33"/>
              <w:bidi w:val="0"/>
              <w:rPr>
                <w:color w:val="auto"/>
                <w:highlight w:val="none"/>
              </w:rPr>
            </w:pPr>
            <w:r>
              <w:rPr>
                <w:rFonts w:hint="eastAsia"/>
                <w:color w:val="auto"/>
                <w:highlight w:val="none"/>
                <w:lang w:val="en-US" w:eastAsia="zh-CN"/>
              </w:rPr>
              <w:t>2）预</w:t>
            </w:r>
            <w:r>
              <w:rPr>
                <w:color w:val="auto"/>
                <w:highlight w:val="none"/>
              </w:rPr>
              <w:t>测结果及分析</w:t>
            </w:r>
          </w:p>
          <w:p>
            <w:pPr>
              <w:pStyle w:val="33"/>
              <w:bidi w:val="0"/>
              <w:rPr>
                <w:rFonts w:hint="eastAsia"/>
                <w:color w:val="auto"/>
                <w:highlight w:val="none"/>
                <w:lang w:eastAsia="zh-CN"/>
              </w:rPr>
            </w:pPr>
            <w:r>
              <w:rPr>
                <w:rFonts w:hint="eastAsia"/>
                <w:color w:val="auto"/>
                <w:highlight w:val="none"/>
                <w:lang w:eastAsia="zh-CN"/>
              </w:rPr>
              <w:t>本项目评价范围内不涉及声环境敏感点，因此仅对</w:t>
            </w:r>
            <w:r>
              <w:rPr>
                <w:color w:val="auto"/>
                <w:highlight w:val="none"/>
              </w:rPr>
              <w:t>道路两侧水平方向交通噪声</w:t>
            </w:r>
            <w:r>
              <w:rPr>
                <w:rFonts w:hint="eastAsia"/>
                <w:color w:val="auto"/>
                <w:highlight w:val="none"/>
                <w:lang w:eastAsia="zh-CN"/>
              </w:rPr>
              <w:t>进行</w:t>
            </w:r>
            <w:r>
              <w:rPr>
                <w:color w:val="auto"/>
                <w:highlight w:val="none"/>
              </w:rPr>
              <w:t>预测评价</w:t>
            </w:r>
            <w:r>
              <w:rPr>
                <w:rFonts w:hint="eastAsia"/>
                <w:color w:val="auto"/>
                <w:highlight w:val="none"/>
                <w:lang w:eastAsia="zh-CN"/>
              </w:rPr>
              <w:t>。</w:t>
            </w:r>
          </w:p>
          <w:p>
            <w:pPr>
              <w:pStyle w:val="33"/>
              <w:bidi w:val="0"/>
              <w:rPr>
                <w:color w:val="auto"/>
                <w:highlight w:val="none"/>
              </w:rPr>
            </w:pPr>
            <w:r>
              <w:rPr>
                <w:color w:val="auto"/>
                <w:highlight w:val="none"/>
              </w:rPr>
              <w:t>根据</w:t>
            </w:r>
            <w:r>
              <w:rPr>
                <w:rFonts w:hint="eastAsia"/>
                <w:color w:val="auto"/>
                <w:highlight w:val="none"/>
                <w:lang w:eastAsia="zh-CN"/>
              </w:rPr>
              <w:t>相关</w:t>
            </w:r>
            <w:r>
              <w:rPr>
                <w:color w:val="auto"/>
                <w:highlight w:val="none"/>
              </w:rPr>
              <w:t>的预测方法、预测模式和参数，对运营期各特征年</w:t>
            </w:r>
            <w:r>
              <w:rPr>
                <w:rFonts w:hint="eastAsia"/>
                <w:color w:val="auto"/>
                <w:highlight w:val="none"/>
                <w:lang w:eastAsia="zh-CN"/>
              </w:rPr>
              <w:t>本项目</w:t>
            </w:r>
            <w:r>
              <w:rPr>
                <w:color w:val="auto"/>
                <w:highlight w:val="none"/>
              </w:rPr>
              <w:t>昼、夜间交通噪声进行预测计算</w:t>
            </w:r>
            <w:r>
              <w:rPr>
                <w:rFonts w:hint="eastAsia"/>
                <w:color w:val="auto"/>
                <w:highlight w:val="none"/>
                <w:lang w:eastAsia="zh-CN"/>
              </w:rPr>
              <w:t>，本项目</w:t>
            </w:r>
            <w:r>
              <w:rPr>
                <w:color w:val="auto"/>
                <w:highlight w:val="none"/>
              </w:rPr>
              <w:t>交通噪声水平向预测结果见下表。</w:t>
            </w:r>
          </w:p>
          <w:p>
            <w:pPr>
              <w:pStyle w:val="36"/>
              <w:numPr>
                <w:ilvl w:val="0"/>
                <w:numId w:val="12"/>
              </w:numPr>
              <w:bidi w:val="0"/>
              <w:ind w:left="0" w:leftChars="0" w:firstLine="0" w:firstLineChars="0"/>
              <w:jc w:val="right"/>
              <w:rPr>
                <w:rFonts w:hint="eastAsia" w:ascii="Times New Roman" w:hAnsi="Times New Roman" w:eastAsia="宋体" w:cs="Times New Roman"/>
                <w:b/>
                <w:bCs w:val="0"/>
                <w:color w:val="auto"/>
                <w:kern w:val="2"/>
                <w:sz w:val="21"/>
                <w:szCs w:val="24"/>
                <w:highlight w:val="none"/>
                <w:lang w:val="zh-CN" w:eastAsia="zh-CN" w:bidi="ar-SA"/>
              </w:rPr>
            </w:pPr>
            <w:r>
              <w:rPr>
                <w:rFonts w:hint="eastAsia" w:ascii="Times New Roman" w:hAnsi="Times New Roman" w:eastAsia="宋体" w:cs="Times New Roman"/>
                <w:b/>
                <w:bCs w:val="0"/>
                <w:color w:val="auto"/>
                <w:kern w:val="2"/>
                <w:sz w:val="21"/>
                <w:szCs w:val="24"/>
                <w:highlight w:val="none"/>
                <w:lang w:val="zh-CN" w:eastAsia="zh-CN" w:bidi="ar-SA"/>
              </w:rPr>
              <w:t>项目运营期辅道交通噪声预测结果</w:t>
            </w:r>
            <w:r>
              <w:rPr>
                <w:rFonts w:hint="eastAsia" w:ascii="Times New Roman" w:hAnsi="Times New Roman" w:eastAsia="宋体" w:cs="Times New Roman"/>
                <w:b/>
                <w:bCs w:val="0"/>
                <w:color w:val="auto"/>
                <w:kern w:val="2"/>
                <w:sz w:val="21"/>
                <w:szCs w:val="24"/>
                <w:highlight w:val="none"/>
                <w:lang w:val="zh-CN" w:eastAsia="zh-CN" w:bidi="ar-SA"/>
              </w:rPr>
              <w:tab/>
            </w:r>
            <w:r>
              <w:rPr>
                <w:rFonts w:hint="eastAsia" w:ascii="Times New Roman" w:hAnsi="Times New Roman" w:eastAsia="宋体" w:cs="Times New Roman"/>
                <w:b/>
                <w:bCs w:val="0"/>
                <w:color w:val="auto"/>
                <w:kern w:val="2"/>
                <w:sz w:val="21"/>
                <w:szCs w:val="24"/>
                <w:highlight w:val="none"/>
                <w:lang w:val="en-US" w:eastAsia="zh-CN" w:bidi="ar-SA"/>
              </w:rPr>
              <w:t xml:space="preserve">      </w:t>
            </w:r>
            <w:r>
              <w:rPr>
                <w:rFonts w:hint="eastAsia" w:ascii="Times New Roman" w:hAnsi="Times New Roman" w:eastAsia="宋体" w:cs="Times New Roman"/>
                <w:b/>
                <w:bCs w:val="0"/>
                <w:color w:val="auto"/>
                <w:kern w:val="2"/>
                <w:sz w:val="21"/>
                <w:szCs w:val="24"/>
                <w:highlight w:val="none"/>
                <w:lang w:val="zh-CN" w:eastAsia="zh-CN" w:bidi="ar-SA"/>
              </w:rPr>
              <w:t>单位：dB(A)</w:t>
            </w:r>
          </w:p>
          <w:tbl>
            <w:tblPr>
              <w:tblStyle w:val="22"/>
              <w:tblW w:w="835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23" w:type="dxa"/>
                <w:bottom w:w="0" w:type="dxa"/>
                <w:right w:w="23" w:type="dxa"/>
              </w:tblCellMar>
            </w:tblPr>
            <w:tblGrid>
              <w:gridCol w:w="2055"/>
              <w:gridCol w:w="1049"/>
              <w:gridCol w:w="1049"/>
              <w:gridCol w:w="1049"/>
              <w:gridCol w:w="1049"/>
              <w:gridCol w:w="1049"/>
              <w:gridCol w:w="10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特征年</w:t>
                  </w:r>
                </w:p>
              </w:tc>
              <w:tc>
                <w:tcPr>
                  <w:tcW w:w="125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2025</w:t>
                  </w:r>
                </w:p>
              </w:tc>
              <w:tc>
                <w:tcPr>
                  <w:tcW w:w="125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2035</w:t>
                  </w:r>
                </w:p>
              </w:tc>
              <w:tc>
                <w:tcPr>
                  <w:tcW w:w="125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2044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路段</w:t>
                  </w:r>
                </w:p>
              </w:tc>
              <w:tc>
                <w:tcPr>
                  <w:tcW w:w="3769"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辅道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预测点与边界距离（m）</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62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10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54.2</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50.2</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55.5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51.6</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56.9</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53.1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15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51.5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47.6</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52.8</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48.9</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54.2</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50.4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48.1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44.1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49.4</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45.5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50.7</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46.9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43.7</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39.7</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41.1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46.3</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40.7</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36.7</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42</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38.1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43.4</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39.6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38.5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34.5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39.8</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35.9</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41.1</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37.3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60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36.6</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32.6</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37.9</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34</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39.2</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35.4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70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34.9</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36.2</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32.3</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37.6</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33.8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80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33.5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29.5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34.8</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30.9</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36.1</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32.3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90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32.1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28.1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33.4</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29.5</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34.8</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3" w:type="dxa"/>
                  <w:bottom w:w="0" w:type="dxa"/>
                  <w:right w:w="23" w:type="dxa"/>
                </w:tblCellMar>
              </w:tblPrEx>
              <w:trPr>
                <w:trHeight w:val="340" w:hRule="atLeast"/>
                <w:jc w:val="center"/>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100</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30.9</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26.9</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32.1</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28.2</w:t>
                  </w:r>
                </w:p>
              </w:tc>
              <w:tc>
                <w:tcPr>
                  <w:tcW w:w="10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33.5</w:t>
                  </w:r>
                </w:p>
              </w:tc>
              <w:tc>
                <w:tcPr>
                  <w:tcW w:w="10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29.7</w:t>
                  </w:r>
                </w:p>
              </w:tc>
            </w:tr>
          </w:tbl>
          <w:p>
            <w:pPr>
              <w:pStyle w:val="36"/>
              <w:numPr>
                <w:ilvl w:val="0"/>
                <w:numId w:val="0"/>
              </w:numPr>
              <w:tabs>
                <w:tab w:val="left" w:pos="0"/>
              </w:tabs>
              <w:bidi w:val="0"/>
              <w:ind w:leftChars="0"/>
              <w:jc w:val="both"/>
              <w:rPr>
                <w:rFonts w:hint="eastAsia" w:ascii="Times New Roman" w:hAnsi="Times New Roman" w:eastAsia="宋体" w:cs="Times New Roman"/>
                <w:b/>
                <w:bCs w:val="0"/>
                <w:color w:val="auto"/>
                <w:kern w:val="2"/>
                <w:sz w:val="21"/>
                <w:szCs w:val="24"/>
                <w:highlight w:val="none"/>
                <w:lang w:val="zh-CN" w:eastAsia="zh-CN" w:bidi="ar-SA"/>
              </w:rPr>
            </w:pPr>
          </w:p>
          <w:p>
            <w:pPr>
              <w:pStyle w:val="36"/>
              <w:numPr>
                <w:ilvl w:val="0"/>
                <w:numId w:val="12"/>
              </w:numPr>
              <w:bidi w:val="0"/>
              <w:ind w:left="0" w:leftChars="0" w:firstLine="0" w:firstLineChars="0"/>
              <w:jc w:val="right"/>
              <w:rPr>
                <w:rFonts w:hint="eastAsia" w:ascii="Times New Roman" w:hAnsi="Times New Roman" w:eastAsia="宋体" w:cs="Times New Roman"/>
                <w:b/>
                <w:bCs w:val="0"/>
                <w:color w:val="auto"/>
                <w:kern w:val="2"/>
                <w:sz w:val="21"/>
                <w:szCs w:val="24"/>
                <w:highlight w:val="none"/>
                <w:lang w:val="zh-CN" w:eastAsia="zh-CN" w:bidi="ar-SA"/>
              </w:rPr>
            </w:pPr>
            <w:r>
              <w:rPr>
                <w:rFonts w:hint="eastAsia" w:ascii="Times New Roman" w:hAnsi="Times New Roman" w:eastAsia="宋体" w:cs="Times New Roman"/>
                <w:b/>
                <w:bCs w:val="0"/>
                <w:color w:val="auto"/>
                <w:kern w:val="2"/>
                <w:sz w:val="21"/>
                <w:szCs w:val="24"/>
                <w:highlight w:val="none"/>
                <w:lang w:val="zh-CN" w:eastAsia="zh-CN" w:bidi="ar-SA"/>
              </w:rPr>
              <w:t>项目运营期</w:t>
            </w:r>
            <w:r>
              <w:rPr>
                <w:rFonts w:hint="eastAsia" w:cs="Times New Roman"/>
                <w:b/>
                <w:bCs w:val="0"/>
                <w:color w:val="auto"/>
                <w:kern w:val="2"/>
                <w:sz w:val="21"/>
                <w:szCs w:val="24"/>
                <w:highlight w:val="none"/>
                <w:lang w:val="zh-CN" w:eastAsia="zh-CN" w:bidi="ar-SA"/>
              </w:rPr>
              <w:t>主线</w:t>
            </w:r>
            <w:r>
              <w:rPr>
                <w:rFonts w:hint="eastAsia" w:ascii="Times New Roman" w:hAnsi="Times New Roman" w:eastAsia="宋体" w:cs="Times New Roman"/>
                <w:b/>
                <w:bCs w:val="0"/>
                <w:color w:val="auto"/>
                <w:kern w:val="2"/>
                <w:sz w:val="21"/>
                <w:szCs w:val="24"/>
                <w:highlight w:val="none"/>
                <w:lang w:val="zh-CN" w:eastAsia="zh-CN" w:bidi="ar-SA"/>
              </w:rPr>
              <w:t>交通噪声预测结果</w:t>
            </w:r>
            <w:r>
              <w:rPr>
                <w:rFonts w:hint="eastAsia" w:ascii="Times New Roman" w:hAnsi="Times New Roman" w:eastAsia="宋体" w:cs="Times New Roman"/>
                <w:b/>
                <w:bCs w:val="0"/>
                <w:color w:val="auto"/>
                <w:kern w:val="2"/>
                <w:sz w:val="21"/>
                <w:szCs w:val="24"/>
                <w:highlight w:val="none"/>
                <w:lang w:val="zh-CN" w:eastAsia="zh-CN" w:bidi="ar-SA"/>
              </w:rPr>
              <w:tab/>
            </w:r>
            <w:r>
              <w:rPr>
                <w:rFonts w:hint="eastAsia" w:ascii="Times New Roman" w:hAnsi="Times New Roman" w:eastAsia="宋体" w:cs="Times New Roman"/>
                <w:b/>
                <w:bCs w:val="0"/>
                <w:color w:val="auto"/>
                <w:kern w:val="2"/>
                <w:sz w:val="21"/>
                <w:szCs w:val="24"/>
                <w:highlight w:val="none"/>
                <w:lang w:val="en-US" w:eastAsia="zh-CN" w:bidi="ar-SA"/>
              </w:rPr>
              <w:t xml:space="preserve">      </w:t>
            </w:r>
            <w:r>
              <w:rPr>
                <w:rFonts w:hint="eastAsia" w:ascii="Times New Roman" w:hAnsi="Times New Roman" w:eastAsia="宋体" w:cs="Times New Roman"/>
                <w:b/>
                <w:bCs w:val="0"/>
                <w:color w:val="auto"/>
                <w:kern w:val="2"/>
                <w:sz w:val="21"/>
                <w:szCs w:val="24"/>
                <w:highlight w:val="none"/>
                <w:lang w:val="zh-CN" w:eastAsia="zh-CN" w:bidi="ar-SA"/>
              </w:rPr>
              <w:t>单位：dB(A)</w:t>
            </w:r>
          </w:p>
          <w:tbl>
            <w:tblPr>
              <w:tblStyle w:val="22"/>
              <w:tblW w:w="835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187"/>
              <w:gridCol w:w="1026"/>
              <w:gridCol w:w="1027"/>
              <w:gridCol w:w="1026"/>
              <w:gridCol w:w="1027"/>
              <w:gridCol w:w="1026"/>
              <w:gridCol w:w="103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特征年</w:t>
                  </w:r>
                </w:p>
              </w:tc>
              <w:tc>
                <w:tcPr>
                  <w:tcW w:w="1229" w:type="pct"/>
                  <w:gridSpan w:val="2"/>
                  <w:tcBorders>
                    <w:top w:val="single" w:color="000000" w:sz="4" w:space="0"/>
                    <w:left w:val="nil"/>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2025</w:t>
                  </w:r>
                </w:p>
              </w:tc>
              <w:tc>
                <w:tcPr>
                  <w:tcW w:w="1229"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2035</w:t>
                  </w:r>
                </w:p>
              </w:tc>
              <w:tc>
                <w:tcPr>
                  <w:tcW w:w="123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default"/>
                      <w:color w:val="auto"/>
                      <w:highlight w:val="none"/>
                    </w:rPr>
                  </w:pPr>
                  <w:r>
                    <w:rPr>
                      <w:rFonts w:hint="default"/>
                      <w:color w:val="auto"/>
                      <w:highlight w:val="none"/>
                      <w:lang w:val="en-US" w:eastAsia="zh-CN"/>
                    </w:rPr>
                    <w:t>2044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路段</w:t>
                  </w:r>
                </w:p>
              </w:tc>
              <w:tc>
                <w:tcPr>
                  <w:tcW w:w="3689" w:type="pct"/>
                  <w:gridSpan w:val="6"/>
                  <w:tcBorders>
                    <w:top w:val="single" w:color="000000" w:sz="4" w:space="0"/>
                    <w:left w:val="nil"/>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主线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预测点与边界距离（m）</w:t>
                  </w:r>
                </w:p>
              </w:tc>
              <w:tc>
                <w:tcPr>
                  <w:tcW w:w="614" w:type="pct"/>
                  <w:tcBorders>
                    <w:top w:val="single" w:color="000000" w:sz="4" w:space="0"/>
                    <w:left w:val="nil"/>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614"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c>
                <w:tcPr>
                  <w:tcW w:w="614"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614"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c>
                <w:tcPr>
                  <w:tcW w:w="614"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昼间</w:t>
                  </w:r>
                </w:p>
              </w:tc>
              <w:tc>
                <w:tcPr>
                  <w:tcW w:w="61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32"/>
                    <w:bidi w:val="0"/>
                    <w:rPr>
                      <w:rFonts w:hint="eastAsia"/>
                      <w:color w:val="auto"/>
                      <w:highlight w:val="none"/>
                    </w:rPr>
                  </w:pPr>
                  <w:r>
                    <w:rPr>
                      <w:rFonts w:hint="eastAsia"/>
                      <w:color w:val="auto"/>
                      <w:highlight w:val="none"/>
                      <w:lang w:val="en-US" w:eastAsia="zh-CN"/>
                    </w:rPr>
                    <w:t>夜间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10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60.5</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56.7</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62.2</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58.5</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63.1</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59.4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15</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58.1</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54.3</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59.8</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56.1</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60.7</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20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56.2</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52.5</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58</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54.3</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58.8</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55.1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53.2</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49.5</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54.9</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51.2</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55.8</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52.1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50.8</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47.1</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52.6</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48.9</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53.4</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49.8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48.6</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44.8</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50.3</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46.6</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51.2</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60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46</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42.3</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47.7</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44</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48.6</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44.9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70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43.9</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40.1</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45.6</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41.9</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46.5</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42.8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80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42.1</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38.3</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43.8</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40.1</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44.7</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90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40.5</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36.7</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42.2</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38.5</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43</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39.4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jc w:val="center"/>
              </w:trPr>
              <w:tc>
                <w:tcPr>
                  <w:tcW w:w="1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100</w:t>
                  </w:r>
                </w:p>
              </w:tc>
              <w:tc>
                <w:tcPr>
                  <w:tcW w:w="1026"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39</w:t>
                  </w:r>
                </w:p>
              </w:tc>
              <w:tc>
                <w:tcPr>
                  <w:tcW w:w="1027" w:type="dxa"/>
                  <w:tcBorders>
                    <w:top w:val="single" w:color="000000" w:sz="4" w:space="0"/>
                    <w:left w:val="nil"/>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35.3</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40.7</w:t>
                  </w:r>
                </w:p>
              </w:tc>
              <w:tc>
                <w:tcPr>
                  <w:tcW w:w="10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37</w:t>
                  </w:r>
                </w:p>
              </w:tc>
              <w:tc>
                <w:tcPr>
                  <w:tcW w:w="10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41.6</w:t>
                  </w:r>
                </w:p>
              </w:tc>
              <w:tc>
                <w:tcPr>
                  <w:tcW w:w="1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32"/>
                    <w:bidi w:val="0"/>
                    <w:rPr>
                      <w:rFonts w:hint="eastAsia"/>
                      <w:color w:val="auto"/>
                      <w:highlight w:val="none"/>
                    </w:rPr>
                  </w:pPr>
                  <w:r>
                    <w:rPr>
                      <w:rFonts w:hint="eastAsia"/>
                      <w:color w:val="auto"/>
                      <w:highlight w:val="none"/>
                      <w:lang w:val="en-US" w:eastAsia="zh-CN"/>
                    </w:rPr>
                    <w:t>37.9</w:t>
                  </w:r>
                </w:p>
              </w:tc>
            </w:tr>
          </w:tbl>
          <w:p>
            <w:pPr>
              <w:pStyle w:val="33"/>
              <w:bidi w:val="0"/>
              <w:rPr>
                <w:color w:val="auto"/>
                <w:highlight w:val="none"/>
              </w:rPr>
            </w:pPr>
            <w:r>
              <w:rPr>
                <w:color w:val="auto"/>
                <w:highlight w:val="none"/>
              </w:rPr>
              <w:t>从上表</w:t>
            </w:r>
            <w:r>
              <w:rPr>
                <w:rFonts w:hint="eastAsia"/>
                <w:color w:val="auto"/>
                <w:highlight w:val="none"/>
                <w:lang w:eastAsia="zh-CN"/>
              </w:rPr>
              <w:t>可知，</w:t>
            </w:r>
            <w:r>
              <w:rPr>
                <w:color w:val="auto"/>
                <w:highlight w:val="none"/>
              </w:rPr>
              <w:t>随着运营期的增长，车流量的增大，交通噪声声级值也随之增强；另一方面，随着距道路边界线距离的增加，交通噪声的影响逐渐减小。</w:t>
            </w:r>
          </w:p>
          <w:p>
            <w:pPr>
              <w:pStyle w:val="33"/>
              <w:bidi w:val="0"/>
              <w:rPr>
                <w:rFonts w:hint="default"/>
                <w:color w:val="auto"/>
                <w:highlight w:val="none"/>
                <w:lang w:val="en-US" w:eastAsia="zh-CN"/>
              </w:rPr>
            </w:pPr>
            <w:r>
              <w:rPr>
                <w:rFonts w:hint="eastAsia"/>
                <w:color w:val="auto"/>
                <w:highlight w:val="none"/>
                <w:lang w:eastAsia="zh-CN"/>
              </w:rPr>
              <w:t>本项目</w:t>
            </w:r>
            <w:r>
              <w:rPr>
                <w:rFonts w:hint="eastAsia"/>
                <w:color w:val="auto"/>
                <w:highlight w:val="none"/>
                <w:lang w:val="en-US" w:eastAsia="zh-CN"/>
              </w:rPr>
              <w:t>G228（沿海公路）以南为唐山海港经济开发区，声环境功能区为3类功能区；G228（沿海公路）以北为乐亭县，声环境功能区为2类功能区，本次评价按最高等级执行，因此G559道路边界线东西两侧40m以内区域执行4a类标准、40m以外的区域执行2类标准，由上表可知，本项目两侧执行不同标准交通噪声达标距离详见下表。</w:t>
            </w:r>
          </w:p>
          <w:p>
            <w:pPr>
              <w:pStyle w:val="36"/>
              <w:numPr>
                <w:ilvl w:val="0"/>
                <w:numId w:val="12"/>
              </w:numPr>
              <w:bidi w:val="0"/>
              <w:ind w:left="0" w:leftChars="0" w:firstLine="0" w:firstLineChars="0"/>
              <w:jc w:val="right"/>
              <w:rPr>
                <w:rFonts w:hint="eastAsia" w:ascii="Times New Roman" w:hAnsi="Times New Roman" w:eastAsia="宋体" w:cs="Times New Roman"/>
                <w:b/>
                <w:bCs w:val="0"/>
                <w:color w:val="auto"/>
                <w:kern w:val="2"/>
                <w:sz w:val="21"/>
                <w:szCs w:val="24"/>
                <w:highlight w:val="none"/>
                <w:lang w:val="zh-CN" w:eastAsia="zh-CN" w:bidi="ar-SA"/>
              </w:rPr>
            </w:pPr>
            <w:r>
              <w:rPr>
                <w:rFonts w:hint="eastAsia" w:ascii="Times New Roman" w:hAnsi="Times New Roman" w:eastAsia="宋体" w:cs="Times New Roman"/>
                <w:b/>
                <w:bCs w:val="0"/>
                <w:color w:val="auto"/>
                <w:kern w:val="2"/>
                <w:sz w:val="21"/>
                <w:szCs w:val="24"/>
                <w:highlight w:val="none"/>
                <w:lang w:val="zh-CN" w:eastAsia="zh-CN" w:bidi="ar-SA"/>
              </w:rPr>
              <w:t>拟建道路预测达标距离一览表</w:t>
            </w:r>
            <w:r>
              <w:rPr>
                <w:rFonts w:hint="eastAsia" w:ascii="Times New Roman" w:hAnsi="Times New Roman" w:eastAsia="宋体" w:cs="Times New Roman"/>
                <w:b/>
                <w:bCs w:val="0"/>
                <w:color w:val="auto"/>
                <w:kern w:val="2"/>
                <w:sz w:val="21"/>
                <w:szCs w:val="24"/>
                <w:highlight w:val="none"/>
                <w:lang w:val="zh-CN" w:eastAsia="zh-CN" w:bidi="ar-SA"/>
              </w:rPr>
              <w:tab/>
            </w:r>
            <w:r>
              <w:rPr>
                <w:rFonts w:hint="eastAsia" w:cs="Times New Roman"/>
                <w:b/>
                <w:bCs w:val="0"/>
                <w:color w:val="auto"/>
                <w:kern w:val="2"/>
                <w:sz w:val="21"/>
                <w:szCs w:val="24"/>
                <w:highlight w:val="none"/>
                <w:lang w:val="en-US" w:eastAsia="zh-CN" w:bidi="ar-SA"/>
              </w:rPr>
              <w:t xml:space="preserve">           </w:t>
            </w:r>
            <w:r>
              <w:rPr>
                <w:rFonts w:hint="eastAsia" w:ascii="Times New Roman" w:hAnsi="Times New Roman" w:eastAsia="宋体" w:cs="Times New Roman"/>
                <w:b/>
                <w:bCs w:val="0"/>
                <w:color w:val="auto"/>
                <w:kern w:val="2"/>
                <w:sz w:val="21"/>
                <w:szCs w:val="24"/>
                <w:highlight w:val="none"/>
                <w:lang w:val="zh-CN" w:eastAsia="zh-CN" w:bidi="ar-SA"/>
              </w:rPr>
              <w:t>单位：m</w:t>
            </w:r>
          </w:p>
          <w:tbl>
            <w:tblPr>
              <w:tblStyle w:val="22"/>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71"/>
              <w:gridCol w:w="749"/>
              <w:gridCol w:w="1163"/>
              <w:gridCol w:w="801"/>
              <w:gridCol w:w="807"/>
              <w:gridCol w:w="801"/>
              <w:gridCol w:w="801"/>
              <w:gridCol w:w="5"/>
              <w:gridCol w:w="796"/>
              <w:gridCol w:w="812"/>
              <w:gridCol w:w="114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426" w:type="pct"/>
                  <w:gridSpan w:val="3"/>
                  <w:vMerge w:val="restart"/>
                  <w:tcBorders>
                    <w:tl2br w:val="nil"/>
                    <w:tr2bl w:val="nil"/>
                  </w:tcBorders>
                  <w:noWrap w:val="0"/>
                  <w:vAlign w:val="center"/>
                </w:tcPr>
                <w:p>
                  <w:pPr>
                    <w:pStyle w:val="32"/>
                    <w:bidi w:val="0"/>
                    <w:rPr>
                      <w:color w:val="auto"/>
                      <w:highlight w:val="none"/>
                    </w:rPr>
                  </w:pPr>
                  <w:r>
                    <w:rPr>
                      <w:color w:val="auto"/>
                      <w:highlight w:val="none"/>
                    </w:rPr>
                    <w:t>项目</w:t>
                  </w:r>
                </w:p>
              </w:tc>
              <w:tc>
                <w:tcPr>
                  <w:tcW w:w="962" w:type="pct"/>
                  <w:gridSpan w:val="2"/>
                  <w:tcBorders>
                    <w:tl2br w:val="nil"/>
                    <w:tr2bl w:val="nil"/>
                  </w:tcBorders>
                  <w:noWrap w:val="0"/>
                  <w:vAlign w:val="center"/>
                </w:tcPr>
                <w:p>
                  <w:pPr>
                    <w:pStyle w:val="32"/>
                    <w:bidi w:val="0"/>
                    <w:rPr>
                      <w:color w:val="auto"/>
                      <w:highlight w:val="none"/>
                    </w:rPr>
                  </w:pPr>
                  <w:r>
                    <w:rPr>
                      <w:color w:val="auto"/>
                      <w:highlight w:val="none"/>
                    </w:rPr>
                    <w:t>202</w:t>
                  </w:r>
                  <w:r>
                    <w:rPr>
                      <w:rFonts w:hint="eastAsia"/>
                      <w:color w:val="auto"/>
                      <w:highlight w:val="none"/>
                      <w:lang w:val="en-US" w:eastAsia="zh-CN"/>
                    </w:rPr>
                    <w:t>5</w:t>
                  </w:r>
                  <w:r>
                    <w:rPr>
                      <w:color w:val="auto"/>
                      <w:highlight w:val="none"/>
                    </w:rPr>
                    <w:t>年</w:t>
                  </w:r>
                </w:p>
              </w:tc>
              <w:tc>
                <w:tcPr>
                  <w:tcW w:w="961" w:type="pct"/>
                  <w:gridSpan w:val="3"/>
                  <w:tcBorders>
                    <w:tl2br w:val="nil"/>
                    <w:tr2bl w:val="nil"/>
                  </w:tcBorders>
                  <w:noWrap w:val="0"/>
                  <w:vAlign w:val="center"/>
                </w:tcPr>
                <w:p>
                  <w:pPr>
                    <w:pStyle w:val="32"/>
                    <w:bidi w:val="0"/>
                    <w:rPr>
                      <w:color w:val="auto"/>
                      <w:highlight w:val="none"/>
                    </w:rPr>
                  </w:pPr>
                  <w:r>
                    <w:rPr>
                      <w:color w:val="auto"/>
                      <w:highlight w:val="none"/>
                    </w:rPr>
                    <w:t>20</w:t>
                  </w:r>
                  <w:r>
                    <w:rPr>
                      <w:rFonts w:hint="eastAsia"/>
                      <w:color w:val="auto"/>
                      <w:highlight w:val="none"/>
                    </w:rPr>
                    <w:t>3</w:t>
                  </w:r>
                  <w:r>
                    <w:rPr>
                      <w:rFonts w:hint="eastAsia"/>
                      <w:color w:val="auto"/>
                      <w:highlight w:val="none"/>
                      <w:lang w:val="en-US" w:eastAsia="zh-CN"/>
                    </w:rPr>
                    <w:t>5</w:t>
                  </w:r>
                  <w:r>
                    <w:rPr>
                      <w:color w:val="auto"/>
                      <w:highlight w:val="none"/>
                    </w:rPr>
                    <w:t>年</w:t>
                  </w:r>
                </w:p>
              </w:tc>
              <w:tc>
                <w:tcPr>
                  <w:tcW w:w="962" w:type="pct"/>
                  <w:gridSpan w:val="2"/>
                  <w:tcBorders>
                    <w:tl2br w:val="nil"/>
                    <w:tr2bl w:val="nil"/>
                  </w:tcBorders>
                  <w:noWrap w:val="0"/>
                  <w:vAlign w:val="center"/>
                </w:tcPr>
                <w:p>
                  <w:pPr>
                    <w:pStyle w:val="32"/>
                    <w:bidi w:val="0"/>
                    <w:rPr>
                      <w:color w:val="auto"/>
                      <w:highlight w:val="none"/>
                    </w:rPr>
                  </w:pPr>
                  <w:r>
                    <w:rPr>
                      <w:color w:val="auto"/>
                      <w:highlight w:val="none"/>
                    </w:rPr>
                    <w:t>20</w:t>
                  </w:r>
                  <w:r>
                    <w:rPr>
                      <w:rFonts w:hint="eastAsia"/>
                      <w:color w:val="auto"/>
                      <w:highlight w:val="none"/>
                      <w:lang w:val="en-US" w:eastAsia="zh-CN"/>
                    </w:rPr>
                    <w:t>44</w:t>
                  </w:r>
                  <w:r>
                    <w:rPr>
                      <w:color w:val="auto"/>
                      <w:highlight w:val="none"/>
                    </w:rPr>
                    <w:t>年</w:t>
                  </w:r>
                </w:p>
              </w:tc>
              <w:tc>
                <w:tcPr>
                  <w:tcW w:w="687" w:type="pct"/>
                  <w:vMerge w:val="restart"/>
                  <w:tcBorders>
                    <w:tl2br w:val="nil"/>
                    <w:tr2bl w:val="nil"/>
                  </w:tcBorders>
                  <w:noWrap w:val="0"/>
                  <w:vAlign w:val="center"/>
                </w:tcPr>
                <w:p>
                  <w:pPr>
                    <w:pStyle w:val="32"/>
                    <w:bidi w:val="0"/>
                    <w:rPr>
                      <w:color w:val="auto"/>
                      <w:highlight w:val="none"/>
                    </w:rPr>
                  </w:pPr>
                  <w:r>
                    <w:rPr>
                      <w:color w:val="auto"/>
                      <w:highlight w:val="none"/>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426" w:type="pct"/>
                  <w:gridSpan w:val="3"/>
                  <w:vMerge w:val="continue"/>
                  <w:tcBorders>
                    <w:tl2br w:val="nil"/>
                    <w:tr2bl w:val="nil"/>
                  </w:tcBorders>
                  <w:noWrap w:val="0"/>
                  <w:vAlign w:val="center"/>
                </w:tcPr>
                <w:p>
                  <w:pPr>
                    <w:pStyle w:val="32"/>
                    <w:bidi w:val="0"/>
                    <w:rPr>
                      <w:color w:val="auto"/>
                      <w:highlight w:val="none"/>
                    </w:rPr>
                  </w:pPr>
                </w:p>
              </w:tc>
              <w:tc>
                <w:tcPr>
                  <w:tcW w:w="479" w:type="pct"/>
                  <w:tcBorders>
                    <w:tl2br w:val="nil"/>
                    <w:tr2bl w:val="nil"/>
                  </w:tcBorders>
                  <w:noWrap w:val="0"/>
                  <w:vAlign w:val="center"/>
                </w:tcPr>
                <w:p>
                  <w:pPr>
                    <w:pStyle w:val="32"/>
                    <w:bidi w:val="0"/>
                    <w:rPr>
                      <w:color w:val="auto"/>
                      <w:highlight w:val="none"/>
                    </w:rPr>
                  </w:pPr>
                  <w:r>
                    <w:rPr>
                      <w:color w:val="auto"/>
                      <w:highlight w:val="none"/>
                    </w:rPr>
                    <w:t>昼间</w:t>
                  </w:r>
                </w:p>
              </w:tc>
              <w:tc>
                <w:tcPr>
                  <w:tcW w:w="482" w:type="pct"/>
                  <w:tcBorders>
                    <w:tl2br w:val="nil"/>
                    <w:tr2bl w:val="nil"/>
                  </w:tcBorders>
                  <w:noWrap w:val="0"/>
                  <w:vAlign w:val="center"/>
                </w:tcPr>
                <w:p>
                  <w:pPr>
                    <w:pStyle w:val="32"/>
                    <w:bidi w:val="0"/>
                    <w:rPr>
                      <w:color w:val="auto"/>
                      <w:highlight w:val="none"/>
                    </w:rPr>
                  </w:pPr>
                  <w:r>
                    <w:rPr>
                      <w:color w:val="auto"/>
                      <w:highlight w:val="none"/>
                    </w:rPr>
                    <w:t>夜间</w:t>
                  </w:r>
                </w:p>
              </w:tc>
              <w:tc>
                <w:tcPr>
                  <w:tcW w:w="479" w:type="pct"/>
                  <w:tcBorders>
                    <w:tl2br w:val="nil"/>
                    <w:tr2bl w:val="nil"/>
                  </w:tcBorders>
                  <w:noWrap w:val="0"/>
                  <w:vAlign w:val="center"/>
                </w:tcPr>
                <w:p>
                  <w:pPr>
                    <w:pStyle w:val="32"/>
                    <w:bidi w:val="0"/>
                    <w:rPr>
                      <w:color w:val="auto"/>
                      <w:highlight w:val="none"/>
                    </w:rPr>
                  </w:pPr>
                  <w:r>
                    <w:rPr>
                      <w:color w:val="auto"/>
                      <w:highlight w:val="none"/>
                    </w:rPr>
                    <w:t>昼间</w:t>
                  </w:r>
                </w:p>
              </w:tc>
              <w:tc>
                <w:tcPr>
                  <w:tcW w:w="479" w:type="pct"/>
                  <w:tcBorders>
                    <w:tl2br w:val="nil"/>
                    <w:tr2bl w:val="nil"/>
                  </w:tcBorders>
                  <w:noWrap w:val="0"/>
                  <w:vAlign w:val="center"/>
                </w:tcPr>
                <w:p>
                  <w:pPr>
                    <w:pStyle w:val="32"/>
                    <w:bidi w:val="0"/>
                    <w:rPr>
                      <w:color w:val="auto"/>
                      <w:highlight w:val="none"/>
                    </w:rPr>
                  </w:pPr>
                  <w:r>
                    <w:rPr>
                      <w:color w:val="auto"/>
                      <w:highlight w:val="none"/>
                    </w:rPr>
                    <w:t>夜间</w:t>
                  </w:r>
                </w:p>
              </w:tc>
              <w:tc>
                <w:tcPr>
                  <w:tcW w:w="479" w:type="pct"/>
                  <w:gridSpan w:val="2"/>
                  <w:tcBorders>
                    <w:tl2br w:val="nil"/>
                    <w:tr2bl w:val="nil"/>
                  </w:tcBorders>
                  <w:noWrap w:val="0"/>
                  <w:vAlign w:val="center"/>
                </w:tcPr>
                <w:p>
                  <w:pPr>
                    <w:pStyle w:val="32"/>
                    <w:bidi w:val="0"/>
                    <w:rPr>
                      <w:color w:val="auto"/>
                      <w:highlight w:val="none"/>
                    </w:rPr>
                  </w:pPr>
                  <w:r>
                    <w:rPr>
                      <w:color w:val="auto"/>
                      <w:highlight w:val="none"/>
                    </w:rPr>
                    <w:t>昼间</w:t>
                  </w:r>
                </w:p>
              </w:tc>
              <w:tc>
                <w:tcPr>
                  <w:tcW w:w="484" w:type="pct"/>
                  <w:tcBorders>
                    <w:tl2br w:val="nil"/>
                    <w:tr2bl w:val="nil"/>
                  </w:tcBorders>
                  <w:noWrap w:val="0"/>
                  <w:vAlign w:val="center"/>
                </w:tcPr>
                <w:p>
                  <w:pPr>
                    <w:pStyle w:val="32"/>
                    <w:bidi w:val="0"/>
                    <w:rPr>
                      <w:color w:val="auto"/>
                      <w:highlight w:val="none"/>
                    </w:rPr>
                  </w:pPr>
                  <w:r>
                    <w:rPr>
                      <w:color w:val="auto"/>
                      <w:highlight w:val="none"/>
                    </w:rPr>
                    <w:t>夜间</w:t>
                  </w:r>
                </w:p>
              </w:tc>
              <w:tc>
                <w:tcPr>
                  <w:tcW w:w="687" w:type="pct"/>
                  <w:vMerge w:val="continue"/>
                  <w:tcBorders>
                    <w:tl2br w:val="nil"/>
                    <w:tr2bl w:val="nil"/>
                  </w:tcBorders>
                  <w:noWrap w:val="0"/>
                  <w:vAlign w:val="center"/>
                </w:tcPr>
                <w:p>
                  <w:pPr>
                    <w:pStyle w:val="32"/>
                    <w:bidi w:val="0"/>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282"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主线</w:t>
                  </w:r>
                </w:p>
              </w:tc>
              <w:tc>
                <w:tcPr>
                  <w:tcW w:w="448" w:type="pct"/>
                  <w:vMerge w:val="restart"/>
                  <w:tcBorders>
                    <w:tl2br w:val="nil"/>
                    <w:tr2bl w:val="nil"/>
                  </w:tcBorders>
                  <w:noWrap w:val="0"/>
                  <w:vAlign w:val="center"/>
                </w:tcPr>
                <w:p>
                  <w:pPr>
                    <w:pStyle w:val="32"/>
                    <w:bidi w:val="0"/>
                    <w:rPr>
                      <w:color w:val="auto"/>
                      <w:highlight w:val="none"/>
                    </w:rPr>
                  </w:pPr>
                  <w:r>
                    <w:rPr>
                      <w:color w:val="auto"/>
                      <w:highlight w:val="none"/>
                    </w:rPr>
                    <w:t>道路边界线</w:t>
                  </w:r>
                  <w:r>
                    <w:rPr>
                      <w:rFonts w:hint="eastAsia"/>
                      <w:color w:val="auto"/>
                      <w:highlight w:val="none"/>
                    </w:rPr>
                    <w:t>南、北</w:t>
                  </w:r>
                  <w:r>
                    <w:rPr>
                      <w:color w:val="auto"/>
                      <w:highlight w:val="none"/>
                    </w:rPr>
                    <w:t>侧</w:t>
                  </w:r>
                </w:p>
              </w:tc>
              <w:tc>
                <w:tcPr>
                  <w:tcW w:w="696" w:type="pct"/>
                  <w:tcBorders>
                    <w:tl2br w:val="nil"/>
                    <w:tr2bl w:val="nil"/>
                  </w:tcBorders>
                  <w:noWrap w:val="0"/>
                  <w:vAlign w:val="center"/>
                </w:tcPr>
                <w:p>
                  <w:pPr>
                    <w:pStyle w:val="32"/>
                    <w:bidi w:val="0"/>
                    <w:rPr>
                      <w:color w:val="auto"/>
                      <w:highlight w:val="none"/>
                    </w:rPr>
                  </w:pPr>
                  <w:r>
                    <w:rPr>
                      <w:color w:val="auto"/>
                      <w:highlight w:val="none"/>
                    </w:rPr>
                    <w:t>4a类标准</w:t>
                  </w:r>
                </w:p>
              </w:tc>
              <w:tc>
                <w:tcPr>
                  <w:tcW w:w="47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w:t>
                  </w:r>
                </w:p>
              </w:tc>
              <w:tc>
                <w:tcPr>
                  <w:tcW w:w="482" w:type="pct"/>
                  <w:tcBorders>
                    <w:tl2br w:val="nil"/>
                    <w:tr2bl w:val="nil"/>
                  </w:tcBorders>
                  <w:noWrap w:val="0"/>
                  <w:vAlign w:val="center"/>
                </w:tcPr>
                <w:p>
                  <w:pPr>
                    <w:pStyle w:val="32"/>
                    <w:bidi w:val="0"/>
                    <w:ind w:firstLine="0" w:firstLineChars="0"/>
                    <w:rPr>
                      <w:rFonts w:hint="default"/>
                      <w:color w:val="auto"/>
                      <w:highlight w:val="none"/>
                      <w:lang w:val="en-US"/>
                    </w:rPr>
                  </w:pPr>
                  <w:r>
                    <w:rPr>
                      <w:rFonts w:hint="eastAsia"/>
                      <w:color w:val="auto"/>
                      <w:highlight w:val="none"/>
                      <w:lang w:val="en-US" w:eastAsia="zh-CN"/>
                    </w:rPr>
                    <w:t>15</w:t>
                  </w:r>
                </w:p>
              </w:tc>
              <w:tc>
                <w:tcPr>
                  <w:tcW w:w="479" w:type="pct"/>
                  <w:tcBorders>
                    <w:tl2br w:val="nil"/>
                    <w:tr2bl w:val="nil"/>
                  </w:tcBorders>
                  <w:noWrap w:val="0"/>
                  <w:vAlign w:val="center"/>
                </w:tcPr>
                <w:p>
                  <w:pPr>
                    <w:pStyle w:val="32"/>
                    <w:bidi w:val="0"/>
                    <w:ind w:firstLine="0" w:firstLineChars="0"/>
                    <w:rPr>
                      <w:color w:val="auto"/>
                      <w:highlight w:val="none"/>
                    </w:rPr>
                  </w:pPr>
                  <w:r>
                    <w:rPr>
                      <w:rFonts w:hint="eastAsia"/>
                      <w:color w:val="auto"/>
                      <w:highlight w:val="none"/>
                      <w:lang w:val="en-US" w:eastAsia="zh-CN"/>
                    </w:rPr>
                    <w:t>/</w:t>
                  </w:r>
                </w:p>
              </w:tc>
              <w:tc>
                <w:tcPr>
                  <w:tcW w:w="479" w:type="pct"/>
                  <w:tcBorders>
                    <w:tl2br w:val="nil"/>
                    <w:tr2bl w:val="nil"/>
                  </w:tcBorders>
                  <w:noWrap w:val="0"/>
                  <w:vAlign w:val="center"/>
                </w:tcPr>
                <w:p>
                  <w:pPr>
                    <w:pStyle w:val="32"/>
                    <w:bidi w:val="0"/>
                    <w:ind w:firstLine="0" w:firstLineChars="0"/>
                    <w:rPr>
                      <w:rFonts w:hint="default"/>
                      <w:color w:val="auto"/>
                      <w:highlight w:val="none"/>
                      <w:lang w:val="en-US"/>
                    </w:rPr>
                  </w:pPr>
                  <w:r>
                    <w:rPr>
                      <w:rFonts w:hint="eastAsia"/>
                      <w:color w:val="auto"/>
                      <w:highlight w:val="none"/>
                      <w:lang w:val="en-US" w:eastAsia="zh-CN"/>
                    </w:rPr>
                    <w:t>20</w:t>
                  </w:r>
                </w:p>
              </w:tc>
              <w:tc>
                <w:tcPr>
                  <w:tcW w:w="479" w:type="pct"/>
                  <w:gridSpan w:val="2"/>
                  <w:tcBorders>
                    <w:tl2br w:val="nil"/>
                    <w:tr2bl w:val="nil"/>
                  </w:tcBorders>
                  <w:noWrap w:val="0"/>
                  <w:vAlign w:val="center"/>
                </w:tcPr>
                <w:p>
                  <w:pPr>
                    <w:pStyle w:val="32"/>
                    <w:bidi w:val="0"/>
                    <w:ind w:firstLine="0" w:firstLineChars="0"/>
                    <w:rPr>
                      <w:color w:val="auto"/>
                      <w:highlight w:val="none"/>
                    </w:rPr>
                  </w:pPr>
                  <w:r>
                    <w:rPr>
                      <w:rFonts w:hint="eastAsia"/>
                      <w:color w:val="auto"/>
                      <w:highlight w:val="none"/>
                      <w:lang w:val="en-US" w:eastAsia="zh-CN"/>
                    </w:rPr>
                    <w:t>/</w:t>
                  </w:r>
                </w:p>
              </w:tc>
              <w:tc>
                <w:tcPr>
                  <w:tcW w:w="484" w:type="pct"/>
                  <w:tcBorders>
                    <w:tl2br w:val="nil"/>
                    <w:tr2bl w:val="nil"/>
                  </w:tcBorders>
                  <w:noWrap w:val="0"/>
                  <w:vAlign w:val="center"/>
                </w:tcPr>
                <w:p>
                  <w:pPr>
                    <w:pStyle w:val="32"/>
                    <w:bidi w:val="0"/>
                    <w:ind w:firstLine="0" w:firstLineChars="0"/>
                    <w:rPr>
                      <w:rFonts w:hint="default"/>
                      <w:color w:val="auto"/>
                      <w:highlight w:val="none"/>
                      <w:lang w:val="en-US"/>
                    </w:rPr>
                  </w:pPr>
                  <w:r>
                    <w:rPr>
                      <w:rFonts w:hint="eastAsia"/>
                      <w:color w:val="auto"/>
                      <w:highlight w:val="none"/>
                      <w:lang w:val="en-US" w:eastAsia="zh-CN"/>
                    </w:rPr>
                    <w:t>30</w:t>
                  </w:r>
                </w:p>
              </w:tc>
              <w:tc>
                <w:tcPr>
                  <w:tcW w:w="687" w:type="pct"/>
                  <w:vMerge w:val="restart"/>
                  <w:tcBorders>
                    <w:tl2br w:val="nil"/>
                    <w:tr2bl w:val="nil"/>
                  </w:tcBorders>
                  <w:noWrap w:val="0"/>
                  <w:vAlign w:val="center"/>
                </w:tcPr>
                <w:p>
                  <w:pPr>
                    <w:pStyle w:val="32"/>
                    <w:bidi w:val="0"/>
                    <w:rPr>
                      <w:color w:val="auto"/>
                      <w:highlight w:val="none"/>
                    </w:rPr>
                  </w:pPr>
                  <w:r>
                    <w:rPr>
                      <w:color w:val="auto"/>
                      <w:highlight w:val="none"/>
                    </w:rPr>
                    <w:t>距离道路边界线距离（m）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282" w:type="pct"/>
                  <w:vMerge w:val="continue"/>
                  <w:tcBorders>
                    <w:tl2br w:val="nil"/>
                    <w:tr2bl w:val="nil"/>
                  </w:tcBorders>
                  <w:noWrap w:val="0"/>
                  <w:vAlign w:val="center"/>
                </w:tcPr>
                <w:p>
                  <w:pPr>
                    <w:pStyle w:val="32"/>
                    <w:bidi w:val="0"/>
                    <w:rPr>
                      <w:color w:val="auto"/>
                      <w:highlight w:val="none"/>
                    </w:rPr>
                  </w:pPr>
                </w:p>
              </w:tc>
              <w:tc>
                <w:tcPr>
                  <w:tcW w:w="448" w:type="pct"/>
                  <w:vMerge w:val="continue"/>
                  <w:tcBorders>
                    <w:tl2br w:val="nil"/>
                    <w:tr2bl w:val="nil"/>
                  </w:tcBorders>
                  <w:noWrap w:val="0"/>
                  <w:vAlign w:val="center"/>
                </w:tcPr>
                <w:p>
                  <w:pPr>
                    <w:pStyle w:val="32"/>
                    <w:bidi w:val="0"/>
                    <w:rPr>
                      <w:color w:val="auto"/>
                      <w:highlight w:val="none"/>
                    </w:rPr>
                  </w:pPr>
                </w:p>
              </w:tc>
              <w:tc>
                <w:tcPr>
                  <w:tcW w:w="696"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2</w:t>
                  </w:r>
                  <w:r>
                    <w:rPr>
                      <w:color w:val="auto"/>
                      <w:highlight w:val="none"/>
                    </w:rPr>
                    <w:t>类标准</w:t>
                  </w:r>
                </w:p>
              </w:tc>
              <w:tc>
                <w:tcPr>
                  <w:tcW w:w="47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15</w:t>
                  </w:r>
                </w:p>
              </w:tc>
              <w:tc>
                <w:tcPr>
                  <w:tcW w:w="482"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30</w:t>
                  </w:r>
                </w:p>
              </w:tc>
              <w:tc>
                <w:tcPr>
                  <w:tcW w:w="47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15</w:t>
                  </w:r>
                </w:p>
              </w:tc>
              <w:tc>
                <w:tcPr>
                  <w:tcW w:w="47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40</w:t>
                  </w:r>
                </w:p>
              </w:tc>
              <w:tc>
                <w:tcPr>
                  <w:tcW w:w="479" w:type="pct"/>
                  <w:gridSpan w:val="2"/>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20</w:t>
                  </w:r>
                </w:p>
              </w:tc>
              <w:tc>
                <w:tcPr>
                  <w:tcW w:w="484"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40</w:t>
                  </w:r>
                </w:p>
              </w:tc>
              <w:tc>
                <w:tcPr>
                  <w:tcW w:w="687" w:type="pct"/>
                  <w:vMerge w:val="continue"/>
                  <w:tcBorders>
                    <w:tl2br w:val="nil"/>
                    <w:tr2bl w:val="nil"/>
                  </w:tcBorders>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282" w:type="pct"/>
                  <w:vMerge w:val="restart"/>
                  <w:tcBorders>
                    <w:tl2br w:val="nil"/>
                    <w:tr2bl w:val="nil"/>
                  </w:tcBorders>
                  <w:noWrap w:val="0"/>
                  <w:vAlign w:val="center"/>
                </w:tcPr>
                <w:p>
                  <w:pPr>
                    <w:pStyle w:val="32"/>
                    <w:bidi w:val="0"/>
                    <w:rPr>
                      <w:rFonts w:hint="eastAsia"/>
                      <w:color w:val="auto"/>
                      <w:highlight w:val="none"/>
                      <w:lang w:eastAsia="zh-CN"/>
                    </w:rPr>
                  </w:pPr>
                  <w:r>
                    <w:rPr>
                      <w:rFonts w:hint="eastAsia"/>
                      <w:color w:val="auto"/>
                      <w:highlight w:val="none"/>
                      <w:lang w:eastAsia="zh-CN"/>
                    </w:rPr>
                    <w:t>辅道</w:t>
                  </w:r>
                </w:p>
              </w:tc>
              <w:tc>
                <w:tcPr>
                  <w:tcW w:w="448" w:type="pct"/>
                  <w:vMerge w:val="continue"/>
                  <w:tcBorders>
                    <w:tl2br w:val="nil"/>
                    <w:tr2bl w:val="nil"/>
                  </w:tcBorders>
                  <w:noWrap w:val="0"/>
                  <w:vAlign w:val="center"/>
                </w:tcPr>
                <w:p>
                  <w:pPr>
                    <w:pStyle w:val="32"/>
                    <w:bidi w:val="0"/>
                    <w:rPr>
                      <w:color w:val="auto"/>
                      <w:highlight w:val="none"/>
                    </w:rPr>
                  </w:pPr>
                </w:p>
              </w:tc>
              <w:tc>
                <w:tcPr>
                  <w:tcW w:w="696" w:type="pct"/>
                  <w:tcBorders>
                    <w:tl2br w:val="nil"/>
                    <w:tr2bl w:val="nil"/>
                  </w:tcBorders>
                  <w:noWrap w:val="0"/>
                  <w:vAlign w:val="center"/>
                </w:tcPr>
                <w:p>
                  <w:pPr>
                    <w:pStyle w:val="32"/>
                    <w:bidi w:val="0"/>
                    <w:rPr>
                      <w:color w:val="auto"/>
                      <w:highlight w:val="none"/>
                    </w:rPr>
                  </w:pPr>
                  <w:r>
                    <w:rPr>
                      <w:color w:val="auto"/>
                      <w:highlight w:val="none"/>
                    </w:rPr>
                    <w:t>4a类标准</w:t>
                  </w:r>
                </w:p>
              </w:tc>
              <w:tc>
                <w:tcPr>
                  <w:tcW w:w="479" w:type="pct"/>
                  <w:tcBorders>
                    <w:tl2br w:val="nil"/>
                    <w:tr2bl w:val="nil"/>
                  </w:tcBorders>
                  <w:noWrap w:val="0"/>
                  <w:vAlign w:val="center"/>
                </w:tcPr>
                <w:p>
                  <w:pPr>
                    <w:pStyle w:val="32"/>
                    <w:bidi w:val="0"/>
                    <w:rPr>
                      <w:rFonts w:hint="eastAsia" w:eastAsia="宋体"/>
                      <w:color w:val="auto"/>
                      <w:highlight w:val="none"/>
                      <w:lang w:val="en-US" w:eastAsia="zh-CN"/>
                    </w:rPr>
                  </w:pPr>
                  <w:r>
                    <w:rPr>
                      <w:rFonts w:hint="eastAsia"/>
                      <w:color w:val="auto"/>
                      <w:highlight w:val="none"/>
                      <w:lang w:val="en-US" w:eastAsia="zh-CN"/>
                    </w:rPr>
                    <w:t>/</w:t>
                  </w:r>
                </w:p>
              </w:tc>
              <w:tc>
                <w:tcPr>
                  <w:tcW w:w="482"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w:t>
                  </w:r>
                </w:p>
              </w:tc>
              <w:tc>
                <w:tcPr>
                  <w:tcW w:w="479" w:type="pct"/>
                  <w:tcBorders>
                    <w:tl2br w:val="nil"/>
                    <w:tr2bl w:val="nil"/>
                  </w:tcBorders>
                  <w:noWrap w:val="0"/>
                  <w:vAlign w:val="center"/>
                </w:tcPr>
                <w:p>
                  <w:pPr>
                    <w:pStyle w:val="32"/>
                    <w:bidi w:val="0"/>
                    <w:ind w:firstLine="0" w:firstLineChars="0"/>
                    <w:rPr>
                      <w:color w:val="auto"/>
                      <w:highlight w:val="none"/>
                    </w:rPr>
                  </w:pPr>
                  <w:r>
                    <w:rPr>
                      <w:rFonts w:hint="eastAsia"/>
                      <w:color w:val="auto"/>
                      <w:highlight w:val="none"/>
                      <w:lang w:val="en-US" w:eastAsia="zh-CN"/>
                    </w:rPr>
                    <w:t>/</w:t>
                  </w:r>
                </w:p>
              </w:tc>
              <w:tc>
                <w:tcPr>
                  <w:tcW w:w="479" w:type="pct"/>
                  <w:tcBorders>
                    <w:tl2br w:val="nil"/>
                    <w:tr2bl w:val="nil"/>
                  </w:tcBorders>
                  <w:noWrap w:val="0"/>
                  <w:vAlign w:val="center"/>
                </w:tcPr>
                <w:p>
                  <w:pPr>
                    <w:pStyle w:val="32"/>
                    <w:bidi w:val="0"/>
                    <w:ind w:firstLine="0" w:firstLineChars="0"/>
                    <w:rPr>
                      <w:rFonts w:hint="default"/>
                      <w:color w:val="auto"/>
                      <w:highlight w:val="none"/>
                      <w:lang w:val="en-US"/>
                    </w:rPr>
                  </w:pPr>
                  <w:r>
                    <w:rPr>
                      <w:rFonts w:hint="eastAsia"/>
                      <w:color w:val="auto"/>
                      <w:highlight w:val="none"/>
                      <w:lang w:val="en-US" w:eastAsia="zh-CN"/>
                    </w:rPr>
                    <w:t>/</w:t>
                  </w:r>
                </w:p>
              </w:tc>
              <w:tc>
                <w:tcPr>
                  <w:tcW w:w="479" w:type="pct"/>
                  <w:gridSpan w:val="2"/>
                  <w:tcBorders>
                    <w:tl2br w:val="nil"/>
                    <w:tr2bl w:val="nil"/>
                  </w:tcBorders>
                  <w:noWrap w:val="0"/>
                  <w:vAlign w:val="center"/>
                </w:tcPr>
                <w:p>
                  <w:pPr>
                    <w:pStyle w:val="32"/>
                    <w:bidi w:val="0"/>
                    <w:ind w:firstLine="0" w:firstLineChars="0"/>
                    <w:rPr>
                      <w:color w:val="auto"/>
                      <w:highlight w:val="none"/>
                    </w:rPr>
                  </w:pPr>
                  <w:r>
                    <w:rPr>
                      <w:rFonts w:hint="eastAsia"/>
                      <w:color w:val="auto"/>
                      <w:highlight w:val="none"/>
                      <w:lang w:val="en-US" w:eastAsia="zh-CN"/>
                    </w:rPr>
                    <w:t>/</w:t>
                  </w:r>
                </w:p>
              </w:tc>
              <w:tc>
                <w:tcPr>
                  <w:tcW w:w="484" w:type="pct"/>
                  <w:tcBorders>
                    <w:tl2br w:val="nil"/>
                    <w:tr2bl w:val="nil"/>
                  </w:tcBorders>
                  <w:noWrap w:val="0"/>
                  <w:vAlign w:val="center"/>
                </w:tcPr>
                <w:p>
                  <w:pPr>
                    <w:pStyle w:val="32"/>
                    <w:bidi w:val="0"/>
                    <w:ind w:firstLine="0" w:firstLineChars="0"/>
                    <w:rPr>
                      <w:rFonts w:hint="default"/>
                      <w:color w:val="auto"/>
                      <w:highlight w:val="none"/>
                      <w:lang w:val="en-US"/>
                    </w:rPr>
                  </w:pPr>
                  <w:r>
                    <w:rPr>
                      <w:rFonts w:hint="eastAsia"/>
                      <w:color w:val="auto"/>
                      <w:highlight w:val="none"/>
                      <w:lang w:val="en-US" w:eastAsia="zh-CN"/>
                    </w:rPr>
                    <w:t>/</w:t>
                  </w:r>
                </w:p>
              </w:tc>
              <w:tc>
                <w:tcPr>
                  <w:tcW w:w="687" w:type="pct"/>
                  <w:vMerge w:val="continue"/>
                  <w:tcBorders>
                    <w:tl2br w:val="nil"/>
                    <w:tr2bl w:val="nil"/>
                  </w:tcBorders>
                  <w:noWrap w:val="0"/>
                  <w:vAlign w:val="center"/>
                </w:tcPr>
                <w:p>
                  <w:pPr>
                    <w:pStyle w:val="32"/>
                    <w:bidi w:val="0"/>
                    <w:jc w:val="center"/>
                    <w:rPr>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282" w:type="pct"/>
                  <w:vMerge w:val="continue"/>
                  <w:tcBorders>
                    <w:tl2br w:val="nil"/>
                    <w:tr2bl w:val="nil"/>
                  </w:tcBorders>
                  <w:noWrap w:val="0"/>
                  <w:vAlign w:val="center"/>
                </w:tcPr>
                <w:p>
                  <w:pPr>
                    <w:pStyle w:val="32"/>
                    <w:bidi w:val="0"/>
                    <w:rPr>
                      <w:color w:val="auto"/>
                      <w:highlight w:val="none"/>
                    </w:rPr>
                  </w:pPr>
                </w:p>
              </w:tc>
              <w:tc>
                <w:tcPr>
                  <w:tcW w:w="448" w:type="pct"/>
                  <w:vMerge w:val="continue"/>
                  <w:tcBorders>
                    <w:tl2br w:val="nil"/>
                    <w:tr2bl w:val="nil"/>
                  </w:tcBorders>
                  <w:noWrap w:val="0"/>
                  <w:vAlign w:val="center"/>
                </w:tcPr>
                <w:p>
                  <w:pPr>
                    <w:pStyle w:val="32"/>
                    <w:bidi w:val="0"/>
                    <w:rPr>
                      <w:color w:val="auto"/>
                      <w:highlight w:val="none"/>
                    </w:rPr>
                  </w:pPr>
                </w:p>
              </w:tc>
              <w:tc>
                <w:tcPr>
                  <w:tcW w:w="696" w:type="pct"/>
                  <w:tcBorders>
                    <w:tl2br w:val="nil"/>
                    <w:tr2bl w:val="nil"/>
                  </w:tcBorders>
                  <w:noWrap w:val="0"/>
                  <w:vAlign w:val="center"/>
                </w:tcPr>
                <w:p>
                  <w:pPr>
                    <w:pStyle w:val="32"/>
                    <w:bidi w:val="0"/>
                    <w:rPr>
                      <w:color w:val="auto"/>
                      <w:highlight w:val="none"/>
                    </w:rPr>
                  </w:pPr>
                  <w:r>
                    <w:rPr>
                      <w:rFonts w:hint="eastAsia"/>
                      <w:color w:val="auto"/>
                      <w:highlight w:val="none"/>
                      <w:lang w:val="en-US" w:eastAsia="zh-CN"/>
                    </w:rPr>
                    <w:t>2</w:t>
                  </w:r>
                  <w:r>
                    <w:rPr>
                      <w:color w:val="auto"/>
                      <w:highlight w:val="none"/>
                    </w:rPr>
                    <w:t>类标准</w:t>
                  </w:r>
                </w:p>
              </w:tc>
              <w:tc>
                <w:tcPr>
                  <w:tcW w:w="47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w:t>
                  </w:r>
                </w:p>
              </w:tc>
              <w:tc>
                <w:tcPr>
                  <w:tcW w:w="482"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15</w:t>
                  </w:r>
                </w:p>
              </w:tc>
              <w:tc>
                <w:tcPr>
                  <w:tcW w:w="47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15</w:t>
                  </w:r>
                </w:p>
              </w:tc>
              <w:tc>
                <w:tcPr>
                  <w:tcW w:w="479"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15</w:t>
                  </w:r>
                </w:p>
              </w:tc>
              <w:tc>
                <w:tcPr>
                  <w:tcW w:w="479" w:type="pct"/>
                  <w:gridSpan w:val="2"/>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20</w:t>
                  </w:r>
                </w:p>
              </w:tc>
              <w:tc>
                <w:tcPr>
                  <w:tcW w:w="484"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20</w:t>
                  </w:r>
                </w:p>
              </w:tc>
              <w:tc>
                <w:tcPr>
                  <w:tcW w:w="687" w:type="pct"/>
                  <w:vMerge w:val="continue"/>
                  <w:tcBorders>
                    <w:tl2br w:val="nil"/>
                    <w:tr2bl w:val="nil"/>
                  </w:tcBorders>
                  <w:noWrap w:val="0"/>
                  <w:vAlign w:val="center"/>
                </w:tcPr>
                <w:p>
                  <w:pPr>
                    <w:pStyle w:val="32"/>
                    <w:bidi w:val="0"/>
                    <w:jc w:val="center"/>
                    <w:rPr>
                      <w:color w:val="auto"/>
                      <w:highlight w:val="none"/>
                    </w:rPr>
                  </w:pPr>
                </w:p>
              </w:tc>
            </w:tr>
          </w:tbl>
          <w:p>
            <w:pPr>
              <w:pStyle w:val="32"/>
              <w:bidi w:val="0"/>
              <w:jc w:val="left"/>
              <w:rPr>
                <w:color w:val="auto"/>
                <w:highlight w:val="none"/>
              </w:rPr>
            </w:pPr>
            <w:r>
              <w:rPr>
                <w:color w:val="auto"/>
                <w:highlight w:val="none"/>
              </w:rPr>
              <w:t>注：此处取不同路段的最大达标距离。</w:t>
            </w:r>
          </w:p>
          <w:p>
            <w:pPr>
              <w:pStyle w:val="33"/>
              <w:bidi w:val="0"/>
              <w:rPr>
                <w:color w:val="auto"/>
                <w:highlight w:val="none"/>
              </w:rPr>
            </w:pPr>
            <w:r>
              <w:rPr>
                <w:color w:val="auto"/>
                <w:highlight w:val="none"/>
              </w:rPr>
              <w:t>根据上表，得出以下结论：在未考虑任何建筑物遮挡、未叠加背景噪声的情况下：</w:t>
            </w:r>
          </w:p>
          <w:p>
            <w:pPr>
              <w:pStyle w:val="33"/>
              <w:bidi w:val="0"/>
              <w:rPr>
                <w:rFonts w:hint="eastAsia"/>
                <w:color w:val="FF0000"/>
                <w:highlight w:val="none"/>
                <w:lang w:val="en-US" w:eastAsia="zh-CN"/>
              </w:rPr>
            </w:pPr>
            <w:r>
              <w:rPr>
                <w:color w:val="FF0000"/>
                <w:highlight w:val="none"/>
              </w:rPr>
              <w:t>202</w:t>
            </w:r>
            <w:r>
              <w:rPr>
                <w:rFonts w:hint="eastAsia"/>
                <w:color w:val="FF0000"/>
                <w:highlight w:val="none"/>
                <w:lang w:val="en-US" w:eastAsia="zh-CN"/>
              </w:rPr>
              <w:t>5</w:t>
            </w:r>
            <w:r>
              <w:rPr>
                <w:color w:val="FF0000"/>
                <w:highlight w:val="none"/>
              </w:rPr>
              <w:t>年、20</w:t>
            </w:r>
            <w:r>
              <w:rPr>
                <w:rFonts w:hint="eastAsia"/>
                <w:color w:val="FF0000"/>
                <w:highlight w:val="none"/>
              </w:rPr>
              <w:t>3</w:t>
            </w:r>
            <w:r>
              <w:rPr>
                <w:rFonts w:hint="eastAsia"/>
                <w:color w:val="FF0000"/>
                <w:highlight w:val="none"/>
                <w:lang w:val="en-US" w:eastAsia="zh-CN"/>
              </w:rPr>
              <w:t>5</w:t>
            </w:r>
            <w:r>
              <w:rPr>
                <w:color w:val="FF0000"/>
                <w:highlight w:val="none"/>
              </w:rPr>
              <w:t>、20</w:t>
            </w:r>
            <w:r>
              <w:rPr>
                <w:rFonts w:hint="eastAsia"/>
                <w:color w:val="FF0000"/>
                <w:highlight w:val="none"/>
                <w:lang w:val="en-US" w:eastAsia="zh-CN"/>
              </w:rPr>
              <w:t>44</w:t>
            </w:r>
            <w:r>
              <w:rPr>
                <w:color w:val="FF0000"/>
                <w:highlight w:val="none"/>
              </w:rPr>
              <w:t>年</w:t>
            </w:r>
            <w:r>
              <w:rPr>
                <w:rFonts w:hint="eastAsia"/>
                <w:color w:val="FF0000"/>
                <w:highlight w:val="none"/>
                <w:lang w:eastAsia="zh-CN"/>
              </w:rPr>
              <w:t>在道路边界</w:t>
            </w:r>
            <w:r>
              <w:rPr>
                <w:rFonts w:hint="eastAsia"/>
                <w:color w:val="FF0000"/>
                <w:highlight w:val="none"/>
                <w:lang w:val="en-US" w:eastAsia="zh-CN"/>
              </w:rPr>
              <w:t>30m范围内</w:t>
            </w:r>
            <w:r>
              <w:rPr>
                <w:color w:val="FF0000"/>
                <w:highlight w:val="none"/>
              </w:rPr>
              <w:t>昼、夜间噪声贡献值均能达到《声环境质量标准》（GB3096-2008）4a 类标准的要求。202</w:t>
            </w:r>
            <w:r>
              <w:rPr>
                <w:rFonts w:hint="eastAsia"/>
                <w:color w:val="FF0000"/>
                <w:highlight w:val="none"/>
                <w:lang w:val="en-US" w:eastAsia="zh-CN"/>
              </w:rPr>
              <w:t>5</w:t>
            </w:r>
            <w:r>
              <w:rPr>
                <w:color w:val="FF0000"/>
                <w:highlight w:val="none"/>
              </w:rPr>
              <w:t>年、20</w:t>
            </w:r>
            <w:r>
              <w:rPr>
                <w:rFonts w:hint="eastAsia"/>
                <w:color w:val="FF0000"/>
                <w:highlight w:val="none"/>
              </w:rPr>
              <w:t>3</w:t>
            </w:r>
            <w:r>
              <w:rPr>
                <w:rFonts w:hint="eastAsia"/>
                <w:color w:val="FF0000"/>
                <w:highlight w:val="none"/>
                <w:lang w:val="en-US" w:eastAsia="zh-CN"/>
              </w:rPr>
              <w:t>5</w:t>
            </w:r>
            <w:r>
              <w:rPr>
                <w:color w:val="FF0000"/>
                <w:highlight w:val="none"/>
              </w:rPr>
              <w:t>、20</w:t>
            </w:r>
            <w:r>
              <w:rPr>
                <w:rFonts w:hint="eastAsia"/>
                <w:color w:val="FF0000"/>
                <w:highlight w:val="none"/>
                <w:lang w:val="en-US" w:eastAsia="zh-CN"/>
              </w:rPr>
              <w:t>44</w:t>
            </w:r>
            <w:r>
              <w:rPr>
                <w:color w:val="FF0000"/>
                <w:highlight w:val="none"/>
              </w:rPr>
              <w:t>年</w:t>
            </w:r>
            <w:r>
              <w:rPr>
                <w:rFonts w:hint="eastAsia"/>
                <w:color w:val="FF0000"/>
                <w:highlight w:val="none"/>
                <w:lang w:eastAsia="zh-CN"/>
              </w:rPr>
              <w:t>在道路边界</w:t>
            </w:r>
            <w:r>
              <w:rPr>
                <w:rFonts w:hint="eastAsia"/>
                <w:color w:val="FF0000"/>
                <w:highlight w:val="none"/>
                <w:lang w:val="en-US" w:eastAsia="zh-CN"/>
              </w:rPr>
              <w:t>40m范围外</w:t>
            </w:r>
            <w:r>
              <w:rPr>
                <w:color w:val="FF0000"/>
                <w:highlight w:val="none"/>
              </w:rPr>
              <w:t>昼</w:t>
            </w:r>
            <w:r>
              <w:rPr>
                <w:rFonts w:hint="eastAsia"/>
                <w:color w:val="FF0000"/>
                <w:highlight w:val="none"/>
              </w:rPr>
              <w:t>间</w:t>
            </w:r>
            <w:r>
              <w:rPr>
                <w:rFonts w:hint="eastAsia"/>
                <w:color w:val="FF0000"/>
                <w:highlight w:val="none"/>
                <w:lang w:eastAsia="zh-CN"/>
              </w:rPr>
              <w:t>、夜间</w:t>
            </w:r>
            <w:r>
              <w:rPr>
                <w:color w:val="FF0000"/>
                <w:highlight w:val="none"/>
              </w:rPr>
              <w:t>噪声贡献值均能达到《声环境质量标准》（GB3096-2008）</w:t>
            </w:r>
            <w:r>
              <w:rPr>
                <w:rFonts w:hint="eastAsia"/>
                <w:color w:val="FF0000"/>
                <w:highlight w:val="none"/>
                <w:lang w:val="en-US" w:eastAsia="zh-CN"/>
              </w:rPr>
              <w:t>2</w:t>
            </w:r>
            <w:r>
              <w:rPr>
                <w:color w:val="FF0000"/>
                <w:highlight w:val="none"/>
              </w:rPr>
              <w:t>类标准的要求</w:t>
            </w:r>
            <w:r>
              <w:rPr>
                <w:rFonts w:hint="eastAsia"/>
                <w:color w:val="FF0000"/>
                <w:highlight w:val="none"/>
                <w:lang w:val="en-US" w:eastAsia="zh-CN"/>
              </w:rPr>
              <w:t>。</w:t>
            </w:r>
          </w:p>
          <w:p>
            <w:pPr>
              <w:pStyle w:val="33"/>
              <w:bidi w:val="0"/>
              <w:rPr>
                <w:rFonts w:hint="eastAsia"/>
                <w:color w:val="auto"/>
                <w:highlight w:val="none"/>
                <w:lang w:eastAsia="zh-CN"/>
              </w:rPr>
            </w:pPr>
            <w:r>
              <w:rPr>
                <w:rFonts w:hint="eastAsia"/>
                <w:color w:val="FF0000"/>
                <w:highlight w:val="none"/>
                <w:lang w:eastAsia="zh-CN"/>
              </w:rPr>
              <w:t>本项目评价范围内不涉及声环境敏感点，因此项目建设不会对周边声环境产生不利影响。</w:t>
            </w:r>
          </w:p>
          <w:p>
            <w:pPr>
              <w:pStyle w:val="33"/>
              <w:bidi w:val="0"/>
              <w:rPr>
                <w:rFonts w:hint="eastAsia" w:eastAsia="宋体"/>
                <w:b/>
                <w:bCs/>
                <w:color w:val="auto"/>
                <w:highlight w:val="none"/>
                <w:lang w:eastAsia="zh-CN"/>
              </w:rPr>
            </w:pPr>
            <w:r>
              <w:rPr>
                <w:rFonts w:hint="eastAsia"/>
                <w:b/>
                <w:bCs/>
                <w:color w:val="auto"/>
                <w:highlight w:val="none"/>
                <w:lang w:val="en-US" w:eastAsia="zh-CN"/>
              </w:rPr>
              <w:t>4.2.4运营期</w:t>
            </w:r>
            <w:r>
              <w:rPr>
                <w:b/>
                <w:bCs/>
                <w:color w:val="auto"/>
                <w:highlight w:val="none"/>
              </w:rPr>
              <w:t>固废</w:t>
            </w:r>
            <w:r>
              <w:rPr>
                <w:rFonts w:hint="eastAsia"/>
                <w:b/>
                <w:bCs/>
                <w:color w:val="auto"/>
                <w:highlight w:val="none"/>
                <w:lang w:eastAsia="zh-CN"/>
              </w:rPr>
              <w:t>影响分析</w:t>
            </w:r>
          </w:p>
          <w:p>
            <w:pPr>
              <w:pStyle w:val="33"/>
              <w:bidi w:val="0"/>
              <w:rPr>
                <w:color w:val="auto"/>
                <w:highlight w:val="none"/>
              </w:rPr>
            </w:pPr>
            <w:r>
              <w:rPr>
                <w:rFonts w:hint="eastAsia"/>
                <w:color w:val="auto"/>
                <w:highlight w:val="none"/>
                <w:lang w:eastAsia="zh-CN"/>
              </w:rPr>
              <w:t>本</w:t>
            </w:r>
            <w:r>
              <w:rPr>
                <w:color w:val="auto"/>
                <w:highlight w:val="none"/>
              </w:rPr>
              <w:t>项目本身不会产生固体废物，项目运营后固体废物主要为日常养护过程中产生的</w:t>
            </w:r>
            <w:r>
              <w:rPr>
                <w:rFonts w:hint="eastAsia"/>
                <w:color w:val="auto"/>
                <w:highlight w:val="none"/>
                <w:lang w:eastAsia="zh-CN"/>
              </w:rPr>
              <w:t>少量</w:t>
            </w:r>
            <w:r>
              <w:rPr>
                <w:color w:val="auto"/>
                <w:highlight w:val="none"/>
              </w:rPr>
              <w:t>筑路废料及车辆与行人产生的生活垃圾。上述固体废物由当地环卫人员定期清理。</w:t>
            </w:r>
          </w:p>
          <w:p>
            <w:pPr>
              <w:pStyle w:val="33"/>
              <w:bidi w:val="0"/>
              <w:rPr>
                <w:b/>
                <w:bCs/>
                <w:color w:val="auto"/>
                <w:highlight w:val="none"/>
              </w:rPr>
            </w:pPr>
            <w:r>
              <w:rPr>
                <w:rFonts w:hint="eastAsia"/>
                <w:b/>
                <w:bCs/>
                <w:color w:val="auto"/>
                <w:highlight w:val="none"/>
                <w:lang w:val="en-US" w:eastAsia="zh-CN"/>
              </w:rPr>
              <w:t>4.2.5运营期</w:t>
            </w:r>
            <w:r>
              <w:rPr>
                <w:b/>
                <w:bCs/>
                <w:color w:val="auto"/>
                <w:highlight w:val="none"/>
              </w:rPr>
              <w:t>土壤及地下水环境影响分析</w:t>
            </w:r>
          </w:p>
          <w:p>
            <w:pPr>
              <w:pStyle w:val="33"/>
              <w:bidi w:val="0"/>
              <w:rPr>
                <w:color w:val="auto"/>
                <w:highlight w:val="none"/>
              </w:rPr>
            </w:pPr>
            <w:r>
              <w:rPr>
                <w:color w:val="auto"/>
                <w:highlight w:val="none"/>
              </w:rPr>
              <w:t>本项目营运过程中主要废气污染物是各种机动车在行驶过程中排放的尾气和扬尘，</w:t>
            </w:r>
            <w:r>
              <w:rPr>
                <w:rFonts w:hint="eastAsia"/>
                <w:color w:val="auto"/>
                <w:highlight w:val="none"/>
                <w:lang w:eastAsia="zh-CN"/>
              </w:rPr>
              <w:t>通过大气沉降落入地面及周边水体，废气污染物主要为</w:t>
            </w:r>
            <w:r>
              <w:rPr>
                <w:color w:val="auto"/>
                <w:highlight w:val="none"/>
              </w:rPr>
              <w:t>颗粒物、CO、NOx、THC，不含重金属且排放量较少，因此不会对土壤环境及地下水环境产生明显不利影响。</w:t>
            </w:r>
          </w:p>
          <w:p>
            <w:pPr>
              <w:pStyle w:val="33"/>
              <w:bidi w:val="0"/>
              <w:rPr>
                <w:b/>
                <w:bCs/>
                <w:color w:val="auto"/>
                <w:highlight w:val="none"/>
              </w:rPr>
            </w:pPr>
            <w:r>
              <w:rPr>
                <w:rFonts w:hint="eastAsia"/>
                <w:b/>
                <w:bCs/>
                <w:color w:val="auto"/>
                <w:highlight w:val="none"/>
                <w:lang w:val="en-US" w:eastAsia="zh-CN"/>
              </w:rPr>
              <w:t>4.2.6运营期</w:t>
            </w:r>
            <w:r>
              <w:rPr>
                <w:b/>
                <w:bCs/>
                <w:color w:val="auto"/>
                <w:highlight w:val="none"/>
              </w:rPr>
              <w:t>生态环境分析</w:t>
            </w:r>
          </w:p>
          <w:p>
            <w:pPr>
              <w:pStyle w:val="33"/>
              <w:bidi w:val="0"/>
              <w:rPr>
                <w:rFonts w:hint="default"/>
                <w:color w:val="auto"/>
                <w:highlight w:val="none"/>
                <w:lang w:val="en-US" w:eastAsia="zh-CN"/>
              </w:rPr>
            </w:pPr>
            <w:r>
              <w:rPr>
                <w:rFonts w:hint="eastAsia"/>
                <w:color w:val="auto"/>
                <w:highlight w:val="none"/>
              </w:rPr>
              <w:t>本项目主线里程为1.72km，辅道设计里程为2.2km</w:t>
            </w:r>
            <w:r>
              <w:rPr>
                <w:rFonts w:hint="eastAsia"/>
                <w:color w:val="auto"/>
                <w:highlight w:val="none"/>
                <w:lang w:eastAsia="zh-CN"/>
              </w:rPr>
              <w:t>，总占地面积</w:t>
            </w:r>
            <w:r>
              <w:rPr>
                <w:rFonts w:hint="eastAsia"/>
                <w:color w:val="auto"/>
                <w:highlight w:val="none"/>
                <w:lang w:val="en-US" w:eastAsia="zh-CN"/>
              </w:rPr>
              <w:t>75800m</w:t>
            </w:r>
            <w:r>
              <w:rPr>
                <w:rFonts w:hint="eastAsia"/>
                <w:color w:val="auto"/>
                <w:highlight w:val="none"/>
                <w:vertAlign w:val="superscript"/>
                <w:lang w:val="en-US" w:eastAsia="zh-CN"/>
              </w:rPr>
              <w:t>2</w:t>
            </w:r>
            <w:r>
              <w:rPr>
                <w:rFonts w:hint="eastAsia"/>
                <w:color w:val="auto"/>
                <w:highlight w:val="none"/>
                <w:lang w:val="en-US" w:eastAsia="zh-CN"/>
              </w:rPr>
              <w:t>，新增用地15600m</w:t>
            </w:r>
            <w:r>
              <w:rPr>
                <w:rFonts w:hint="eastAsia"/>
                <w:color w:val="auto"/>
                <w:highlight w:val="none"/>
                <w:vertAlign w:val="superscript"/>
                <w:lang w:val="en-US" w:eastAsia="zh-CN"/>
              </w:rPr>
              <w:t>2</w:t>
            </w:r>
            <w:r>
              <w:rPr>
                <w:rFonts w:hint="eastAsia"/>
                <w:color w:val="auto"/>
                <w:highlight w:val="none"/>
                <w:lang w:val="en-US" w:eastAsia="zh-CN"/>
              </w:rPr>
              <w:t>。</w:t>
            </w:r>
            <w:r>
              <w:rPr>
                <w:rFonts w:hint="eastAsia"/>
                <w:color w:val="auto"/>
                <w:highlight w:val="none"/>
              </w:rPr>
              <w:t>根据《环境影响评价技术导则</w:t>
            </w:r>
            <w:r>
              <w:rPr>
                <w:rFonts w:hint="eastAsia"/>
                <w:color w:val="auto"/>
                <w:highlight w:val="none"/>
                <w:lang w:val="en-US" w:eastAsia="zh-CN"/>
              </w:rPr>
              <w:t xml:space="preserve"> </w:t>
            </w:r>
            <w:r>
              <w:rPr>
                <w:rFonts w:hint="eastAsia"/>
                <w:color w:val="auto"/>
                <w:highlight w:val="none"/>
              </w:rPr>
              <w:t>生态影响》（HJ19-20</w:t>
            </w:r>
            <w:r>
              <w:rPr>
                <w:rFonts w:hint="eastAsia"/>
                <w:color w:val="auto"/>
                <w:highlight w:val="none"/>
                <w:lang w:val="en-US" w:eastAsia="zh-CN"/>
              </w:rPr>
              <w:t>22</w:t>
            </w:r>
            <w:r>
              <w:rPr>
                <w:rFonts w:hint="eastAsia"/>
                <w:color w:val="auto"/>
                <w:highlight w:val="none"/>
              </w:rPr>
              <w:t>）</w:t>
            </w:r>
            <w:r>
              <w:rPr>
                <w:rFonts w:hint="eastAsia"/>
                <w:color w:val="auto"/>
                <w:highlight w:val="none"/>
                <w:lang w:eastAsia="zh-CN"/>
              </w:rPr>
              <w:t>，本项目不涉及国家公园、自然保护区、世界自然遗产、重要生境、自然公园、生态保护红线等生态保护目标，工程占地规模小于</w:t>
            </w:r>
            <w:r>
              <w:rPr>
                <w:rFonts w:hint="eastAsia"/>
                <w:color w:val="auto"/>
                <w:highlight w:val="none"/>
                <w:lang w:val="en-US" w:eastAsia="zh-CN"/>
              </w:rPr>
              <w:t>20km</w:t>
            </w:r>
            <w:r>
              <w:rPr>
                <w:rFonts w:hint="eastAsia"/>
                <w:color w:val="auto"/>
                <w:highlight w:val="none"/>
                <w:vertAlign w:val="superscript"/>
                <w:lang w:val="en-US" w:eastAsia="zh-CN"/>
              </w:rPr>
              <w:t>2</w:t>
            </w:r>
            <w:r>
              <w:rPr>
                <w:rFonts w:hint="eastAsia"/>
                <w:color w:val="auto"/>
                <w:highlight w:val="none"/>
                <w:lang w:val="en-US" w:eastAsia="zh-CN"/>
              </w:rPr>
              <w:t>，因此本项目生态环境影响评价等级为三级。</w:t>
            </w:r>
          </w:p>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w:t>
            </w:r>
            <w:r>
              <w:rPr>
                <w:rFonts w:hint="eastAsia"/>
                <w:color w:val="auto"/>
                <w:highlight w:val="none"/>
              </w:rPr>
              <w:t>对</w:t>
            </w:r>
            <w:r>
              <w:rPr>
                <w:rFonts w:hint="eastAsia"/>
                <w:color w:val="auto"/>
                <w:highlight w:val="none"/>
                <w:lang w:eastAsia="zh-CN"/>
              </w:rPr>
              <w:t>陆生生物、水生生物</w:t>
            </w:r>
            <w:r>
              <w:rPr>
                <w:rFonts w:hint="eastAsia"/>
                <w:color w:val="auto"/>
                <w:highlight w:val="none"/>
              </w:rPr>
              <w:t>的影响</w:t>
            </w:r>
          </w:p>
          <w:p>
            <w:pPr>
              <w:pStyle w:val="33"/>
              <w:bidi w:val="0"/>
              <w:rPr>
                <w:rFonts w:hint="eastAsia"/>
                <w:color w:val="auto"/>
                <w:highlight w:val="none"/>
              </w:rPr>
            </w:pPr>
            <w:r>
              <w:rPr>
                <w:color w:val="auto"/>
                <w:highlight w:val="none"/>
              </w:rPr>
              <w:t>营运期车辆通行时的噪音可能影响沿线陆生动物</w:t>
            </w:r>
            <w:r>
              <w:rPr>
                <w:rFonts w:hint="eastAsia"/>
                <w:color w:val="auto"/>
                <w:highlight w:val="none"/>
                <w:lang w:eastAsia="zh-CN"/>
              </w:rPr>
              <w:t>如蛇、麻雀、喜鹊等</w:t>
            </w:r>
            <w:r>
              <w:rPr>
                <w:color w:val="auto"/>
                <w:highlight w:val="none"/>
              </w:rPr>
              <w:t>生存。据类比观察，由于蛇、鼠、</w:t>
            </w:r>
            <w:r>
              <w:rPr>
                <w:rFonts w:hint="eastAsia"/>
                <w:color w:val="auto"/>
                <w:highlight w:val="none"/>
                <w:lang w:eastAsia="zh-CN"/>
              </w:rPr>
              <w:t>麻雀</w:t>
            </w:r>
            <w:r>
              <w:rPr>
                <w:color w:val="auto"/>
                <w:highlight w:val="none"/>
              </w:rPr>
              <w:t>、喜鹊等动物对外环境的适应性，在运营初期因遭受汽车高速行驶及噪声的惊吓，普遍采取规避方式，随着时间的推移，动物对外环境的适应性使它们逐步接近或回到其原有的生活环境，种群结构基本没有变化</w:t>
            </w:r>
            <w:r>
              <w:rPr>
                <w:rFonts w:hint="eastAsia"/>
                <w:color w:val="auto"/>
                <w:highlight w:val="none"/>
                <w:lang w:eastAsia="zh-CN"/>
              </w:rPr>
              <w:t>，同时建设</w:t>
            </w:r>
            <w:r>
              <w:rPr>
                <w:rFonts w:hint="eastAsia"/>
                <w:color w:val="auto"/>
                <w:highlight w:val="none"/>
              </w:rPr>
              <w:t>不阻碍动物活动，</w:t>
            </w:r>
            <w:r>
              <w:rPr>
                <w:rFonts w:hint="eastAsia"/>
                <w:color w:val="auto"/>
                <w:highlight w:val="none"/>
                <w:lang w:eastAsia="zh-CN"/>
              </w:rPr>
              <w:t>因此</w:t>
            </w:r>
            <w:r>
              <w:rPr>
                <w:rFonts w:hint="eastAsia"/>
                <w:color w:val="auto"/>
                <w:highlight w:val="none"/>
              </w:rPr>
              <w:t>本项目对周边</w:t>
            </w:r>
            <w:r>
              <w:rPr>
                <w:rFonts w:hint="eastAsia"/>
                <w:color w:val="auto"/>
                <w:highlight w:val="none"/>
                <w:lang w:eastAsia="zh-CN"/>
              </w:rPr>
              <w:t>陆生生物影响较小</w:t>
            </w:r>
            <w:r>
              <w:rPr>
                <w:rFonts w:hint="eastAsia"/>
                <w:color w:val="auto"/>
                <w:highlight w:val="none"/>
              </w:rPr>
              <w:t>。</w:t>
            </w:r>
          </w:p>
          <w:p>
            <w:pPr>
              <w:pStyle w:val="33"/>
              <w:bidi w:val="0"/>
              <w:rPr>
                <w:color w:val="auto"/>
                <w:highlight w:val="none"/>
              </w:rPr>
            </w:pPr>
            <w:r>
              <w:rPr>
                <w:rFonts w:hint="eastAsia"/>
                <w:color w:val="auto"/>
                <w:highlight w:val="none"/>
                <w:lang w:eastAsia="zh-CN"/>
              </w:rPr>
              <w:t>本项目沿线不涉及重要物种、重要生境、地表水体，不涉及对水体的扰动，因此不涉及对水生生物影响。</w:t>
            </w:r>
          </w:p>
          <w:p>
            <w:pPr>
              <w:pStyle w:val="33"/>
              <w:bidi w:val="0"/>
              <w:rPr>
                <w:color w:val="auto"/>
                <w:highlight w:val="none"/>
              </w:rPr>
            </w:pPr>
            <w:r>
              <w:rPr>
                <w:rFonts w:hint="eastAsia"/>
                <w:color w:val="auto"/>
                <w:highlight w:val="none"/>
                <w:lang w:eastAsia="zh-CN"/>
              </w:rPr>
              <w:t>（</w:t>
            </w:r>
            <w:r>
              <w:rPr>
                <w:rFonts w:hint="eastAsia"/>
                <w:color w:val="auto"/>
                <w:highlight w:val="none"/>
                <w:lang w:val="en-US" w:eastAsia="zh-CN"/>
              </w:rPr>
              <w:t>2</w:t>
            </w:r>
            <w:r>
              <w:rPr>
                <w:rFonts w:hint="eastAsia"/>
                <w:color w:val="auto"/>
                <w:highlight w:val="none"/>
                <w:lang w:eastAsia="zh-CN"/>
              </w:rPr>
              <w:t>）</w:t>
            </w:r>
            <w:r>
              <w:rPr>
                <w:rFonts w:hint="eastAsia"/>
                <w:color w:val="auto"/>
                <w:highlight w:val="none"/>
              </w:rPr>
              <w:t>水土流失影响</w:t>
            </w:r>
          </w:p>
          <w:p>
            <w:pPr>
              <w:pStyle w:val="33"/>
              <w:bidi w:val="0"/>
              <w:rPr>
                <w:color w:val="auto"/>
                <w:highlight w:val="none"/>
              </w:rPr>
            </w:pPr>
            <w:r>
              <w:rPr>
                <w:rFonts w:hint="eastAsia"/>
                <w:color w:val="auto"/>
                <w:highlight w:val="none"/>
              </w:rPr>
              <w:t>本项目建成后，对临时施工场地进行恢复绿化，对</w:t>
            </w:r>
            <w:r>
              <w:rPr>
                <w:rFonts w:hint="eastAsia"/>
                <w:color w:val="auto"/>
                <w:highlight w:val="none"/>
                <w:lang w:eastAsia="zh-CN"/>
              </w:rPr>
              <w:t>道路、</w:t>
            </w:r>
            <w:r>
              <w:rPr>
                <w:rFonts w:hint="eastAsia"/>
                <w:color w:val="auto"/>
                <w:highlight w:val="none"/>
              </w:rPr>
              <w:t>桥梁两侧进行合理的绿化，同时对边坡进行硬化防护，施工期造成的水土流失将得到有效控制，营运期基本不会引起水土流失。</w:t>
            </w:r>
          </w:p>
          <w:p>
            <w:pPr>
              <w:pStyle w:val="33"/>
              <w:bidi w:val="0"/>
              <w:rPr>
                <w:rFonts w:hint="eastAsia"/>
                <w:color w:val="auto"/>
                <w:highlight w:val="none"/>
                <w:lang w:val="en-US" w:eastAsia="zh-CN"/>
              </w:rPr>
            </w:pPr>
            <w:r>
              <w:rPr>
                <w:rFonts w:hint="eastAsia"/>
                <w:color w:val="auto"/>
                <w:highlight w:val="none"/>
              </w:rPr>
              <w:t>营运期生态保护及水土保持措施切实做好沿线两侧植被的保护，</w:t>
            </w:r>
            <w:r>
              <w:rPr>
                <w:rFonts w:hint="eastAsia"/>
                <w:color w:val="auto"/>
                <w:highlight w:val="none"/>
                <w:lang w:eastAsia="zh-CN"/>
              </w:rPr>
              <w:t>进行绿化种植，</w:t>
            </w:r>
            <w:r>
              <w:rPr>
                <w:rFonts w:hint="eastAsia"/>
                <w:color w:val="auto"/>
                <w:highlight w:val="none"/>
              </w:rPr>
              <w:t>对于裸露地面采取</w:t>
            </w:r>
            <w:r>
              <w:rPr>
                <w:rFonts w:hint="eastAsia"/>
                <w:color w:val="auto"/>
                <w:highlight w:val="none"/>
                <w:lang w:eastAsia="zh-CN"/>
              </w:rPr>
              <w:t>植被恢复</w:t>
            </w:r>
            <w:r>
              <w:rPr>
                <w:rFonts w:hint="eastAsia"/>
                <w:color w:val="auto"/>
                <w:highlight w:val="none"/>
              </w:rPr>
              <w:t>措施，</w:t>
            </w:r>
            <w:r>
              <w:rPr>
                <w:rFonts w:hint="eastAsia"/>
                <w:color w:val="auto"/>
                <w:highlight w:val="none"/>
                <w:lang w:eastAsia="zh-CN"/>
              </w:rPr>
              <w:t>因此</w:t>
            </w:r>
            <w:r>
              <w:rPr>
                <w:rFonts w:hint="eastAsia"/>
                <w:color w:val="auto"/>
                <w:highlight w:val="none"/>
              </w:rPr>
              <w:t>营运期对生态环境影响较小</w:t>
            </w:r>
            <w:r>
              <w:rPr>
                <w:rFonts w:hint="eastAsia"/>
                <w:color w:val="auto"/>
                <w:highlight w:val="none"/>
                <w:lang w:eastAsia="zh-CN"/>
              </w:rPr>
              <w:t>。</w:t>
            </w:r>
          </w:p>
          <w:p>
            <w:pPr>
              <w:pStyle w:val="33"/>
              <w:bidi w:val="0"/>
              <w:rPr>
                <w:b/>
                <w:bCs/>
                <w:color w:val="auto"/>
                <w:highlight w:val="none"/>
              </w:rPr>
            </w:pPr>
            <w:r>
              <w:rPr>
                <w:rFonts w:hint="eastAsia"/>
                <w:b/>
                <w:bCs/>
                <w:color w:val="auto"/>
                <w:highlight w:val="none"/>
                <w:lang w:val="en-US" w:eastAsia="zh-CN"/>
              </w:rPr>
              <w:t>4.2.7运营期</w:t>
            </w:r>
            <w:r>
              <w:rPr>
                <w:b/>
                <w:bCs/>
                <w:color w:val="auto"/>
                <w:highlight w:val="none"/>
              </w:rPr>
              <w:t xml:space="preserve">环境影响风险分析 </w:t>
            </w:r>
          </w:p>
          <w:p>
            <w:pPr>
              <w:pStyle w:val="33"/>
              <w:bidi w:val="0"/>
              <w:rPr>
                <w:rFonts w:hint="eastAsia"/>
                <w:color w:val="auto"/>
                <w:highlight w:val="none"/>
              </w:rPr>
            </w:pPr>
            <w:r>
              <w:rPr>
                <w:rFonts w:hint="eastAsia"/>
                <w:color w:val="auto"/>
                <w:highlight w:val="none"/>
              </w:rPr>
              <w:t>根据《建设项目环境风险评价技术导则》（HJ 169-2018），</w:t>
            </w:r>
            <w:r>
              <w:rPr>
                <w:rFonts w:hint="eastAsia"/>
                <w:color w:val="auto"/>
                <w:highlight w:val="none"/>
                <w:lang w:eastAsia="zh-CN"/>
              </w:rPr>
              <w:t>本</w:t>
            </w:r>
            <w:r>
              <w:rPr>
                <w:rFonts w:hint="eastAsia"/>
                <w:color w:val="auto"/>
                <w:highlight w:val="none"/>
              </w:rPr>
              <w:t>项目为</w:t>
            </w:r>
            <w:r>
              <w:rPr>
                <w:rFonts w:hint="eastAsia"/>
                <w:color w:val="auto"/>
                <w:highlight w:val="none"/>
                <w:lang w:val="en-US" w:eastAsia="zh-CN"/>
              </w:rPr>
              <w:t>立交桥建设项目</w:t>
            </w:r>
            <w:r>
              <w:rPr>
                <w:rFonts w:hint="eastAsia"/>
                <w:color w:val="auto"/>
                <w:highlight w:val="none"/>
              </w:rPr>
              <w:t>，桥梁本身不涉及危险物质的生产、储存和使用，且不涉及加油站工程，故本次不进行风险评价等级判定。</w:t>
            </w:r>
          </w:p>
          <w:p>
            <w:pPr>
              <w:pStyle w:val="33"/>
              <w:bidi w:val="0"/>
              <w:rPr>
                <w:rFonts w:hint="eastAsia"/>
                <w:color w:val="FF0000"/>
                <w:highlight w:val="none"/>
                <w:lang w:eastAsia="zh-CN"/>
              </w:rPr>
            </w:pPr>
            <w:r>
              <w:rPr>
                <w:rFonts w:hint="eastAsia"/>
                <w:color w:val="FF0000"/>
                <w:highlight w:val="none"/>
                <w:lang w:val="en-US" w:eastAsia="zh-CN"/>
              </w:rPr>
              <w:t xml:space="preserve">本项目作为公路交通运输建设项目，项目本身不涉及风险物质，但是，项目运营过程存在发生交通事故导致运输的危险化学品泄漏的风险。 </w:t>
            </w:r>
          </w:p>
          <w:p>
            <w:pPr>
              <w:pStyle w:val="33"/>
              <w:bidi w:val="0"/>
              <w:rPr>
                <w:rFonts w:hint="eastAsia"/>
                <w:color w:val="FF0000"/>
                <w:highlight w:val="none"/>
                <w:lang w:val="en-US" w:eastAsia="zh-CN"/>
              </w:rPr>
            </w:pPr>
            <w:r>
              <w:rPr>
                <w:rFonts w:hint="eastAsia"/>
                <w:color w:val="FF0000"/>
                <w:highlight w:val="none"/>
                <w:lang w:val="en-US" w:eastAsia="zh-CN"/>
              </w:rPr>
              <w:t>（1）风险物质</w:t>
            </w:r>
          </w:p>
          <w:p>
            <w:pPr>
              <w:pStyle w:val="33"/>
              <w:bidi w:val="0"/>
              <w:rPr>
                <w:rFonts w:hint="eastAsia"/>
                <w:color w:val="FF0000"/>
                <w:highlight w:val="none"/>
                <w:lang w:eastAsia="zh-CN"/>
              </w:rPr>
            </w:pPr>
            <w:r>
              <w:rPr>
                <w:rFonts w:hint="eastAsia"/>
                <w:color w:val="FF0000"/>
                <w:highlight w:val="none"/>
                <w:lang w:val="en-US" w:eastAsia="zh-CN"/>
              </w:rPr>
              <w:t>根据建设单位提供资料和对项目区调查，本项目建成通车后，可能运送的危险化学品主要有汽油、化肥、农药和化工原料等，其中油罐车占危险品运输车辆的比重较大。</w:t>
            </w:r>
          </w:p>
          <w:p>
            <w:pPr>
              <w:pStyle w:val="33"/>
              <w:bidi w:val="0"/>
              <w:rPr>
                <w:rFonts w:hint="eastAsia" w:eastAsia="宋体"/>
                <w:color w:val="FF0000"/>
                <w:highlight w:val="none"/>
                <w:lang w:eastAsia="zh-CN"/>
              </w:rPr>
            </w:pPr>
            <w:r>
              <w:rPr>
                <w:rFonts w:hint="eastAsia"/>
                <w:color w:val="FF0000"/>
                <w:highlight w:val="none"/>
                <w:lang w:eastAsia="zh-CN"/>
              </w:rPr>
              <w:t>（</w:t>
            </w:r>
            <w:r>
              <w:rPr>
                <w:rFonts w:hint="eastAsia"/>
                <w:color w:val="FF0000"/>
                <w:highlight w:val="none"/>
                <w:lang w:val="en-US" w:eastAsia="zh-CN"/>
              </w:rPr>
              <w:t>2</w:t>
            </w:r>
            <w:r>
              <w:rPr>
                <w:rFonts w:hint="eastAsia"/>
                <w:color w:val="FF0000"/>
                <w:highlight w:val="none"/>
                <w:lang w:eastAsia="zh-CN"/>
              </w:rPr>
              <w:t>）环境风险类型</w:t>
            </w:r>
          </w:p>
          <w:p>
            <w:pPr>
              <w:pStyle w:val="33"/>
              <w:bidi w:val="0"/>
              <w:rPr>
                <w:rFonts w:hint="eastAsia"/>
                <w:color w:val="FF0000"/>
                <w:highlight w:val="none"/>
                <w:lang w:val="en-US" w:eastAsia="zh-CN"/>
              </w:rPr>
            </w:pPr>
            <w:r>
              <w:rPr>
                <w:rFonts w:hint="eastAsia"/>
                <w:color w:val="FF0000"/>
                <w:highlight w:val="none"/>
                <w:lang w:val="en-US" w:eastAsia="zh-CN"/>
              </w:rPr>
              <w:t>本项目污染事故类型主要有：车辆本身携带的汽油（柴油）和机油泄漏，并渗入区域土壤和地下水环境；泄漏油品遇火源可能发生火灾、爆炸等次生/伴生灾害。</w:t>
            </w:r>
          </w:p>
          <w:p>
            <w:pPr>
              <w:pStyle w:val="33"/>
              <w:bidi w:val="0"/>
              <w:rPr>
                <w:rFonts w:hint="eastAsia"/>
                <w:color w:val="FF0000"/>
                <w:highlight w:val="none"/>
                <w:lang w:val="en-US" w:eastAsia="zh-CN"/>
              </w:rPr>
            </w:pPr>
            <w:r>
              <w:rPr>
                <w:rFonts w:hint="eastAsia"/>
                <w:color w:val="FF0000"/>
                <w:highlight w:val="none"/>
                <w:lang w:val="en-US" w:eastAsia="zh-CN"/>
              </w:rPr>
              <w:t>（3）环境风险防范措施</w:t>
            </w:r>
          </w:p>
          <w:p>
            <w:pPr>
              <w:pStyle w:val="33"/>
              <w:bidi w:val="0"/>
              <w:rPr>
                <w:rFonts w:hint="default"/>
                <w:color w:val="FF0000"/>
                <w:highlight w:val="none"/>
                <w:lang w:val="en-US" w:eastAsia="zh-CN"/>
              </w:rPr>
            </w:pPr>
            <w:r>
              <w:rPr>
                <w:rFonts w:hint="default"/>
                <w:color w:val="FF0000"/>
                <w:highlight w:val="none"/>
                <w:lang w:val="en-US" w:eastAsia="zh-CN"/>
              </w:rPr>
              <w:t>油类运输的风险由突发的交通事故引起，可以通过一定的管理手段加以预防。就本项目燃油运输车辆交通事故可能带来环境影响而言，为防止灾害性事故发生及控制事故发生后的影响范围和程度，减轻事故造成的损失，特提出以下措施：</w:t>
            </w:r>
          </w:p>
          <w:p>
            <w:pPr>
              <w:pStyle w:val="33"/>
              <w:bidi w:val="0"/>
              <w:rPr>
                <w:rFonts w:hint="default"/>
                <w:color w:val="FF0000"/>
                <w:highlight w:val="none"/>
                <w:lang w:val="en-US" w:eastAsia="zh-CN"/>
              </w:rPr>
            </w:pPr>
            <w:r>
              <w:rPr>
                <w:rFonts w:hint="default"/>
                <w:color w:val="FF0000"/>
                <w:highlight w:val="none"/>
                <w:lang w:val="en-US" w:eastAsia="zh-CN"/>
              </w:rPr>
              <w:t>①在拟建桥梁两侧采用加强型护栏，最大限度地避免车辆偏离道路后发生坠落桥梁进而扩大事故规模的情况发生。</w:t>
            </w:r>
          </w:p>
          <w:p>
            <w:pPr>
              <w:pStyle w:val="33"/>
              <w:bidi w:val="0"/>
              <w:rPr>
                <w:rFonts w:hint="default"/>
                <w:color w:val="FF0000"/>
                <w:highlight w:val="none"/>
                <w:lang w:val="en-US" w:eastAsia="zh-CN"/>
              </w:rPr>
            </w:pPr>
            <w:r>
              <w:rPr>
                <w:rFonts w:hint="default"/>
                <w:color w:val="FF0000"/>
                <w:highlight w:val="none"/>
                <w:lang w:val="en-US" w:eastAsia="zh-CN"/>
              </w:rPr>
              <w:t>②应设置明显的标识牌，设置限速、禁止超车等警示标志，提醒过路驾驶员和乘客加强保护环境意识。</w:t>
            </w:r>
          </w:p>
          <w:p>
            <w:pPr>
              <w:pStyle w:val="33"/>
              <w:bidi w:val="0"/>
              <w:rPr>
                <w:rFonts w:hint="default"/>
                <w:color w:val="FF0000"/>
                <w:highlight w:val="none"/>
                <w:lang w:val="en-US" w:eastAsia="zh-CN"/>
              </w:rPr>
            </w:pPr>
            <w:r>
              <w:rPr>
                <w:rFonts w:hint="default"/>
                <w:color w:val="FF0000"/>
                <w:highlight w:val="none"/>
                <w:lang w:val="en-US" w:eastAsia="zh-CN"/>
              </w:rPr>
              <w:t>③道路投入运营后，运营单位应当制定本单位事故应急救援预案，配备应急救援人员和必要的应急救援器材、设备，并定期组织演练。</w:t>
            </w:r>
          </w:p>
          <w:p>
            <w:pPr>
              <w:pStyle w:val="33"/>
              <w:bidi w:val="0"/>
              <w:rPr>
                <w:rFonts w:hint="default"/>
                <w:color w:val="FF0000"/>
                <w:highlight w:val="none"/>
                <w:lang w:val="en-US" w:eastAsia="zh-CN"/>
              </w:rPr>
            </w:pPr>
            <w:r>
              <w:rPr>
                <w:rFonts w:hint="default"/>
                <w:color w:val="FF0000"/>
                <w:highlight w:val="none"/>
                <w:lang w:val="en-US" w:eastAsia="zh-CN"/>
              </w:rPr>
              <w:t>④道路运营单位应严格执行《危险化学品安全管理条例》、《中华人民共和国监控化学品管理条例》、《全国道路化学危险货物运输专项整治实施方案》等法律法规关于危险化学品运输的有关规定，贯彻交通部《关于继续进行道路危险货物运输专项整治的通知》（交桥梁发〔2002〕226 号）相关要求。</w:t>
            </w:r>
          </w:p>
          <w:p>
            <w:pPr>
              <w:pStyle w:val="33"/>
              <w:bidi w:val="0"/>
              <w:rPr>
                <w:rFonts w:hint="default"/>
                <w:color w:val="FF0000"/>
                <w:highlight w:val="none"/>
                <w:lang w:val="en-US" w:eastAsia="zh-CN"/>
              </w:rPr>
            </w:pPr>
            <w:r>
              <w:rPr>
                <w:rFonts w:hint="eastAsia"/>
                <w:color w:val="FF0000"/>
                <w:highlight w:val="none"/>
                <w:lang w:eastAsia="zh-CN"/>
              </w:rPr>
              <w:t>结合现有</w:t>
            </w:r>
            <w:r>
              <w:rPr>
                <w:rFonts w:hint="eastAsia"/>
                <w:color w:val="FF0000"/>
                <w:highlight w:val="none"/>
                <w:lang w:val="en-US" w:eastAsia="zh-CN"/>
              </w:rPr>
              <w:t>G509（乐港路）通行的车型及车流量，本项目建成通车后，通行的危险化学品运输车辆较少，同时通过</w:t>
            </w:r>
            <w:r>
              <w:rPr>
                <w:rFonts w:hint="eastAsia"/>
                <w:color w:val="FF0000"/>
                <w:highlight w:val="none"/>
              </w:rPr>
              <w:t>桥梁加装防撞</w:t>
            </w:r>
            <w:r>
              <w:rPr>
                <w:rFonts w:hint="eastAsia"/>
                <w:color w:val="FF0000"/>
                <w:highlight w:val="none"/>
                <w:lang w:eastAsia="zh-CN"/>
              </w:rPr>
              <w:t>护栏、防撞桶</w:t>
            </w:r>
            <w:r>
              <w:rPr>
                <w:rFonts w:hint="eastAsia"/>
                <w:color w:val="FF0000"/>
                <w:highlight w:val="none"/>
              </w:rPr>
              <w:t>、设置警示标志</w:t>
            </w:r>
            <w:r>
              <w:rPr>
                <w:rFonts w:hint="eastAsia"/>
                <w:color w:val="FF0000"/>
                <w:highlight w:val="none"/>
                <w:lang w:eastAsia="zh-CN"/>
              </w:rPr>
              <w:t>、</w:t>
            </w:r>
            <w:r>
              <w:rPr>
                <w:rFonts w:hint="eastAsia"/>
                <w:color w:val="FF0000"/>
                <w:highlight w:val="none"/>
              </w:rPr>
              <w:t>制定</w:t>
            </w:r>
            <w:r>
              <w:rPr>
                <w:rFonts w:hint="eastAsia"/>
                <w:color w:val="FF0000"/>
                <w:highlight w:val="none"/>
                <w:lang w:eastAsia="zh-CN"/>
              </w:rPr>
              <w:t>区域突发环境</w:t>
            </w:r>
            <w:r>
              <w:rPr>
                <w:rFonts w:hint="eastAsia"/>
                <w:color w:val="FF0000"/>
                <w:highlight w:val="none"/>
              </w:rPr>
              <w:t>风险应急预案</w:t>
            </w:r>
            <w:r>
              <w:rPr>
                <w:rFonts w:hint="eastAsia"/>
                <w:color w:val="FF0000"/>
                <w:highlight w:val="none"/>
                <w:lang w:eastAsia="zh-CN"/>
              </w:rPr>
              <w:t>等措施</w:t>
            </w:r>
            <w:r>
              <w:rPr>
                <w:rFonts w:hint="eastAsia"/>
                <w:color w:val="FF0000"/>
                <w:highlight w:val="none"/>
              </w:rPr>
              <w:t>，</w:t>
            </w:r>
            <w:r>
              <w:rPr>
                <w:rFonts w:hint="default"/>
                <w:color w:val="FF0000"/>
                <w:highlight w:val="none"/>
                <w:lang w:val="en-US" w:eastAsia="zh-CN"/>
              </w:rPr>
              <w:t>道路发生风险概率很低，发生事故性污染风险对道路周边环境影响程度轻微，油品运输对环境造成严重影响可能性很小。</w:t>
            </w:r>
          </w:p>
          <w:p>
            <w:pPr>
              <w:pStyle w:val="33"/>
              <w:bidi w:val="0"/>
              <w:rPr>
                <w:rFonts w:hint="default"/>
                <w:color w:val="FF0000"/>
                <w:highlight w:val="none"/>
                <w:lang w:val="en-US" w:eastAsia="zh-CN"/>
              </w:rPr>
            </w:pPr>
          </w:p>
          <w:p>
            <w:pPr>
              <w:pStyle w:val="33"/>
              <w:bidi w:val="0"/>
              <w:rPr>
                <w:rFonts w:hint="default"/>
                <w:color w:val="FF0000"/>
                <w:highlight w:val="none"/>
                <w:lang w:val="en-US" w:eastAsia="zh-CN"/>
              </w:rPr>
            </w:pPr>
          </w:p>
          <w:p>
            <w:pPr>
              <w:pStyle w:val="33"/>
              <w:bidi w:val="0"/>
              <w:rPr>
                <w:rFonts w:hint="eastAsia"/>
                <w:color w:val="FF0000"/>
                <w:highlight w:val="none"/>
                <w:lang w:val="en-US" w:eastAsia="zh-CN"/>
              </w:rPr>
            </w:pPr>
          </w:p>
          <w:p>
            <w:pPr>
              <w:pStyle w:val="33"/>
              <w:bidi w:val="0"/>
              <w:rPr>
                <w:rFonts w:hint="eastAsia"/>
                <w:color w:val="auto"/>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647" w:hRule="atLeast"/>
          <w:jc w:val="center"/>
        </w:trPr>
        <w:tc>
          <w:tcPr>
            <w:tcW w:w="219" w:type="pct"/>
            <w:noWrap w:val="0"/>
            <w:vAlign w:val="center"/>
          </w:tcPr>
          <w:p>
            <w:pPr>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Times New Roman" w:hAnsi="Times New Roman"/>
                <w:bCs/>
                <w:color w:val="auto"/>
                <w:kern w:val="2"/>
                <w:sz w:val="21"/>
                <w:szCs w:val="21"/>
                <w:highlight w:val="none"/>
                <w:lang w:val="en-US" w:eastAsia="zh-CN"/>
              </w:rPr>
            </w:pPr>
            <w:r>
              <w:rPr>
                <w:rFonts w:ascii="Times New Roman" w:hAnsi="Times New Roman" w:eastAsia="宋体" w:cs="Times New Roman"/>
                <w:color w:val="auto"/>
                <w:kern w:val="2"/>
                <w:sz w:val="21"/>
                <w:szCs w:val="24"/>
                <w:highlight w:val="none"/>
                <w:lang w:val="en-US" w:eastAsia="zh-CN" w:bidi="ar-SA"/>
              </w:rPr>
              <w:t>选址选线环境合理性分析</w:t>
            </w:r>
          </w:p>
        </w:tc>
        <w:tc>
          <w:tcPr>
            <w:tcW w:w="4780" w:type="pct"/>
            <w:noWrap w:val="0"/>
            <w:vAlign w:val="center"/>
          </w:tcPr>
          <w:p>
            <w:pPr>
              <w:pStyle w:val="33"/>
              <w:bidi w:val="0"/>
              <w:jc w:val="left"/>
              <w:rPr>
                <w:color w:val="auto"/>
                <w:highlight w:val="none"/>
              </w:rPr>
            </w:pPr>
            <w:r>
              <w:rPr>
                <w:color w:val="auto"/>
                <w:highlight w:val="none"/>
              </w:rPr>
              <w:t>本项目位于唐山市</w:t>
            </w:r>
            <w:r>
              <w:rPr>
                <w:rFonts w:hint="eastAsia"/>
                <w:color w:val="auto"/>
                <w:highlight w:val="none"/>
                <w:lang w:eastAsia="zh-CN"/>
              </w:rPr>
              <w:t>海港经济开发区北部</w:t>
            </w:r>
            <w:r>
              <w:rPr>
                <w:color w:val="auto"/>
                <w:highlight w:val="none"/>
              </w:rPr>
              <w:t>，项目选址选线及施工布置未占用自然保护区、饮用水水源保护区等依法禁止开发建设的环境敏感区，</w:t>
            </w:r>
            <w:r>
              <w:rPr>
                <w:rFonts w:hint="eastAsia"/>
                <w:color w:val="auto"/>
                <w:highlight w:val="none"/>
              </w:rPr>
              <w:t>且在</w:t>
            </w:r>
            <w:r>
              <w:rPr>
                <w:rFonts w:hint="eastAsia"/>
                <w:color w:val="auto"/>
                <w:highlight w:val="none"/>
                <w:lang w:eastAsia="zh-CN"/>
              </w:rPr>
              <w:t>现状国道 G509（乐港路）及两侧</w:t>
            </w:r>
            <w:r>
              <w:rPr>
                <w:rFonts w:hint="eastAsia"/>
                <w:color w:val="auto"/>
                <w:highlight w:val="none"/>
              </w:rPr>
              <w:t>进行</w:t>
            </w:r>
            <w:r>
              <w:rPr>
                <w:rFonts w:hint="eastAsia"/>
                <w:color w:val="auto"/>
                <w:highlight w:val="none"/>
                <w:lang w:eastAsia="zh-CN"/>
              </w:rPr>
              <w:t>建设</w:t>
            </w:r>
            <w:r>
              <w:rPr>
                <w:rFonts w:hint="eastAsia"/>
                <w:color w:val="auto"/>
                <w:highlight w:val="none"/>
              </w:rPr>
              <w:t>，</w:t>
            </w:r>
            <w:r>
              <w:rPr>
                <w:rFonts w:hint="eastAsia"/>
                <w:color w:val="auto"/>
                <w:highlight w:val="none"/>
                <w:lang w:eastAsia="zh-CN"/>
              </w:rPr>
              <w:t>新增占地面积</w:t>
            </w:r>
            <w:r>
              <w:rPr>
                <w:rFonts w:hint="eastAsia"/>
                <w:color w:val="auto"/>
                <w:highlight w:val="none"/>
                <w:lang w:val="en-US" w:eastAsia="zh-CN"/>
              </w:rPr>
              <w:t>15600m</w:t>
            </w:r>
            <w:r>
              <w:rPr>
                <w:rFonts w:hint="eastAsia"/>
                <w:color w:val="auto"/>
                <w:highlight w:val="none"/>
                <w:vertAlign w:val="superscript"/>
                <w:lang w:val="en-US" w:eastAsia="zh-CN"/>
              </w:rPr>
              <w:t>2</w:t>
            </w:r>
            <w:r>
              <w:rPr>
                <w:rFonts w:hint="eastAsia"/>
                <w:color w:val="auto"/>
                <w:highlight w:val="none"/>
                <w:lang w:val="en-US" w:eastAsia="zh-CN"/>
              </w:rPr>
              <w:t>，建设单位按照有关规定和要求，正在办理土地征用手续。</w:t>
            </w:r>
            <w:r>
              <w:rPr>
                <w:rFonts w:hint="eastAsia"/>
                <w:color w:val="auto"/>
                <w:highlight w:val="none"/>
              </w:rPr>
              <w:t>符合国土空间用途管制要求，</w:t>
            </w:r>
            <w:r>
              <w:rPr>
                <w:rFonts w:hint="eastAsia"/>
                <w:color w:val="auto"/>
                <w:highlight w:val="none"/>
                <w:lang w:eastAsia="zh-CN"/>
              </w:rPr>
              <w:t>符合交通规划要求，因此</w:t>
            </w:r>
            <w:r>
              <w:rPr>
                <w:color w:val="auto"/>
                <w:highlight w:val="none"/>
              </w:rPr>
              <w:t>选</w:t>
            </w:r>
            <w:r>
              <w:rPr>
                <w:rFonts w:hint="eastAsia"/>
                <w:color w:val="auto"/>
                <w:highlight w:val="none"/>
              </w:rPr>
              <w:t>址</w:t>
            </w:r>
            <w:r>
              <w:rPr>
                <w:color w:val="auto"/>
                <w:highlight w:val="none"/>
              </w:rPr>
              <w:t>合理。</w:t>
            </w:r>
          </w:p>
          <w:p>
            <w:pPr>
              <w:pStyle w:val="33"/>
              <w:bidi w:val="0"/>
              <w:jc w:val="left"/>
              <w:rPr>
                <w:rFonts w:hint="eastAsia"/>
                <w:color w:val="auto"/>
                <w:highlight w:val="none"/>
              </w:rPr>
            </w:pPr>
            <w:r>
              <w:rPr>
                <w:rFonts w:hint="eastAsia"/>
                <w:color w:val="auto"/>
                <w:highlight w:val="none"/>
              </w:rPr>
              <w:t>从环保角度：项目建设期主要污染为施工扬尘、噪声和废水。施工废水经沉淀池处理后回用，施工噪声和扬尘通过采取相应措施可以得到有效控制。</w:t>
            </w:r>
            <w:r>
              <w:rPr>
                <w:rFonts w:hint="eastAsia"/>
                <w:color w:val="auto"/>
                <w:highlight w:val="none"/>
                <w:lang w:eastAsia="zh-CN"/>
              </w:rPr>
              <w:t>运营期主要污染为汽车尾气、噪声、雨水路面径流，采取道路两侧设置绿化带，种植绿植，设雨水收集管网与现有管网相连。施工期和运营期通过采取相应污染防治措施后，</w:t>
            </w:r>
            <w:r>
              <w:rPr>
                <w:rFonts w:hint="eastAsia"/>
                <w:color w:val="auto"/>
                <w:highlight w:val="none"/>
              </w:rPr>
              <w:t>对周围环境的影响在可接受范围内。因此选址合理。</w:t>
            </w:r>
          </w:p>
        </w:tc>
      </w:tr>
    </w:tbl>
    <w:p>
      <w:pPr>
        <w:pStyle w:val="33"/>
        <w:bidi w:val="0"/>
        <w:rPr>
          <w:color w:val="auto"/>
          <w:highlight w:val="none"/>
        </w:rPr>
        <w:sectPr>
          <w:pgSz w:w="11905" w:h="16838"/>
          <w:pgMar w:top="1701" w:right="1531" w:bottom="1701" w:left="1531" w:header="851" w:footer="1077" w:gutter="0"/>
          <w:pgBorders w:offsetFrom="page">
            <w:top w:val="none" w:sz="0" w:space="0"/>
            <w:left w:val="none" w:sz="0" w:space="0"/>
            <w:bottom w:val="none" w:sz="0" w:space="0"/>
            <w:right w:val="none" w:sz="0" w:space="0"/>
          </w:pgBorders>
          <w:pgNumType w:fmt="decimal"/>
          <w:cols w:space="720" w:num="1"/>
          <w:rtlGutter w:val="0"/>
          <w:docGrid w:type="linesAndChars" w:linePitch="312" w:charSpace="-205"/>
        </w:sectPr>
      </w:pPr>
    </w:p>
    <w:p>
      <w:pPr>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240" w:lineRule="auto"/>
        <w:jc w:val="center"/>
        <w:textAlignment w:val="auto"/>
        <w:outlineLvl w:val="0"/>
        <w:rPr>
          <w:rFonts w:ascii="Times New Roman" w:hAnsi="Times New Roman" w:eastAsia="黑体" w:cs="Times New Roman"/>
          <w:snapToGrid w:val="0"/>
          <w:color w:val="auto"/>
          <w:sz w:val="30"/>
          <w:szCs w:val="30"/>
          <w:highlight w:val="none"/>
        </w:rPr>
      </w:pPr>
      <w:r>
        <w:rPr>
          <w:rFonts w:ascii="Times New Roman" w:hAnsi="Times New Roman" w:eastAsia="黑体" w:cs="Times New Roman"/>
          <w:snapToGrid w:val="0"/>
          <w:color w:val="auto"/>
          <w:sz w:val="30"/>
          <w:szCs w:val="30"/>
          <w:highlight w:val="none"/>
        </w:rPr>
        <w:t>五、主要生态环境保护措施</w:t>
      </w:r>
    </w:p>
    <w:tbl>
      <w:tblPr>
        <w:tblStyle w:val="22"/>
        <w:tblW w:w="921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53"/>
        <w:gridCol w:w="845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53" w:type="dxa"/>
            <w:noWrap w:val="0"/>
            <w:tcMar>
              <w:left w:w="28" w:type="dxa"/>
              <w:right w:w="28" w:type="dxa"/>
            </w:tcMar>
            <w:vAlign w:val="center"/>
          </w:tcPr>
          <w:p>
            <w:pPr>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auto"/>
              <w:rPr>
                <w:rFonts w:ascii="Times New Roman" w:hAnsi="Times New Roman" w:eastAsia="宋体" w:cs="Times New Roman"/>
                <w:color w:val="auto"/>
                <w:kern w:val="2"/>
                <w:sz w:val="21"/>
                <w:szCs w:val="24"/>
                <w:highlight w:val="none"/>
                <w:lang w:val="en-US" w:eastAsia="zh-CN" w:bidi="ar-SA"/>
              </w:rPr>
            </w:pPr>
            <w:r>
              <w:rPr>
                <w:rFonts w:ascii="Times New Roman" w:hAnsi="Times New Roman" w:eastAsia="宋体" w:cs="Times New Roman"/>
                <w:color w:val="auto"/>
                <w:kern w:val="2"/>
                <w:sz w:val="21"/>
                <w:szCs w:val="24"/>
                <w:highlight w:val="none"/>
                <w:lang w:val="en-US" w:eastAsia="zh-CN" w:bidi="ar-SA"/>
              </w:rPr>
              <w:t>施工期生态环境保护措施</w:t>
            </w:r>
          </w:p>
        </w:tc>
        <w:tc>
          <w:tcPr>
            <w:tcW w:w="8457" w:type="dxa"/>
            <w:noWrap w:val="0"/>
            <w:vAlign w:val="top"/>
          </w:tcPr>
          <w:p>
            <w:pPr>
              <w:pStyle w:val="33"/>
              <w:bidi w:val="0"/>
              <w:rPr>
                <w:rFonts w:hint="default" w:eastAsia="宋体"/>
                <w:b/>
                <w:bCs/>
                <w:color w:val="auto"/>
                <w:highlight w:val="none"/>
                <w:lang w:val="en-US" w:eastAsia="zh-CN"/>
              </w:rPr>
            </w:pPr>
            <w:r>
              <w:rPr>
                <w:rFonts w:hint="eastAsia"/>
                <w:b/>
                <w:bCs/>
                <w:color w:val="auto"/>
                <w:highlight w:val="none"/>
                <w:lang w:val="en-US" w:eastAsia="zh-CN"/>
              </w:rPr>
              <w:t>5.1施工期环境保护措施</w:t>
            </w:r>
          </w:p>
          <w:p>
            <w:pPr>
              <w:pStyle w:val="33"/>
              <w:bidi w:val="0"/>
              <w:rPr>
                <w:color w:val="auto"/>
                <w:highlight w:val="none"/>
              </w:rPr>
            </w:pPr>
            <w:r>
              <w:rPr>
                <w:color w:val="auto"/>
                <w:highlight w:val="none"/>
              </w:rPr>
              <w:t>施工中主要环境影响包括施工扬尘、废水、施工噪声及固体废弃物等。建设单位在施工中应严格遵守有关的规范及要求，采取相应的环境保护措施，最大程度地减少施工过程对周围环境的影响。</w:t>
            </w:r>
          </w:p>
          <w:p>
            <w:pPr>
              <w:pStyle w:val="33"/>
              <w:bidi w:val="0"/>
              <w:rPr>
                <w:b/>
                <w:bCs/>
                <w:color w:val="auto"/>
                <w:highlight w:val="none"/>
              </w:rPr>
            </w:pPr>
            <w:r>
              <w:rPr>
                <w:rFonts w:hint="eastAsia"/>
                <w:b/>
                <w:bCs/>
                <w:color w:val="auto"/>
                <w:highlight w:val="none"/>
                <w:lang w:val="en-US" w:eastAsia="zh-CN"/>
              </w:rPr>
              <w:t>5.1.1</w:t>
            </w:r>
            <w:r>
              <w:rPr>
                <w:b/>
                <w:bCs/>
                <w:color w:val="auto"/>
                <w:highlight w:val="none"/>
              </w:rPr>
              <w:t>施工期大气环境</w:t>
            </w:r>
            <w:r>
              <w:rPr>
                <w:rFonts w:hint="eastAsia"/>
                <w:b/>
                <w:bCs/>
                <w:color w:val="auto"/>
                <w:highlight w:val="none"/>
              </w:rPr>
              <w:t>保护措施</w:t>
            </w:r>
          </w:p>
          <w:p>
            <w:pPr>
              <w:pStyle w:val="33"/>
              <w:bidi w:val="0"/>
              <w:rPr>
                <w:color w:val="auto"/>
                <w:highlight w:val="none"/>
              </w:rPr>
            </w:pPr>
            <w:r>
              <w:rPr>
                <w:color w:val="auto"/>
                <w:highlight w:val="none"/>
              </w:rPr>
              <w:t xml:space="preserve">本项目施工期产生的大气污染物主要是施工机械燃料废气，施工作业过程中产生的扬尘，铺设沥青过程产生的沥青烟，焊接过程中产生的焊接烟尘。     </w:t>
            </w:r>
          </w:p>
          <w:p>
            <w:pPr>
              <w:pStyle w:val="33"/>
              <w:bidi w:val="0"/>
              <w:rPr>
                <w:color w:val="auto"/>
                <w:highlight w:val="none"/>
              </w:rPr>
            </w:pPr>
            <w:r>
              <w:rPr>
                <w:color w:val="auto"/>
                <w:highlight w:val="none"/>
              </w:rPr>
              <w:t>（1）</w:t>
            </w:r>
            <w:r>
              <w:rPr>
                <w:rFonts w:hint="eastAsia"/>
                <w:color w:val="auto"/>
                <w:highlight w:val="none"/>
                <w:lang w:eastAsia="zh-CN"/>
              </w:rPr>
              <w:t>车辆燃料燃烧</w:t>
            </w:r>
            <w:r>
              <w:rPr>
                <w:color w:val="auto"/>
                <w:highlight w:val="none"/>
              </w:rPr>
              <w:t xml:space="preserve">废气 </w:t>
            </w:r>
          </w:p>
          <w:p>
            <w:pPr>
              <w:pStyle w:val="33"/>
              <w:bidi w:val="0"/>
              <w:rPr>
                <w:color w:val="auto"/>
                <w:highlight w:val="none"/>
              </w:rPr>
            </w:pPr>
            <w:r>
              <w:rPr>
                <w:color w:val="auto"/>
                <w:highlight w:val="none"/>
              </w:rPr>
              <w:t>以燃油为动力的施工机械</w:t>
            </w:r>
            <w:r>
              <w:rPr>
                <w:rFonts w:hint="eastAsia"/>
                <w:color w:val="auto"/>
                <w:highlight w:val="none"/>
                <w:lang w:eastAsia="zh-CN"/>
              </w:rPr>
              <w:t>、运输车辆</w:t>
            </w:r>
            <w:r>
              <w:rPr>
                <w:color w:val="auto"/>
                <w:highlight w:val="none"/>
              </w:rPr>
              <w:t>将在施工场地及周边产生燃油废气</w:t>
            </w:r>
            <w:r>
              <w:rPr>
                <w:rFonts w:hint="eastAsia"/>
                <w:color w:val="auto"/>
                <w:highlight w:val="none"/>
                <w:lang w:eastAsia="zh-CN"/>
              </w:rPr>
              <w:t>，</w:t>
            </w:r>
            <w:r>
              <w:rPr>
                <w:color w:val="auto"/>
                <w:highlight w:val="none"/>
              </w:rPr>
              <w:t>燃油废气主要污染物是碳氢化合物、CO和NOx等。本项目施工期较短，燃油废气对周围</w:t>
            </w:r>
            <w:r>
              <w:rPr>
                <w:rFonts w:hint="eastAsia"/>
                <w:color w:val="auto"/>
                <w:highlight w:val="none"/>
              </w:rPr>
              <w:t>环境</w:t>
            </w:r>
            <w:r>
              <w:rPr>
                <w:color w:val="auto"/>
                <w:highlight w:val="none"/>
              </w:rPr>
              <w:t>造成的影响较小。施工机械应使用合格燃料，严禁使用劣质燃油</w:t>
            </w:r>
            <w:r>
              <w:rPr>
                <w:rFonts w:hint="eastAsia"/>
                <w:color w:val="auto"/>
                <w:highlight w:val="none"/>
                <w:lang w:eastAsia="zh-CN"/>
              </w:rPr>
              <w:t>，且使用至少国三标准以上的已经进行环保登记的非道路移动机械，从而满足环保排放标准</w:t>
            </w:r>
            <w:r>
              <w:rPr>
                <w:color w:val="auto"/>
                <w:highlight w:val="none"/>
              </w:rPr>
              <w:t>。</w:t>
            </w:r>
          </w:p>
          <w:p>
            <w:pPr>
              <w:pStyle w:val="33"/>
              <w:bidi w:val="0"/>
              <w:rPr>
                <w:color w:val="auto"/>
                <w:highlight w:val="none"/>
              </w:rPr>
            </w:pPr>
            <w:r>
              <w:rPr>
                <w:color w:val="auto"/>
                <w:highlight w:val="none"/>
              </w:rPr>
              <w:t>（2）施工作业扬尘</w:t>
            </w:r>
          </w:p>
          <w:p>
            <w:pPr>
              <w:pStyle w:val="33"/>
              <w:bidi w:val="0"/>
              <w:rPr>
                <w:color w:val="auto"/>
                <w:highlight w:val="none"/>
              </w:rPr>
            </w:pPr>
            <w:r>
              <w:rPr>
                <w:color w:val="auto"/>
                <w:highlight w:val="none"/>
              </w:rPr>
              <w:t>扬尘是施工阶段的主要大气污染物，</w:t>
            </w:r>
            <w:r>
              <w:rPr>
                <w:rFonts w:hint="eastAsia"/>
                <w:color w:val="auto"/>
                <w:highlight w:val="none"/>
                <w:lang w:eastAsia="zh-CN"/>
              </w:rPr>
              <w:t>本</w:t>
            </w:r>
            <w:r>
              <w:rPr>
                <w:color w:val="auto"/>
                <w:highlight w:val="none"/>
              </w:rPr>
              <w:t>项目建设期扬尘主要来源于</w:t>
            </w:r>
            <w:r>
              <w:rPr>
                <w:rFonts w:hint="eastAsia"/>
                <w:color w:val="auto"/>
                <w:highlight w:val="none"/>
                <w:lang w:eastAsia="zh-CN"/>
              </w:rPr>
              <w:t>土方</w:t>
            </w:r>
            <w:r>
              <w:rPr>
                <w:color w:val="auto"/>
                <w:highlight w:val="none"/>
              </w:rPr>
              <w:t>开挖</w:t>
            </w:r>
            <w:r>
              <w:rPr>
                <w:rFonts w:hint="eastAsia"/>
                <w:color w:val="auto"/>
                <w:highlight w:val="none"/>
                <w:lang w:eastAsia="zh-CN"/>
              </w:rPr>
              <w:t>回填</w:t>
            </w:r>
            <w:r>
              <w:rPr>
                <w:color w:val="auto"/>
                <w:highlight w:val="none"/>
              </w:rPr>
              <w:t>、施工作业、车辆运输</w:t>
            </w:r>
            <w:r>
              <w:rPr>
                <w:rFonts w:hint="eastAsia"/>
                <w:color w:val="auto"/>
                <w:highlight w:val="none"/>
              </w:rPr>
              <w:t>、</w:t>
            </w:r>
            <w:r>
              <w:rPr>
                <w:rFonts w:hint="eastAsia"/>
                <w:color w:val="auto"/>
                <w:highlight w:val="none"/>
                <w:lang w:eastAsia="zh-CN"/>
              </w:rPr>
              <w:t>路面破拆</w:t>
            </w:r>
            <w:r>
              <w:rPr>
                <w:color w:val="auto"/>
                <w:highlight w:val="none"/>
              </w:rPr>
              <w:t>等过程。对整个施工期而言，施工产生的扬尘主要集中在土建施工阶段，则起尘的原因主要为风力起尘，裸露的施工区表层浮尘由于天气干燥及大风，产生风力扬尘。扬尘中主要污染因子TSP、PM10，其中不含有毒有害的特殊污染物，且以无组织形式排放</w:t>
            </w:r>
            <w:r>
              <w:rPr>
                <w:rFonts w:hint="eastAsia"/>
                <w:color w:val="auto"/>
                <w:highlight w:val="none"/>
              </w:rPr>
              <w:t>。</w:t>
            </w:r>
            <w:r>
              <w:rPr>
                <w:color w:val="auto"/>
                <w:highlight w:val="none"/>
              </w:rPr>
              <w:t>从施工场地实地调查的数据资料来看，建筑工地扬尘对大气的影响范围主要在工地围墙外100m以内。因此，项目施工时须采取扬尘控制措施。</w:t>
            </w:r>
          </w:p>
          <w:p>
            <w:pPr>
              <w:pStyle w:val="33"/>
              <w:bidi w:val="0"/>
              <w:rPr>
                <w:rFonts w:hint="eastAsia" w:eastAsia="宋体"/>
                <w:color w:val="FF0000"/>
                <w:highlight w:val="none"/>
                <w:lang w:eastAsia="zh-CN"/>
              </w:rPr>
            </w:pPr>
            <w:r>
              <w:rPr>
                <w:rFonts w:hint="eastAsia"/>
                <w:color w:val="FF0000"/>
                <w:highlight w:val="none"/>
              </w:rPr>
              <w:t>为减少施工扬尘对外环境的影响，根据《河北省2021年建筑施工扬尘污染防治工作方案》（2021年5月11日）、《河北省扬尘污染防治办法》（2020年1月21日省政府第77次常务会议通过，2020年4月1日起施行）、《施工场地扬尘排放标准》（DB13/2934-2019）、《关于印发&lt;河北省2023年建筑施工扬尘污染防治工作方案&gt;的通知》（冀建质安函[2023] 105号）、《河北省人民代表大会常务委员会关于加强扬尘污染防治的决定》（2018年10月19日河北省第十三届人民代表大会常务委员会第六次会议通过）中相关要求、建筑施工扬尘治理“六个百分之百”及《唐山市住房和城乡建设局关于进一步强化建筑工地扬尘治理有关措施的通知》（简称“六项强化措施”）（唐住建发[2018]44号）。本项目施工过程中要采取如下防尘和抑尘措施</w:t>
            </w:r>
            <w:r>
              <w:rPr>
                <w:rFonts w:hint="eastAsia"/>
                <w:color w:val="FF0000"/>
                <w:highlight w:val="none"/>
                <w:lang w:eastAsia="zh-CN"/>
              </w:rPr>
              <w:t>：</w:t>
            </w:r>
          </w:p>
          <w:p>
            <w:pPr>
              <w:pStyle w:val="33"/>
              <w:bidi w:val="0"/>
              <w:rPr>
                <w:rFonts w:hint="eastAsia"/>
                <w:color w:val="FF0000"/>
                <w:highlight w:val="none"/>
                <w:lang w:eastAsia="zh-CN"/>
              </w:rPr>
            </w:pPr>
            <w:r>
              <w:rPr>
                <w:rFonts w:hint="eastAsia"/>
                <w:color w:val="FF0000"/>
                <w:highlight w:val="none"/>
                <w:lang w:val="en-US" w:eastAsia="zh-CN"/>
              </w:rPr>
              <w:t>1</w:t>
            </w:r>
            <w:r>
              <w:rPr>
                <w:rFonts w:hint="eastAsia"/>
                <w:color w:val="FF0000"/>
                <w:highlight w:val="none"/>
                <w:lang w:eastAsia="zh-CN"/>
              </w:rPr>
              <w:t>）在施工现场周边设置硬质封闭围挡或者围墙，位于主要路段的，高度不低于2.5米，位于一般路段的，高度不低于1.8米，并在围挡底端设置不低于0.2米的防溢座；</w:t>
            </w:r>
          </w:p>
          <w:p>
            <w:pPr>
              <w:pStyle w:val="33"/>
              <w:bidi w:val="0"/>
              <w:rPr>
                <w:rFonts w:hint="eastAsia"/>
                <w:color w:val="FF0000"/>
                <w:highlight w:val="none"/>
                <w:lang w:eastAsia="zh-CN"/>
              </w:rPr>
            </w:pPr>
            <w:r>
              <w:rPr>
                <w:rFonts w:hint="eastAsia"/>
                <w:color w:val="FF0000"/>
                <w:highlight w:val="none"/>
                <w:lang w:val="en-US" w:eastAsia="zh-CN"/>
              </w:rPr>
              <w:t>2</w:t>
            </w:r>
            <w:r>
              <w:rPr>
                <w:rFonts w:hint="eastAsia"/>
                <w:color w:val="FF0000"/>
                <w:highlight w:val="none"/>
                <w:lang w:eastAsia="zh-CN"/>
              </w:rPr>
              <w:t>）对施工现场出入口、场内施工道路、材料加工堆放区等进行硬化处理，裸露地面采取绿化、遮盖、喷洒抑尘剂等防尘措施；</w:t>
            </w:r>
          </w:p>
          <w:p>
            <w:pPr>
              <w:pStyle w:val="33"/>
              <w:bidi w:val="0"/>
              <w:rPr>
                <w:rFonts w:hint="eastAsia"/>
                <w:color w:val="FF0000"/>
                <w:highlight w:val="none"/>
                <w:lang w:eastAsia="zh-CN"/>
              </w:rPr>
            </w:pPr>
            <w:r>
              <w:rPr>
                <w:rFonts w:hint="eastAsia"/>
                <w:color w:val="FF0000"/>
                <w:highlight w:val="none"/>
                <w:lang w:val="en-US" w:eastAsia="zh-CN"/>
              </w:rPr>
              <w:t>3</w:t>
            </w:r>
            <w:r>
              <w:rPr>
                <w:rFonts w:hint="eastAsia"/>
                <w:color w:val="FF0000"/>
                <w:highlight w:val="none"/>
                <w:lang w:eastAsia="zh-CN"/>
              </w:rPr>
              <w:t>）施工现场集中堆放的土方和裸露场地必须采取覆盖、固化等防尘措施，严禁裸露。遮盖块状物料的防尘网，网目密度不得少于800目/100平方厘米，遮盖粒状、粉状物料、裸露地面等的防尘网，网目密度不得少于2000目/100平方厘米，防尘网应保持完整无损；</w:t>
            </w:r>
          </w:p>
          <w:p>
            <w:pPr>
              <w:pStyle w:val="33"/>
              <w:bidi w:val="0"/>
              <w:rPr>
                <w:rFonts w:hint="eastAsia"/>
                <w:color w:val="FF0000"/>
                <w:highlight w:val="none"/>
                <w:lang w:eastAsia="zh-CN"/>
              </w:rPr>
            </w:pPr>
            <w:r>
              <w:rPr>
                <w:rFonts w:hint="eastAsia"/>
                <w:color w:val="FF0000"/>
                <w:highlight w:val="none"/>
                <w:lang w:val="en-US" w:eastAsia="zh-CN"/>
              </w:rPr>
              <w:t>4</w:t>
            </w:r>
            <w:r>
              <w:rPr>
                <w:rFonts w:hint="eastAsia"/>
                <w:color w:val="FF0000"/>
                <w:highlight w:val="none"/>
                <w:lang w:eastAsia="zh-CN"/>
              </w:rPr>
              <w:t>）在施工现场出入口处设置车辆清洗设施并配套设置排水、泥浆沉淀设施，建立车辆冲洗制度并设专人管理，严禁车辆带泥上路，配备洒水设施，并由专人负责；重污染天气时，相应增加洒水频次；</w:t>
            </w:r>
          </w:p>
          <w:p>
            <w:pPr>
              <w:pStyle w:val="33"/>
              <w:bidi w:val="0"/>
              <w:rPr>
                <w:rFonts w:hint="eastAsia"/>
                <w:color w:val="FF0000"/>
                <w:highlight w:val="none"/>
                <w:lang w:eastAsia="zh-CN"/>
              </w:rPr>
            </w:pPr>
            <w:r>
              <w:rPr>
                <w:rFonts w:hint="eastAsia"/>
                <w:color w:val="FF0000"/>
                <w:highlight w:val="none"/>
                <w:lang w:val="en-US" w:eastAsia="zh-CN"/>
              </w:rPr>
              <w:t>5</w:t>
            </w:r>
            <w:r>
              <w:rPr>
                <w:rFonts w:hint="eastAsia"/>
                <w:color w:val="FF0000"/>
                <w:highlight w:val="none"/>
                <w:lang w:eastAsia="zh-CN"/>
              </w:rPr>
              <w:t>）施工现场不设混凝土、砂浆搅拌站；</w:t>
            </w:r>
          </w:p>
          <w:p>
            <w:pPr>
              <w:pStyle w:val="33"/>
              <w:bidi w:val="0"/>
              <w:rPr>
                <w:rFonts w:hint="eastAsia"/>
                <w:color w:val="FF0000"/>
                <w:highlight w:val="none"/>
                <w:lang w:eastAsia="zh-CN"/>
              </w:rPr>
            </w:pPr>
            <w:r>
              <w:rPr>
                <w:rFonts w:hint="eastAsia"/>
                <w:color w:val="FF0000"/>
                <w:highlight w:val="none"/>
                <w:lang w:val="en-US" w:eastAsia="zh-CN"/>
              </w:rPr>
              <w:t>6</w:t>
            </w:r>
            <w:r>
              <w:rPr>
                <w:rFonts w:hint="eastAsia"/>
                <w:color w:val="FF0000"/>
                <w:highlight w:val="none"/>
                <w:lang w:eastAsia="zh-CN"/>
              </w:rPr>
              <w:t>）拆除的建筑垃圾及时清运，不得扬撒；不能及时清运的，应当集中堆放并采取弥补或者遮盖等防尘措施。生活垃圾应用封闭式容器存放，日产日清，严禁随意丢弃；</w:t>
            </w:r>
          </w:p>
          <w:p>
            <w:pPr>
              <w:pStyle w:val="33"/>
              <w:bidi w:val="0"/>
              <w:rPr>
                <w:rFonts w:hint="eastAsia"/>
                <w:color w:val="FF0000"/>
                <w:highlight w:val="none"/>
              </w:rPr>
            </w:pPr>
            <w:r>
              <w:rPr>
                <w:rFonts w:hint="eastAsia"/>
                <w:color w:val="FF0000"/>
                <w:highlight w:val="none"/>
                <w:lang w:val="en-US" w:eastAsia="zh-CN"/>
              </w:rPr>
              <w:t>7</w:t>
            </w:r>
            <w:r>
              <w:rPr>
                <w:rFonts w:hint="eastAsia"/>
                <w:color w:val="FF0000"/>
                <w:highlight w:val="none"/>
              </w:rPr>
              <w:t>）在施工工地同步安装视频监控设备和扬尘污染物在线监测设备，分别与建设主管部门、生态环境主管部门的监控设备联网，并保证系统正常运行，发生故障应当在二十四小时内修复。</w:t>
            </w:r>
          </w:p>
          <w:p>
            <w:pPr>
              <w:pStyle w:val="33"/>
              <w:bidi w:val="0"/>
              <w:rPr>
                <w:rFonts w:hint="eastAsia"/>
                <w:color w:val="FF0000"/>
                <w:highlight w:val="none"/>
                <w:lang w:eastAsia="zh-CN"/>
              </w:rPr>
            </w:pPr>
            <w:r>
              <w:rPr>
                <w:rFonts w:hint="eastAsia"/>
                <w:color w:val="FF0000"/>
                <w:highlight w:val="none"/>
                <w:lang w:val="en-US" w:eastAsia="zh-CN"/>
              </w:rPr>
              <w:t>8</w:t>
            </w:r>
            <w:r>
              <w:rPr>
                <w:rFonts w:hint="eastAsia"/>
                <w:color w:val="FF0000"/>
                <w:highlight w:val="none"/>
                <w:lang w:eastAsia="zh-CN"/>
              </w:rPr>
              <w:t>）施工现场运送土方、渣土的车辆必须封闭或遮盖严密，严禁使用未办理相关手续的渣土等运输车辆，严禁沿路遗撒和随意倾倒。</w:t>
            </w:r>
          </w:p>
          <w:p>
            <w:pPr>
              <w:pStyle w:val="33"/>
              <w:bidi w:val="0"/>
              <w:rPr>
                <w:rFonts w:hint="eastAsia"/>
                <w:color w:val="FF0000"/>
                <w:highlight w:val="none"/>
                <w:lang w:eastAsia="zh-CN"/>
              </w:rPr>
            </w:pPr>
            <w:r>
              <w:rPr>
                <w:rFonts w:hint="eastAsia"/>
                <w:color w:val="FF0000"/>
                <w:highlight w:val="none"/>
                <w:lang w:val="en-US" w:eastAsia="zh-CN"/>
              </w:rPr>
              <w:t>9</w:t>
            </w:r>
            <w:r>
              <w:rPr>
                <w:rFonts w:hint="eastAsia"/>
                <w:color w:val="FF0000"/>
                <w:highlight w:val="none"/>
                <w:lang w:eastAsia="zh-CN"/>
              </w:rPr>
              <w:t>）开挖作业过程中，四周应采取洒水、喷雾等降尘措施。可设置雾炮机，确保设施完好，随时投入使用。</w:t>
            </w:r>
          </w:p>
          <w:p>
            <w:pPr>
              <w:pStyle w:val="33"/>
              <w:bidi w:val="0"/>
              <w:rPr>
                <w:color w:val="FF0000"/>
                <w:highlight w:val="none"/>
              </w:rPr>
            </w:pPr>
            <w:r>
              <w:rPr>
                <w:rFonts w:hint="eastAsia"/>
                <w:color w:val="FF0000"/>
                <w:highlight w:val="none"/>
                <w:lang w:val="en-US" w:eastAsia="zh-CN"/>
              </w:rPr>
              <w:t>10）</w:t>
            </w:r>
            <w:r>
              <w:rPr>
                <w:color w:val="FF0000"/>
                <w:highlight w:val="none"/>
              </w:rPr>
              <w:t>拆除</w:t>
            </w:r>
            <w:r>
              <w:rPr>
                <w:rFonts w:hint="eastAsia"/>
                <w:color w:val="FF0000"/>
                <w:highlight w:val="none"/>
                <w:lang w:eastAsia="zh-CN"/>
              </w:rPr>
              <w:t>、铣刨</w:t>
            </w:r>
            <w:r>
              <w:rPr>
                <w:color w:val="FF0000"/>
                <w:highlight w:val="none"/>
              </w:rPr>
              <w:t>时，四周必须使用围挡封闭施工，并采取喷淋、洒水、喷淋等降尘措施，严禁敞开式拆除。</w:t>
            </w:r>
          </w:p>
          <w:p>
            <w:pPr>
              <w:pStyle w:val="33"/>
              <w:bidi w:val="0"/>
              <w:rPr>
                <w:rFonts w:hint="eastAsia"/>
                <w:color w:val="FF0000"/>
                <w:highlight w:val="none"/>
                <w:lang w:eastAsia="zh-CN"/>
              </w:rPr>
            </w:pPr>
            <w:r>
              <w:rPr>
                <w:rFonts w:hint="eastAsia"/>
                <w:color w:val="FF0000"/>
                <w:highlight w:val="none"/>
                <w:lang w:eastAsia="zh-CN"/>
              </w:rPr>
              <w:t>11）遇有4级以上大风或重污染天气预警时，必须采取扬尘防治应急措施，严禁土方开挖、土方回填、材料切割、金属焊接或其他有可能产生扬尘的作业。</w:t>
            </w:r>
          </w:p>
          <w:p>
            <w:pPr>
              <w:pStyle w:val="33"/>
              <w:bidi w:val="0"/>
              <w:rPr>
                <w:rFonts w:hint="eastAsia"/>
                <w:color w:val="FF0000"/>
                <w:highlight w:val="none"/>
                <w:lang w:eastAsia="zh-CN"/>
              </w:rPr>
            </w:pPr>
            <w:r>
              <w:rPr>
                <w:rFonts w:hint="eastAsia"/>
                <w:color w:val="FF0000"/>
                <w:highlight w:val="none"/>
                <w:lang w:eastAsia="zh-CN"/>
              </w:rPr>
              <w:t>12）土方施工应当合理控制土方开挖和存留时间，采取分段、分片开挖，作业面洒水、喷雾等防尘措施，已完成的作业面和未进行作业的裸露地面应当表面压实、遮盖防尘，堆放超过8小时不扰动的裸土应当进行遮盖；工程主体作业层使用密目式安全网进行封闭，并保持整洁、牢固、无破损；高空作业施工中，施工层建筑垃圾应采用封闭式管道运送或者装袋用垂直升降机械运送。</w:t>
            </w:r>
          </w:p>
          <w:p>
            <w:pPr>
              <w:pStyle w:val="33"/>
              <w:bidi w:val="0"/>
              <w:rPr>
                <w:rFonts w:hint="eastAsia"/>
                <w:color w:val="auto"/>
                <w:highlight w:val="none"/>
                <w:lang w:eastAsia="zh-CN"/>
              </w:rPr>
            </w:pPr>
            <w:r>
              <w:rPr>
                <w:rFonts w:hint="eastAsia"/>
                <w:color w:val="auto"/>
                <w:highlight w:val="none"/>
              </w:rPr>
              <w:t>施工期扬尘监测方案</w:t>
            </w:r>
            <w:r>
              <w:rPr>
                <w:rFonts w:hint="eastAsia"/>
                <w:color w:val="auto"/>
                <w:highlight w:val="none"/>
                <w:lang w:eastAsia="zh-CN"/>
              </w:rPr>
              <w:t>如下：</w:t>
            </w:r>
          </w:p>
          <w:p>
            <w:pPr>
              <w:pStyle w:val="33"/>
              <w:bidi w:val="0"/>
              <w:rPr>
                <w:rFonts w:hint="eastAsia"/>
                <w:color w:val="auto"/>
                <w:highlight w:val="none"/>
              </w:rPr>
            </w:pPr>
            <w:r>
              <w:rPr>
                <w:rFonts w:hint="eastAsia"/>
                <w:color w:val="auto"/>
                <w:highlight w:val="none"/>
                <w:lang w:eastAsia="zh-CN"/>
              </w:rPr>
              <w:t>本</w:t>
            </w:r>
            <w:r>
              <w:rPr>
                <w:rFonts w:hint="eastAsia"/>
                <w:color w:val="auto"/>
                <w:highlight w:val="none"/>
              </w:rPr>
              <w:t>项目占地面积</w:t>
            </w:r>
            <w:r>
              <w:rPr>
                <w:rFonts w:hint="eastAsia"/>
                <w:color w:val="auto"/>
                <w:highlight w:val="none"/>
                <w:lang w:val="en-US" w:eastAsia="zh-CN"/>
              </w:rPr>
              <w:t>75800</w:t>
            </w:r>
            <w:r>
              <w:rPr>
                <w:rFonts w:hint="eastAsia"/>
                <w:color w:val="auto"/>
                <w:highlight w:val="none"/>
              </w:rPr>
              <w:t>m</w:t>
            </w:r>
            <w:r>
              <w:rPr>
                <w:rFonts w:hint="eastAsia"/>
                <w:color w:val="auto"/>
                <w:highlight w:val="none"/>
                <w:vertAlign w:val="superscript"/>
              </w:rPr>
              <w:t>2</w:t>
            </w:r>
            <w:r>
              <w:rPr>
                <w:rFonts w:hint="eastAsia"/>
                <w:color w:val="auto"/>
                <w:highlight w:val="none"/>
              </w:rPr>
              <w:t>，根据《施工场地扬尘排放标准》（DB13/2934-2019）占地面积大于一万小于等于十万的，监测点数不少于4个，本项目设置4个监测点数。</w:t>
            </w:r>
          </w:p>
          <w:p>
            <w:pPr>
              <w:pStyle w:val="33"/>
              <w:bidi w:val="0"/>
              <w:rPr>
                <w:rFonts w:hint="eastAsia"/>
                <w:color w:val="auto"/>
                <w:highlight w:val="none"/>
              </w:rPr>
            </w:pPr>
            <w:r>
              <w:rPr>
                <w:color w:val="auto"/>
                <w:highlight w:val="none"/>
              </w:rPr>
              <w:t>根据《施工场地扬尘排放标准》（DB13/2934-2019）要求，</w:t>
            </w:r>
            <w:r>
              <w:rPr>
                <w:rFonts w:hint="eastAsia"/>
                <w:color w:val="auto"/>
                <w:highlight w:val="none"/>
              </w:rPr>
              <w:t>本项目属于</w:t>
            </w:r>
            <w:r>
              <w:rPr>
                <w:color w:val="auto"/>
                <w:highlight w:val="none"/>
              </w:rPr>
              <w:t>市政建设施工中的线性工程</w:t>
            </w:r>
            <w:r>
              <w:rPr>
                <w:rFonts w:hint="eastAsia"/>
                <w:color w:val="auto"/>
                <w:highlight w:val="none"/>
              </w:rPr>
              <w:t>，因此</w:t>
            </w:r>
            <w:r>
              <w:rPr>
                <w:color w:val="auto"/>
                <w:highlight w:val="none"/>
              </w:rPr>
              <w:t>每个标段宜设置1个监测点位，优先设置在线性工程每个标段所在区域主导风向下风向的施工场地边界</w:t>
            </w:r>
            <w:r>
              <w:rPr>
                <w:rFonts w:hint="eastAsia"/>
                <w:color w:val="auto"/>
                <w:highlight w:val="none"/>
              </w:rPr>
              <w:t>。</w:t>
            </w:r>
          </w:p>
          <w:p>
            <w:pPr>
              <w:pStyle w:val="33"/>
              <w:bidi w:val="0"/>
              <w:rPr>
                <w:color w:val="auto"/>
                <w:highlight w:val="none"/>
              </w:rPr>
            </w:pPr>
            <w:r>
              <w:rPr>
                <w:color w:val="auto"/>
                <w:highlight w:val="none"/>
              </w:rPr>
              <w:t>在采取上述措施的前提下，施工期产生的扬尘对周围环境的影响可以定位到有效控制。施工作业属短期行为，施工期结束，影响随之不复存在。</w:t>
            </w:r>
          </w:p>
          <w:p>
            <w:pPr>
              <w:pStyle w:val="33"/>
              <w:bidi w:val="0"/>
              <w:rPr>
                <w:color w:val="auto"/>
                <w:highlight w:val="none"/>
              </w:rPr>
            </w:pPr>
            <w:r>
              <w:rPr>
                <w:color w:val="auto"/>
                <w:highlight w:val="none"/>
              </w:rPr>
              <w:t xml:space="preserve">施工过程中做到“六个百分之百”，即工地周边百分之百围挡、裸露土地和细颗粒建筑材料百分之百覆盖、出入车辆百分之百冲洗、施工现场道路百分之百硬化和土方作业百分之百湿法作业、渣土车辆百分之百密闭运输。 </w:t>
            </w:r>
          </w:p>
          <w:p>
            <w:pPr>
              <w:pStyle w:val="33"/>
              <w:bidi w:val="0"/>
              <w:rPr>
                <w:color w:val="auto"/>
                <w:highlight w:val="none"/>
              </w:rPr>
            </w:pPr>
            <w:r>
              <w:rPr>
                <w:color w:val="auto"/>
                <w:highlight w:val="none"/>
              </w:rPr>
              <w:t>总之，只要加强管理、切实落实好这些措施，施工扬尘对环境的影响将会大大降低，扬尘对环境的影响将随施工期的结束而消失。</w:t>
            </w:r>
          </w:p>
          <w:p>
            <w:pPr>
              <w:pStyle w:val="33"/>
              <w:bidi w:val="0"/>
              <w:rPr>
                <w:color w:val="auto"/>
                <w:highlight w:val="none"/>
              </w:rPr>
            </w:pPr>
            <w:r>
              <w:rPr>
                <w:color w:val="auto"/>
                <w:highlight w:val="none"/>
              </w:rPr>
              <w:t>采取以上措施后，项目施工期扬尘满足河北省地方标准《施工场地扬尘排放标准》（DB13/2934-2019），施工场地扬尘排放浓度限值0.08mg/m</w:t>
            </w:r>
            <w:r>
              <w:rPr>
                <w:color w:val="auto"/>
                <w:highlight w:val="none"/>
                <w:vertAlign w:val="superscript"/>
              </w:rPr>
              <w:t>3</w:t>
            </w:r>
            <w:r>
              <w:rPr>
                <w:color w:val="auto"/>
                <w:highlight w:val="none"/>
              </w:rPr>
              <w:t>。</w:t>
            </w:r>
          </w:p>
          <w:p>
            <w:pPr>
              <w:pStyle w:val="33"/>
              <w:bidi w:val="0"/>
              <w:rPr>
                <w:color w:val="auto"/>
                <w:highlight w:val="none"/>
              </w:rPr>
            </w:pPr>
            <w:r>
              <w:rPr>
                <w:color w:val="auto"/>
                <w:highlight w:val="none"/>
              </w:rPr>
              <w:t>（3）沥青烟</w:t>
            </w:r>
          </w:p>
          <w:p>
            <w:pPr>
              <w:pStyle w:val="33"/>
              <w:bidi w:val="0"/>
              <w:rPr>
                <w:rFonts w:hint="eastAsia"/>
                <w:color w:val="auto"/>
                <w:highlight w:val="none"/>
                <w:lang w:eastAsia="zh-CN"/>
              </w:rPr>
            </w:pPr>
            <w:r>
              <w:rPr>
                <w:color w:val="auto"/>
                <w:highlight w:val="none"/>
              </w:rPr>
              <w:t>本项目路面采用沥青混凝土路面，沥青</w:t>
            </w:r>
            <w:r>
              <w:rPr>
                <w:rFonts w:hint="eastAsia"/>
                <w:color w:val="auto"/>
                <w:highlight w:val="none"/>
                <w:lang w:eastAsia="zh-CN"/>
              </w:rPr>
              <w:t>混凝土</w:t>
            </w:r>
            <w:r>
              <w:rPr>
                <w:color w:val="auto"/>
                <w:highlight w:val="none"/>
              </w:rPr>
              <w:t>在摊铺时会产生沥青烟，污染周围环境</w:t>
            </w:r>
            <w:r>
              <w:rPr>
                <w:rFonts w:hint="eastAsia"/>
                <w:color w:val="auto"/>
                <w:highlight w:val="none"/>
                <w:lang w:eastAsia="zh-CN"/>
              </w:rPr>
              <w:t>，</w:t>
            </w:r>
            <w:r>
              <w:rPr>
                <w:color w:val="auto"/>
                <w:highlight w:val="none"/>
              </w:rPr>
              <w:t>本工程</w:t>
            </w:r>
            <w:r>
              <w:rPr>
                <w:rFonts w:hint="eastAsia"/>
                <w:color w:val="auto"/>
                <w:highlight w:val="none"/>
                <w:lang w:eastAsia="zh-CN"/>
              </w:rPr>
              <w:t>使用商品沥青混凝土，不设置沥青</w:t>
            </w:r>
            <w:r>
              <w:rPr>
                <w:color w:val="auto"/>
                <w:highlight w:val="none"/>
              </w:rPr>
              <w:t>拌和站</w:t>
            </w:r>
            <w:r>
              <w:rPr>
                <w:rFonts w:hint="eastAsia"/>
                <w:color w:val="auto"/>
                <w:highlight w:val="none"/>
                <w:lang w:eastAsia="zh-CN"/>
              </w:rPr>
              <w:t>，不使用热沥青混凝土，使用乳化沥青混凝土，使用封闭式运输车辆和摊铺机</w:t>
            </w:r>
            <w:r>
              <w:rPr>
                <w:color w:val="auto"/>
                <w:highlight w:val="none"/>
              </w:rPr>
              <w:t>。道路施工期的沥青烟会对工程沿线的环境空气质量产生一定影响，但是由于施工周期较短，且随着施工的结束沥青烟的影响也随之消失</w:t>
            </w:r>
            <w:r>
              <w:rPr>
                <w:rFonts w:hint="eastAsia"/>
                <w:color w:val="auto"/>
                <w:highlight w:val="none"/>
                <w:lang w:eastAsia="zh-CN"/>
              </w:rPr>
              <w:t>。</w:t>
            </w:r>
          </w:p>
          <w:p>
            <w:pPr>
              <w:pStyle w:val="33"/>
              <w:bidi w:val="0"/>
              <w:rPr>
                <w:color w:val="auto"/>
                <w:highlight w:val="none"/>
                <w:lang w:val="zh-CN"/>
              </w:rPr>
            </w:pPr>
            <w:bookmarkStart w:id="31" w:name="_Toc128451418"/>
            <w:bookmarkStart w:id="32" w:name="_Toc312698234"/>
            <w:bookmarkStart w:id="33" w:name="_Toc155443306"/>
            <w:bookmarkStart w:id="34" w:name="_Toc148073702"/>
            <w:r>
              <w:rPr>
                <w:color w:val="auto"/>
                <w:highlight w:val="none"/>
                <w:lang w:val="zh-CN"/>
              </w:rPr>
              <w:t>（</w:t>
            </w:r>
            <w:r>
              <w:rPr>
                <w:color w:val="auto"/>
                <w:highlight w:val="none"/>
              </w:rPr>
              <w:t>4</w:t>
            </w:r>
            <w:r>
              <w:rPr>
                <w:color w:val="auto"/>
                <w:highlight w:val="none"/>
                <w:lang w:val="zh-CN"/>
              </w:rPr>
              <w:t>）焊接烟尘</w:t>
            </w:r>
          </w:p>
          <w:p>
            <w:pPr>
              <w:pStyle w:val="33"/>
              <w:bidi w:val="0"/>
              <w:rPr>
                <w:rFonts w:hint="eastAsia"/>
                <w:color w:val="auto"/>
                <w:highlight w:val="none"/>
              </w:rPr>
            </w:pPr>
            <w:r>
              <w:rPr>
                <w:color w:val="auto"/>
                <w:highlight w:val="none"/>
                <w:lang w:val="zh-CN"/>
              </w:rPr>
              <w:t>焊接过程中配备移动式焊接烟尘净化器，用以处理焊接过程中产生的焊接烟尘。桥面施工周期较短，焊接烟尘会对</w:t>
            </w:r>
            <w:r>
              <w:rPr>
                <w:color w:val="auto"/>
                <w:highlight w:val="none"/>
              </w:rPr>
              <w:t>工程沿线的环境空气质量产生一定影响，但是由于施工周期较短，且随着施工的结束焊接烟尘的影响也随之消失。</w:t>
            </w:r>
          </w:p>
          <w:p>
            <w:pPr>
              <w:pStyle w:val="33"/>
              <w:bidi w:val="0"/>
              <w:rPr>
                <w:rFonts w:hint="eastAsia" w:ascii="Times New Roman" w:hAnsi="Times New Roman" w:eastAsia="宋体" w:cs="Times New Roman"/>
                <w:b/>
                <w:bCs/>
                <w:color w:val="auto"/>
                <w:highlight w:val="none"/>
                <w:lang w:val="zh-CN" w:eastAsia="zh-CN"/>
              </w:rPr>
            </w:pPr>
            <w:r>
              <w:rPr>
                <w:rFonts w:hint="eastAsia" w:ascii="Times New Roman" w:hAnsi="Times New Roman" w:eastAsia="宋体" w:cs="Times New Roman"/>
                <w:b/>
                <w:bCs/>
                <w:color w:val="auto"/>
                <w:highlight w:val="none"/>
                <w:lang w:val="en-US" w:eastAsia="zh-CN"/>
              </w:rPr>
              <w:t>5.1.2</w:t>
            </w:r>
            <w:r>
              <w:rPr>
                <w:rFonts w:hint="eastAsia" w:ascii="Times New Roman" w:hAnsi="Times New Roman" w:eastAsia="宋体" w:cs="Times New Roman"/>
                <w:b/>
                <w:bCs/>
                <w:color w:val="auto"/>
                <w:highlight w:val="none"/>
                <w:lang w:val="zh-CN" w:eastAsia="zh-CN"/>
              </w:rPr>
              <w:t>施工期</w:t>
            </w:r>
            <w:bookmarkEnd w:id="31"/>
            <w:bookmarkEnd w:id="32"/>
            <w:bookmarkEnd w:id="33"/>
            <w:bookmarkEnd w:id="34"/>
            <w:r>
              <w:rPr>
                <w:rFonts w:hint="eastAsia" w:ascii="Times New Roman" w:hAnsi="Times New Roman" w:eastAsia="宋体" w:cs="Times New Roman"/>
                <w:b/>
                <w:bCs/>
                <w:color w:val="auto"/>
                <w:highlight w:val="none"/>
                <w:lang w:val="zh-CN" w:eastAsia="zh-CN"/>
              </w:rPr>
              <w:t>声环境保护措施</w:t>
            </w:r>
          </w:p>
          <w:p>
            <w:pPr>
              <w:pStyle w:val="33"/>
              <w:bidi w:val="0"/>
              <w:rPr>
                <w:color w:val="auto"/>
                <w:highlight w:val="none"/>
              </w:rPr>
            </w:pPr>
            <w:bookmarkStart w:id="35" w:name="OLE_LINK2"/>
            <w:r>
              <w:rPr>
                <w:color w:val="auto"/>
                <w:highlight w:val="none"/>
              </w:rPr>
              <w:t>本项目道路两侧</w:t>
            </w:r>
            <w:r>
              <w:rPr>
                <w:rFonts w:hint="eastAsia"/>
                <w:color w:val="auto"/>
                <w:highlight w:val="none"/>
                <w:lang w:eastAsia="zh-CN"/>
              </w:rPr>
              <w:t>不涉及</w:t>
            </w:r>
            <w:r>
              <w:rPr>
                <w:color w:val="auto"/>
                <w:highlight w:val="none"/>
              </w:rPr>
              <w:t>环境保护目标</w:t>
            </w:r>
            <w:bookmarkEnd w:id="35"/>
            <w:r>
              <w:rPr>
                <w:color w:val="auto"/>
                <w:highlight w:val="none"/>
              </w:rPr>
              <w:t>，为避免施工机械对周围声环境的影响，本评价要求项目施工期间应采取以下措施：</w:t>
            </w:r>
          </w:p>
          <w:p>
            <w:pPr>
              <w:pStyle w:val="33"/>
              <w:bidi w:val="0"/>
              <w:rPr>
                <w:color w:val="auto"/>
                <w:highlight w:val="none"/>
              </w:rPr>
            </w:pPr>
            <w:r>
              <w:rPr>
                <w:color w:val="auto"/>
                <w:highlight w:val="none"/>
              </w:rPr>
              <w:t>①合理安排施工计划和施工机械设备组合以及施工时间，避免同一时间集中使用大量的动力机械设备。施工单位严格执行《建筑施工场界环境噪声排放标准》（GB12523-2011）的要求，在施工过程中，尽量减少运行动力机械设备的数量，尽可能使动力机械设备比较均匀地使用。</w:t>
            </w:r>
          </w:p>
          <w:p>
            <w:pPr>
              <w:pStyle w:val="33"/>
              <w:bidi w:val="0"/>
              <w:rPr>
                <w:color w:val="auto"/>
                <w:highlight w:val="none"/>
              </w:rPr>
            </w:pPr>
            <w:r>
              <w:rPr>
                <w:color w:val="auto"/>
                <w:highlight w:val="none"/>
              </w:rPr>
              <w:t>②选用低噪声机械设备，从根本上降低源强，低噪型运载车在行驶过程中产生的噪声级比同类水平的其它车辆低10-15dB(A)。闲置的机械设备应该予以关闭或者减速；动力机械设备应定期检修、保养，以减少机械运行震动噪声。</w:t>
            </w:r>
          </w:p>
          <w:p>
            <w:pPr>
              <w:pStyle w:val="33"/>
              <w:bidi w:val="0"/>
              <w:rPr>
                <w:color w:val="auto"/>
                <w:highlight w:val="none"/>
              </w:rPr>
            </w:pPr>
            <w:r>
              <w:rPr>
                <w:color w:val="auto"/>
                <w:highlight w:val="none"/>
              </w:rPr>
              <w:t>③在场界四周设置不低于2.5m高围挡。</w:t>
            </w:r>
          </w:p>
          <w:p>
            <w:pPr>
              <w:pStyle w:val="33"/>
              <w:bidi w:val="0"/>
              <w:rPr>
                <w:color w:val="auto"/>
                <w:highlight w:val="none"/>
              </w:rPr>
            </w:pPr>
            <w:r>
              <w:rPr>
                <w:color w:val="auto"/>
                <w:highlight w:val="none"/>
              </w:rPr>
              <w:t>④运载建筑材料及建筑垃圾的车辆要选择合适的时间路线进行运输，运输车辆行驶路线应尽量避开沿途可能的居民点和环境敏感点。</w:t>
            </w:r>
          </w:p>
          <w:p>
            <w:pPr>
              <w:pStyle w:val="33"/>
              <w:bidi w:val="0"/>
              <w:rPr>
                <w:color w:val="auto"/>
                <w:highlight w:val="none"/>
              </w:rPr>
            </w:pPr>
            <w:r>
              <w:rPr>
                <w:color w:val="auto"/>
                <w:highlight w:val="none"/>
              </w:rPr>
              <w:t>采取上述措施后，能够有效减少噪声的影响，随着施工期的结束，施工噪声将会消失，项目周围无声环境敏感点，施工期噪声对环境影响较小，措施可行。</w:t>
            </w:r>
          </w:p>
          <w:p>
            <w:pPr>
              <w:pStyle w:val="33"/>
              <w:bidi w:val="0"/>
              <w:rPr>
                <w:rFonts w:hint="eastAsia" w:ascii="Times New Roman" w:hAnsi="Times New Roman" w:eastAsia="宋体" w:cs="Times New Roman"/>
                <w:b/>
                <w:bCs/>
                <w:color w:val="auto"/>
                <w:highlight w:val="none"/>
                <w:lang w:val="en-US" w:eastAsia="zh-CN"/>
              </w:rPr>
            </w:pPr>
            <w:bookmarkStart w:id="36" w:name="_Toc155443307"/>
            <w:bookmarkStart w:id="37" w:name="_Toc122588291"/>
            <w:bookmarkStart w:id="38" w:name="_Toc312698235"/>
            <w:bookmarkStart w:id="39" w:name="_Toc128451420"/>
            <w:bookmarkStart w:id="40" w:name="_Toc120354163"/>
            <w:bookmarkStart w:id="41" w:name="_Toc125698980"/>
            <w:bookmarkStart w:id="42" w:name="_Toc148073707"/>
            <w:bookmarkStart w:id="43" w:name="_Toc124819833"/>
            <w:r>
              <w:rPr>
                <w:rFonts w:hint="eastAsia" w:ascii="Times New Roman" w:hAnsi="Times New Roman" w:eastAsia="宋体" w:cs="Times New Roman"/>
                <w:b/>
                <w:bCs/>
                <w:color w:val="auto"/>
                <w:highlight w:val="none"/>
                <w:lang w:val="en-US" w:eastAsia="zh-CN"/>
              </w:rPr>
              <w:t>5.1.3</w:t>
            </w:r>
            <w:r>
              <w:rPr>
                <w:rFonts w:hint="eastAsia" w:ascii="Times New Roman" w:hAnsi="Times New Roman" w:eastAsia="宋体" w:cs="Times New Roman"/>
                <w:b/>
                <w:bCs/>
                <w:color w:val="auto"/>
                <w:highlight w:val="none"/>
                <w:lang w:val="zh-CN" w:eastAsia="zh-CN"/>
              </w:rPr>
              <w:t>施工期</w:t>
            </w:r>
            <w:bookmarkEnd w:id="36"/>
            <w:bookmarkEnd w:id="37"/>
            <w:bookmarkEnd w:id="38"/>
            <w:bookmarkEnd w:id="39"/>
            <w:bookmarkEnd w:id="40"/>
            <w:bookmarkEnd w:id="41"/>
            <w:bookmarkEnd w:id="42"/>
            <w:bookmarkEnd w:id="43"/>
            <w:r>
              <w:rPr>
                <w:rFonts w:hint="eastAsia" w:ascii="Times New Roman" w:hAnsi="Times New Roman" w:eastAsia="宋体" w:cs="Times New Roman"/>
                <w:b/>
                <w:bCs/>
                <w:color w:val="auto"/>
                <w:highlight w:val="none"/>
                <w:lang w:val="en-US" w:eastAsia="zh-CN"/>
              </w:rPr>
              <w:t>水环境保护措施</w:t>
            </w:r>
          </w:p>
          <w:p>
            <w:pPr>
              <w:pStyle w:val="33"/>
              <w:bidi w:val="0"/>
              <w:rPr>
                <w:rFonts w:hint="eastAsia"/>
                <w:color w:val="auto"/>
                <w:highlight w:val="none"/>
              </w:rPr>
            </w:pPr>
            <w:r>
              <w:rPr>
                <w:rFonts w:hint="eastAsia"/>
                <w:color w:val="auto"/>
                <w:highlight w:val="none"/>
              </w:rPr>
              <w:t>（1）管理措施</w:t>
            </w:r>
          </w:p>
          <w:p>
            <w:pPr>
              <w:pStyle w:val="33"/>
              <w:bidi w:val="0"/>
              <w:rPr>
                <w:rFonts w:hint="eastAsia"/>
                <w:color w:val="auto"/>
                <w:highlight w:val="none"/>
              </w:rPr>
            </w:pPr>
            <w:r>
              <w:rPr>
                <w:rFonts w:hint="eastAsia"/>
                <w:color w:val="auto"/>
                <w:highlight w:val="none"/>
              </w:rPr>
              <w:t>项目避免在暴雨天施工，暴雨期应采取应急措施，尽量用覆盖物覆盖新挖的陡坡，防止冲刷和塌崩。</w:t>
            </w:r>
          </w:p>
          <w:p>
            <w:pPr>
              <w:pStyle w:val="33"/>
              <w:bidi w:val="0"/>
              <w:rPr>
                <w:rFonts w:hint="eastAsia"/>
                <w:color w:val="auto"/>
                <w:highlight w:val="none"/>
              </w:rPr>
            </w:pPr>
            <w:r>
              <w:rPr>
                <w:rFonts w:hint="eastAsia"/>
                <w:color w:val="auto"/>
                <w:highlight w:val="none"/>
              </w:rPr>
              <w:t>开展施工场所的水环境保护教育，让施工人员理解水保护的重要性；加强施工管理和工程监理工作，防止发生水上交通安全事故；严格检查施工机械，防止油料泄漏污染水体。施工材料如油料等不宜露天堆放、远离河道；采取措施防止泥土和散体施工材料阻塞附近的市政管网。</w:t>
            </w:r>
          </w:p>
          <w:p>
            <w:pPr>
              <w:pStyle w:val="33"/>
              <w:bidi w:val="0"/>
              <w:rPr>
                <w:rFonts w:hint="eastAsia"/>
                <w:color w:val="auto"/>
                <w:highlight w:val="none"/>
              </w:rPr>
            </w:pPr>
            <w:r>
              <w:rPr>
                <w:rFonts w:hint="eastAsia"/>
                <w:color w:val="auto"/>
                <w:highlight w:val="none"/>
              </w:rPr>
              <w:t>（2）施工期生活污水治理措施</w:t>
            </w:r>
          </w:p>
          <w:p>
            <w:pPr>
              <w:pStyle w:val="33"/>
              <w:bidi w:val="0"/>
              <w:rPr>
                <w:rFonts w:hint="eastAsia"/>
                <w:color w:val="auto"/>
                <w:highlight w:val="none"/>
              </w:rPr>
            </w:pPr>
            <w:r>
              <w:rPr>
                <w:rFonts w:hint="eastAsia"/>
                <w:color w:val="auto"/>
                <w:highlight w:val="none"/>
              </w:rPr>
              <w:t>本项目不设施工营地，施工生活污水主要为盥洗废水，水质简单，直接泼洒地面抑尘。</w:t>
            </w:r>
          </w:p>
          <w:p>
            <w:pPr>
              <w:pStyle w:val="33"/>
              <w:bidi w:val="0"/>
              <w:rPr>
                <w:rFonts w:hint="eastAsia"/>
                <w:color w:val="auto"/>
                <w:highlight w:val="none"/>
              </w:rPr>
            </w:pPr>
            <w:r>
              <w:rPr>
                <w:rFonts w:hint="eastAsia"/>
                <w:color w:val="auto"/>
                <w:highlight w:val="none"/>
              </w:rPr>
              <w:t>（3）施工期生产废水治理措施</w:t>
            </w:r>
          </w:p>
          <w:p>
            <w:pPr>
              <w:pStyle w:val="33"/>
              <w:bidi w:val="0"/>
              <w:rPr>
                <w:rFonts w:hint="eastAsia"/>
                <w:color w:val="auto"/>
                <w:highlight w:val="none"/>
              </w:rPr>
            </w:pPr>
            <w:r>
              <w:rPr>
                <w:rFonts w:hint="eastAsia"/>
                <w:color w:val="auto"/>
                <w:highlight w:val="none"/>
              </w:rPr>
              <w:t>施工期主要包括施工车辆冲洗废水、混凝土养护废水、地面冲洗废水和部分机械设备的淋洗废水，水量少，如果直接排放将会影响受纳水体水质。管道试压过程产生的废水，雨污水管道铺设完成试压过程中会产生废水，收集后泼洒地面抑尘，混凝土养护废水，封闭混凝土中水分不蒸发外逸，水泥依靠混凝土中水分完成水化作用，因水量较小，故废水排放量小，可以不需专门处理。</w:t>
            </w:r>
          </w:p>
          <w:p>
            <w:pPr>
              <w:pStyle w:val="33"/>
              <w:bidi w:val="0"/>
              <w:rPr>
                <w:rFonts w:hint="eastAsia"/>
                <w:color w:val="auto"/>
                <w:highlight w:val="none"/>
              </w:rPr>
            </w:pPr>
            <w:r>
              <w:rPr>
                <w:rFonts w:hint="eastAsia"/>
                <w:color w:val="auto"/>
                <w:highlight w:val="none"/>
              </w:rPr>
              <w:t>在施工场地出入口附近设置专门的车辆、机械冲洗区域，该区域地面设置硬化防渗地坪，同时在施工工地周围设置集水沟和沉淀池，废水沉淀处理后重复利用于场地洒水抑尘，不得随意排放。沉淀池需按要求规范设置，使用过程中及时清理。</w:t>
            </w:r>
          </w:p>
          <w:p>
            <w:pPr>
              <w:pStyle w:val="33"/>
              <w:bidi w:val="0"/>
              <w:rPr>
                <w:rFonts w:hint="eastAsia"/>
                <w:color w:val="auto"/>
                <w:highlight w:val="none"/>
              </w:rPr>
            </w:pPr>
            <w:r>
              <w:rPr>
                <w:rFonts w:hint="eastAsia"/>
                <w:color w:val="auto"/>
                <w:highlight w:val="none"/>
              </w:rPr>
              <w:t>采取上述措施，本项目施工对地表水体影响较小。</w:t>
            </w:r>
          </w:p>
          <w:p>
            <w:pPr>
              <w:pStyle w:val="33"/>
              <w:bidi w:val="0"/>
              <w:rPr>
                <w:rFonts w:hint="eastAsia" w:ascii="Times New Roman" w:hAnsi="Times New Roman" w:eastAsia="宋体" w:cs="Times New Roman"/>
                <w:b/>
                <w:bCs/>
                <w:color w:val="auto"/>
                <w:highlight w:val="none"/>
                <w:lang w:val="en-US" w:eastAsia="zh-CN"/>
              </w:rPr>
            </w:pPr>
            <w:bookmarkStart w:id="44" w:name="_Toc148073708"/>
            <w:bookmarkStart w:id="45" w:name="_Toc128451421"/>
            <w:bookmarkStart w:id="46" w:name="_Toc155443308"/>
            <w:bookmarkStart w:id="47" w:name="_Toc312698236"/>
            <w:bookmarkStart w:id="48" w:name="_Toc120354164"/>
            <w:bookmarkStart w:id="49" w:name="_Toc124819834"/>
            <w:bookmarkStart w:id="50" w:name="_Toc122588292"/>
            <w:bookmarkStart w:id="51" w:name="_Toc125698981"/>
            <w:r>
              <w:rPr>
                <w:rFonts w:hint="eastAsia" w:ascii="Times New Roman" w:hAnsi="Times New Roman" w:eastAsia="宋体" w:cs="Times New Roman"/>
                <w:b/>
                <w:bCs/>
                <w:color w:val="auto"/>
                <w:highlight w:val="none"/>
                <w:lang w:val="en-US" w:eastAsia="zh-CN"/>
              </w:rPr>
              <w:t>5.1.4</w:t>
            </w:r>
            <w:r>
              <w:rPr>
                <w:rFonts w:hint="eastAsia" w:ascii="Times New Roman" w:hAnsi="Times New Roman" w:eastAsia="宋体" w:cs="Times New Roman"/>
                <w:b/>
                <w:bCs/>
                <w:color w:val="auto"/>
                <w:highlight w:val="none"/>
                <w:lang w:val="zh-CN" w:eastAsia="zh-CN"/>
              </w:rPr>
              <w:t>施工期</w:t>
            </w:r>
            <w:r>
              <w:rPr>
                <w:rFonts w:hint="eastAsia" w:ascii="Times New Roman" w:hAnsi="Times New Roman" w:eastAsia="宋体" w:cs="Times New Roman"/>
                <w:b/>
                <w:bCs/>
                <w:color w:val="auto"/>
                <w:highlight w:val="none"/>
                <w:lang w:val="en-US" w:eastAsia="zh-CN"/>
              </w:rPr>
              <w:t>固体废物</w:t>
            </w:r>
            <w:bookmarkEnd w:id="44"/>
            <w:bookmarkEnd w:id="45"/>
            <w:bookmarkEnd w:id="46"/>
            <w:bookmarkEnd w:id="47"/>
            <w:bookmarkEnd w:id="48"/>
            <w:bookmarkEnd w:id="49"/>
            <w:bookmarkEnd w:id="50"/>
            <w:bookmarkEnd w:id="51"/>
            <w:r>
              <w:rPr>
                <w:rFonts w:hint="eastAsia" w:ascii="Times New Roman" w:hAnsi="Times New Roman" w:eastAsia="宋体" w:cs="Times New Roman"/>
                <w:b/>
                <w:bCs/>
                <w:color w:val="auto"/>
                <w:highlight w:val="none"/>
                <w:lang w:val="en-US" w:eastAsia="zh-CN"/>
              </w:rPr>
              <w:t>保护措施</w:t>
            </w:r>
          </w:p>
          <w:p>
            <w:pPr>
              <w:pStyle w:val="33"/>
              <w:bidi w:val="0"/>
              <w:rPr>
                <w:color w:val="auto"/>
                <w:highlight w:val="none"/>
              </w:rPr>
            </w:pPr>
            <w:r>
              <w:rPr>
                <w:color w:val="auto"/>
                <w:highlight w:val="none"/>
              </w:rPr>
              <w:t>本工程施工期固体废物主要包括</w:t>
            </w:r>
            <w:r>
              <w:rPr>
                <w:rFonts w:hint="eastAsia"/>
                <w:color w:val="auto"/>
                <w:highlight w:val="none"/>
              </w:rPr>
              <w:t>施工及拆除</w:t>
            </w:r>
            <w:r>
              <w:rPr>
                <w:color w:val="auto"/>
                <w:highlight w:val="none"/>
              </w:rPr>
              <w:t>建筑垃圾、工程弃土和施工人员的生活垃圾。</w:t>
            </w:r>
          </w:p>
          <w:p>
            <w:pPr>
              <w:pStyle w:val="33"/>
              <w:bidi w:val="0"/>
              <w:rPr>
                <w:color w:val="auto"/>
                <w:highlight w:val="none"/>
              </w:rPr>
            </w:pPr>
            <w:r>
              <w:rPr>
                <w:color w:val="auto"/>
                <w:highlight w:val="none"/>
              </w:rPr>
              <w:t>①建筑垃圾：</w:t>
            </w:r>
            <w:r>
              <w:rPr>
                <w:rFonts w:hint="eastAsia"/>
                <w:color w:val="auto"/>
                <w:highlight w:val="none"/>
                <w:lang w:eastAsia="zh-CN"/>
              </w:rPr>
              <w:t>本项目</w:t>
            </w:r>
            <w:r>
              <w:rPr>
                <w:color w:val="auto"/>
                <w:highlight w:val="none"/>
              </w:rPr>
              <w:t>施工</w:t>
            </w:r>
            <w:r>
              <w:rPr>
                <w:rFonts w:hint="eastAsia"/>
                <w:color w:val="auto"/>
                <w:highlight w:val="none"/>
                <w:lang w:eastAsia="zh-CN"/>
              </w:rPr>
              <w:t>过程中部分现有路面需进行破除而产生建筑垃圾，产生的建筑垃圾根据</w:t>
            </w:r>
            <w:r>
              <w:rPr>
                <w:color w:val="auto"/>
                <w:highlight w:val="none"/>
              </w:rPr>
              <w:t>市政管理部门要</w:t>
            </w:r>
            <w:r>
              <w:rPr>
                <w:rFonts w:hint="eastAsia"/>
                <w:color w:val="auto"/>
                <w:highlight w:val="none"/>
              </w:rPr>
              <w:t>求及时清理外运，</w:t>
            </w:r>
            <w:r>
              <w:rPr>
                <w:rFonts w:hint="eastAsia"/>
                <w:color w:val="auto"/>
                <w:highlight w:val="none"/>
                <w:lang w:eastAsia="zh-CN"/>
              </w:rPr>
              <w:t>外售相关单位回收利用。</w:t>
            </w:r>
          </w:p>
          <w:p>
            <w:pPr>
              <w:pStyle w:val="33"/>
              <w:bidi w:val="0"/>
              <w:rPr>
                <w:rFonts w:hint="eastAsia"/>
                <w:color w:val="auto"/>
                <w:highlight w:val="none"/>
                <w:lang w:eastAsia="zh-CN"/>
              </w:rPr>
            </w:pPr>
            <w:r>
              <w:rPr>
                <w:color w:val="auto"/>
                <w:highlight w:val="none"/>
              </w:rPr>
              <w:t>②弃土：</w:t>
            </w:r>
            <w:r>
              <w:rPr>
                <w:rFonts w:hint="eastAsia"/>
                <w:color w:val="auto"/>
                <w:highlight w:val="none"/>
                <w:lang w:eastAsia="zh-CN"/>
              </w:rPr>
              <w:t>本项目</w:t>
            </w:r>
            <w:r>
              <w:rPr>
                <w:color w:val="auto"/>
                <w:highlight w:val="none"/>
              </w:rPr>
              <w:t>施工过程</w:t>
            </w:r>
            <w:r>
              <w:rPr>
                <w:rFonts w:hint="eastAsia"/>
                <w:color w:val="auto"/>
                <w:highlight w:val="none"/>
                <w:lang w:eastAsia="zh-CN"/>
              </w:rPr>
              <w:t>地表剥离的表土用于绿化种植覆土，其余挖出的土方部分用作地面平整的填方，剩余的土方由车辆运至临时堆土场暂存，运输过程中车辆进行苫盖，临时堆土场采用密目网苫盖，由施工方综合利用。</w:t>
            </w:r>
          </w:p>
          <w:p>
            <w:pPr>
              <w:pStyle w:val="33"/>
              <w:bidi w:val="0"/>
              <w:rPr>
                <w:color w:val="auto"/>
                <w:highlight w:val="none"/>
              </w:rPr>
            </w:pPr>
            <w:r>
              <w:rPr>
                <w:color w:val="auto"/>
                <w:highlight w:val="none"/>
              </w:rPr>
              <w:t>③施工生活垃圾处置：在施工人员集中地设置垃圾桶，指派专人定期将垃圾定时清运至当地垃圾处理场。</w:t>
            </w:r>
          </w:p>
          <w:p>
            <w:pPr>
              <w:pStyle w:val="33"/>
              <w:bidi w:val="0"/>
              <w:rPr>
                <w:rFonts w:hint="eastAsia"/>
                <w:color w:val="auto"/>
                <w:highlight w:val="none"/>
              </w:rPr>
            </w:pPr>
            <w:r>
              <w:rPr>
                <w:rFonts w:hint="eastAsia"/>
                <w:color w:val="auto"/>
                <w:highlight w:val="none"/>
                <w:lang w:val="en-US" w:eastAsia="zh-CN"/>
              </w:rPr>
              <w:t>采取以上措施后，项目建设固体废物对环境的影响较小。</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5.1.5生态环境保护措施</w:t>
            </w:r>
          </w:p>
          <w:p>
            <w:pPr>
              <w:pStyle w:val="33"/>
              <w:bidi w:val="0"/>
              <w:rPr>
                <w:rFonts w:hint="eastAsia"/>
                <w:color w:val="auto"/>
                <w:highlight w:val="none"/>
                <w:lang w:eastAsia="zh-CN"/>
              </w:rPr>
            </w:pPr>
            <w:r>
              <w:rPr>
                <w:rFonts w:hint="eastAsia"/>
                <w:color w:val="auto"/>
                <w:highlight w:val="none"/>
                <w:lang w:val="en-US" w:eastAsia="zh-CN"/>
              </w:rPr>
              <w:t xml:space="preserve">本次评价的范围内主要为道路与交通设施用地、农田及未利用荒地。该系统内植被人工干预相对明显，因此进行施工时采取以下措施加强保护生态环境。 </w:t>
            </w:r>
          </w:p>
          <w:p>
            <w:pPr>
              <w:pStyle w:val="33"/>
              <w:bidi w:val="0"/>
              <w:rPr>
                <w:rFonts w:hint="eastAsia"/>
                <w:color w:val="auto"/>
                <w:highlight w:val="none"/>
                <w:lang w:val="en-US" w:eastAsia="zh-CN"/>
              </w:rPr>
            </w:pPr>
            <w:r>
              <w:rPr>
                <w:rFonts w:hint="eastAsia"/>
                <w:color w:val="auto"/>
                <w:highlight w:val="none"/>
                <w:lang w:val="en-US" w:eastAsia="zh-CN"/>
              </w:rPr>
              <w:t>①施工物料及设备利用现有公路，执行“无捷径”原则，认真确定车辆行驶路线，不在道路、施工场地以外的地方行驶和作业，禁止碾压和破坏地表植被。</w:t>
            </w:r>
          </w:p>
          <w:p>
            <w:pPr>
              <w:pStyle w:val="33"/>
              <w:bidi w:val="0"/>
              <w:rPr>
                <w:rFonts w:hint="eastAsia"/>
                <w:color w:val="auto"/>
                <w:highlight w:val="none"/>
                <w:lang w:eastAsia="zh-CN"/>
              </w:rPr>
            </w:pPr>
            <w:r>
              <w:rPr>
                <w:rFonts w:hint="eastAsia"/>
                <w:color w:val="auto"/>
                <w:highlight w:val="none"/>
                <w:lang w:val="en-US" w:eastAsia="zh-CN"/>
              </w:rPr>
              <w:t xml:space="preserve">②施工过程中，应尽量减少占地面积，并规范行车路线及施工人员行为，严禁随意践踏、碾压施工区范围外的植被，不准乱挖、乱采野生植物。 </w:t>
            </w:r>
          </w:p>
          <w:p>
            <w:pPr>
              <w:pStyle w:val="33"/>
              <w:bidi w:val="0"/>
              <w:rPr>
                <w:rFonts w:hint="eastAsia"/>
                <w:color w:val="auto"/>
                <w:highlight w:val="none"/>
                <w:lang w:eastAsia="zh-CN"/>
              </w:rPr>
            </w:pPr>
            <w:r>
              <w:rPr>
                <w:rFonts w:hint="eastAsia"/>
                <w:color w:val="auto"/>
                <w:highlight w:val="none"/>
                <w:lang w:val="en-US" w:eastAsia="zh-CN"/>
              </w:rPr>
              <w:t xml:space="preserve">③施工应编制施工预案，科学安排作业，最大限度减少设备搬迁等对植被的碾压和破坏。 </w:t>
            </w:r>
          </w:p>
          <w:p>
            <w:pPr>
              <w:pStyle w:val="33"/>
              <w:bidi w:val="0"/>
              <w:rPr>
                <w:rFonts w:hint="eastAsia"/>
                <w:color w:val="auto"/>
                <w:highlight w:val="none"/>
                <w:lang w:val="en-US" w:eastAsia="zh-CN"/>
              </w:rPr>
            </w:pPr>
            <w:r>
              <w:rPr>
                <w:rFonts w:hint="eastAsia"/>
                <w:color w:val="auto"/>
                <w:highlight w:val="none"/>
                <w:lang w:val="en-US" w:eastAsia="zh-CN"/>
              </w:rPr>
              <w:t>④按照《土地复垦条例》，为减少施工过程对植被及地表的破坏，施工过程中尽量保护土地资源，不打乱土层，先挖表土层（20cm-30cm 左右）单独堆放。</w:t>
            </w:r>
            <w:r>
              <w:rPr>
                <w:rFonts w:hint="eastAsia"/>
                <w:color w:val="FF0000"/>
                <w:highlight w:val="none"/>
                <w:lang w:val="en-US" w:eastAsia="zh-CN"/>
              </w:rPr>
              <w:t>临时占地（包含施工场地、临时便道）位于本项目占地红线范围内，按设计要求建设</w:t>
            </w:r>
            <w:r>
              <w:rPr>
                <w:rFonts w:hint="eastAsia"/>
                <w:color w:val="auto"/>
                <w:highlight w:val="none"/>
                <w:lang w:val="en-US" w:eastAsia="zh-CN"/>
              </w:rPr>
              <w:t>；用地单位应当按照“先补后占、占补平衡”的原则，依法办理相关手续。</w:t>
            </w:r>
          </w:p>
          <w:p>
            <w:pPr>
              <w:pStyle w:val="33"/>
              <w:bidi w:val="0"/>
              <w:rPr>
                <w:rFonts w:hint="eastAsia"/>
                <w:color w:val="auto"/>
                <w:highlight w:val="none"/>
                <w:lang w:eastAsia="zh-CN"/>
              </w:rPr>
            </w:pPr>
            <w:r>
              <w:rPr>
                <w:rFonts w:hint="eastAsia"/>
                <w:color w:val="auto"/>
                <w:highlight w:val="none"/>
                <w:lang w:val="en-US" w:eastAsia="zh-CN"/>
              </w:rPr>
              <w:t xml:space="preserve">⑤建设单位应宣传国家和地方有关野生动植物保护的法律、法规，在施工区内设立野生动物保护宣传警示牌、宣传栏，对施工人员进行生态保护和有关野生动物保护宣传教育，提高施工人员的生态环境保护意识，保护工程施工区域的动植物资源。员工自觉保护野生动物，不随意猎杀动物和捕捉鸟类。 </w:t>
            </w:r>
          </w:p>
          <w:p>
            <w:pPr>
              <w:pStyle w:val="33"/>
              <w:bidi w:val="0"/>
              <w:rPr>
                <w:rFonts w:hint="eastAsia"/>
                <w:color w:val="auto"/>
                <w:highlight w:val="none"/>
                <w:lang w:eastAsia="zh-CN"/>
              </w:rPr>
            </w:pPr>
            <w:r>
              <w:rPr>
                <w:rFonts w:hint="eastAsia"/>
                <w:color w:val="auto"/>
                <w:highlight w:val="none"/>
                <w:lang w:val="en-US" w:eastAsia="zh-CN"/>
              </w:rPr>
              <w:t xml:space="preserve">⑥施工期剥离表层土，暂存于临时堆放场地，使用苫布苫盖以防止水土流失，用于复原临时占地表层土恢复，不可随意丢弃。 </w:t>
            </w:r>
          </w:p>
          <w:p>
            <w:pPr>
              <w:pStyle w:val="33"/>
              <w:bidi w:val="0"/>
              <w:rPr>
                <w:rFonts w:hint="eastAsia"/>
                <w:color w:val="auto"/>
                <w:highlight w:val="none"/>
                <w:lang w:eastAsia="zh-CN"/>
              </w:rPr>
            </w:pPr>
            <w:r>
              <w:rPr>
                <w:rFonts w:hint="eastAsia"/>
                <w:color w:val="auto"/>
                <w:highlight w:val="none"/>
                <w:lang w:val="en-US" w:eastAsia="zh-CN"/>
              </w:rPr>
              <w:t>⑦施工结束后将临时占地恢复原地类，裸露地面进行植树种草，绿化美化环境。对临时施工道路占地、施工生产设施、料场占地等临时用地，按照生态环境部门的要求，施工单位和建设单位应及时处理生活垃圾和杂物，对土方临时堆放场所做好临时水土保持防护措施，待工程施工完成后清除所有的建筑垃圾、杂物及废弃物，保证地面清洁，然后按照原地类植被进行生态恢复，在气候条件允许的情况下，在工程完工后当年完成水土保持措施，若气候条件不允许，则在下一年及时完成</w:t>
            </w:r>
            <w:r>
              <w:rPr>
                <w:rFonts w:hint="eastAsia"/>
                <w:color w:val="auto"/>
                <w:highlight w:val="none"/>
                <w:lang w:eastAsia="zh-CN"/>
              </w:rPr>
              <w:t>水</w:t>
            </w:r>
            <w:r>
              <w:rPr>
                <w:rFonts w:hint="eastAsia"/>
                <w:color w:val="auto"/>
                <w:highlight w:val="none"/>
                <w:lang w:val="en-US" w:eastAsia="zh-CN"/>
              </w:rPr>
              <w:t xml:space="preserve">土保持措施。 </w:t>
            </w:r>
          </w:p>
          <w:p>
            <w:pPr>
              <w:pStyle w:val="33"/>
              <w:bidi w:val="0"/>
              <w:rPr>
                <w:rFonts w:hint="eastAsia"/>
                <w:color w:val="auto"/>
                <w:highlight w:val="none"/>
                <w:lang w:val="en-US" w:eastAsia="zh-CN"/>
              </w:rPr>
            </w:pPr>
            <w:r>
              <w:rPr>
                <w:rFonts w:hint="eastAsia"/>
                <w:color w:val="auto"/>
                <w:highlight w:val="none"/>
                <w:lang w:val="en-US" w:eastAsia="zh-CN"/>
              </w:rPr>
              <w:t>⑧保护桥梁两侧的植被，减轻对两栖类、爬行类可能分布区的影响。加强施工机械噪声和大气污染防治措施。</w:t>
            </w:r>
          </w:p>
          <w:p>
            <w:pPr>
              <w:pStyle w:val="33"/>
              <w:bidi w:val="0"/>
              <w:rPr>
                <w:rFonts w:hint="eastAsia"/>
                <w:color w:val="auto"/>
                <w:highlight w:val="none"/>
                <w:lang w:eastAsia="zh-CN"/>
              </w:rPr>
            </w:pPr>
            <w:r>
              <w:rPr>
                <w:rFonts w:hint="eastAsia"/>
                <w:color w:val="auto"/>
                <w:highlight w:val="none"/>
                <w:lang w:val="en-US" w:eastAsia="zh-CN"/>
              </w:rPr>
              <w:t>本项目所占地生态系统简单，工程建设前后相差不大，因此，工程引起的干扰是可以承受的，项目所在生态系统的稳定性不会发生较大改变。</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5.1.6施工期土壤环境保护措施</w:t>
            </w:r>
          </w:p>
          <w:p>
            <w:pPr>
              <w:pStyle w:val="33"/>
              <w:bidi w:val="0"/>
              <w:rPr>
                <w:rFonts w:hint="eastAsia"/>
                <w:color w:val="auto"/>
                <w:highlight w:val="none"/>
                <w:lang w:val="en-US" w:eastAsia="zh-CN"/>
              </w:rPr>
            </w:pPr>
            <w:r>
              <w:rPr>
                <w:rFonts w:hint="eastAsia"/>
                <w:color w:val="auto"/>
                <w:highlight w:val="none"/>
                <w:lang w:val="en-US" w:eastAsia="zh-CN"/>
              </w:rPr>
              <w:t>本项目正常状况下对土壤环境无明显的影响，本工程结束后最大限度地恢复地表原貌，从而为利用土壤的自净作用创造条件，在尽可能短的时间使土壤环境得到恢复。</w:t>
            </w:r>
          </w:p>
          <w:p>
            <w:pPr>
              <w:pStyle w:val="33"/>
              <w:bidi w:val="0"/>
              <w:rPr>
                <w:rFonts w:hint="eastAsia"/>
                <w:b/>
                <w:bCs/>
                <w:color w:val="auto"/>
                <w:highlight w:val="none"/>
                <w:lang w:val="en-US" w:eastAsia="zh-CN"/>
              </w:rPr>
            </w:pPr>
            <w:r>
              <w:rPr>
                <w:rFonts w:hint="eastAsia"/>
                <w:b/>
                <w:bCs/>
                <w:color w:val="auto"/>
                <w:highlight w:val="none"/>
                <w:lang w:val="en-US" w:eastAsia="zh-CN"/>
              </w:rPr>
              <w:t xml:space="preserve">5.1.7 其他 </w:t>
            </w:r>
          </w:p>
          <w:p>
            <w:pPr>
              <w:pStyle w:val="33"/>
              <w:bidi w:val="0"/>
              <w:rPr>
                <w:rFonts w:hint="eastAsia"/>
                <w:color w:val="auto"/>
                <w:highlight w:val="none"/>
                <w:lang w:val="en-US" w:eastAsia="zh-CN"/>
              </w:rPr>
            </w:pPr>
            <w:r>
              <w:rPr>
                <w:rFonts w:hint="eastAsia"/>
                <w:color w:val="auto"/>
                <w:highlight w:val="none"/>
                <w:lang w:val="en-US" w:eastAsia="zh-CN"/>
              </w:rPr>
              <w:t>加强施工期环境保护施工监理。加强施工现场环境的综合治理。加强全体职工的自觉保护环境意识，做好思想教育、纪律教育与社会公德、职业道德和法制观念相结合的宣传教育。</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5.1.8施工期环境管理及监测计划</w:t>
            </w:r>
          </w:p>
          <w:p>
            <w:pPr>
              <w:pStyle w:val="33"/>
              <w:bidi w:val="0"/>
              <w:rPr>
                <w:color w:val="auto"/>
                <w:highlight w:val="none"/>
              </w:rPr>
            </w:pPr>
            <w:r>
              <w:rPr>
                <w:color w:val="auto"/>
                <w:highlight w:val="none"/>
              </w:rPr>
              <w:t>施工期环境保护管理与监测计划管理系统一般包括管理机构、监督执行机构和监测机构。该计划用于组织实施本报告中所提出的环境影响减缓措施，计划中指出了责任方、拟定了操作方案以及监控项目。</w:t>
            </w:r>
          </w:p>
          <w:p>
            <w:pPr>
              <w:pStyle w:val="33"/>
              <w:bidi w:val="0"/>
              <w:rPr>
                <w:rFonts w:hint="eastAsia"/>
                <w:color w:val="auto"/>
                <w:highlight w:val="none"/>
              </w:rPr>
            </w:pPr>
            <w:r>
              <w:rPr>
                <w:rFonts w:hint="eastAsia"/>
                <w:color w:val="auto"/>
                <w:highlight w:val="none"/>
              </w:rPr>
              <w:t>（1）环境管理</w:t>
            </w:r>
          </w:p>
          <w:p>
            <w:pPr>
              <w:pStyle w:val="33"/>
              <w:bidi w:val="0"/>
              <w:rPr>
                <w:rFonts w:hint="eastAsia"/>
                <w:color w:val="auto"/>
                <w:highlight w:val="none"/>
              </w:rPr>
            </w:pPr>
            <w:r>
              <w:rPr>
                <w:rFonts w:hint="eastAsia"/>
                <w:color w:val="auto"/>
                <w:highlight w:val="none"/>
              </w:rPr>
              <w:t>根据《建设项目环境保护管理条例》规定：“建设项目的环境保护设施，必须与主体工程同时设计、同时施工、同时投产使用”。落实质量监督和组织初步验收，并安排专人负责施工中的环境管理工作。参与工程建设的各专业施工单位应配置专业环保人员1人，配合建设单位设置的环境保护机构做好施工中的环境保护工作。</w:t>
            </w:r>
          </w:p>
          <w:p>
            <w:pPr>
              <w:pStyle w:val="33"/>
              <w:bidi w:val="0"/>
              <w:rPr>
                <w:rFonts w:hint="eastAsia" w:eastAsia="宋体"/>
                <w:color w:val="auto"/>
                <w:highlight w:val="none"/>
                <w:lang w:eastAsia="zh-CN"/>
              </w:rPr>
            </w:pPr>
            <w:r>
              <w:rPr>
                <w:rFonts w:hint="eastAsia"/>
                <w:color w:val="auto"/>
                <w:highlight w:val="none"/>
              </w:rPr>
              <w:t>在工程施工期设立环境监理，在工程施工期设立环境监理1名，根据国家法律、法规和政策及施工合同中的环保条款，通过日常巡视，下发指令性文件等方式，监督、审查和评估施工环境保护措施的执行情况，及时发现和指正施工单位的违反环境保护政策行为，及时将监理情况反馈给工程监理和工程建设管理部门</w:t>
            </w:r>
            <w:r>
              <w:rPr>
                <w:rFonts w:hint="eastAsia"/>
                <w:color w:val="auto"/>
                <w:highlight w:val="none"/>
                <w:lang w:eastAsia="zh-CN"/>
              </w:rPr>
              <w:t>。</w:t>
            </w:r>
          </w:p>
          <w:p>
            <w:pPr>
              <w:pStyle w:val="33"/>
              <w:bidi w:val="0"/>
              <w:rPr>
                <w:color w:val="auto"/>
                <w:highlight w:val="none"/>
                <w:lang w:val="zh-CN"/>
              </w:rPr>
            </w:pPr>
            <w:r>
              <w:rPr>
                <w:color w:val="auto"/>
                <w:highlight w:val="none"/>
              </w:rPr>
              <w:t>（</w:t>
            </w:r>
            <w:r>
              <w:rPr>
                <w:rFonts w:hint="eastAsia"/>
                <w:color w:val="auto"/>
                <w:highlight w:val="none"/>
                <w:lang w:val="en-US" w:eastAsia="zh-CN"/>
              </w:rPr>
              <w:t>2</w:t>
            </w:r>
            <w:r>
              <w:rPr>
                <w:color w:val="auto"/>
                <w:highlight w:val="none"/>
              </w:rPr>
              <w:t>）</w:t>
            </w:r>
            <w:r>
              <w:rPr>
                <w:color w:val="auto"/>
                <w:highlight w:val="none"/>
                <w:lang w:val="zh-CN"/>
              </w:rPr>
              <w:t>监测计划</w:t>
            </w:r>
          </w:p>
          <w:p>
            <w:pPr>
              <w:pStyle w:val="33"/>
              <w:bidi w:val="0"/>
              <w:rPr>
                <w:color w:val="auto"/>
                <w:highlight w:val="none"/>
                <w:lang w:val="zh-CN"/>
              </w:rPr>
            </w:pPr>
            <w:r>
              <w:rPr>
                <w:color w:val="auto"/>
                <w:highlight w:val="none"/>
                <w:lang w:val="zh-CN"/>
              </w:rPr>
              <w:t>制定环境监测计划的目的是为了监督各项措施的落实，根据监测结果适时调整环境保护行动计划，为环保措施的实施时间和实施方案提供依据。制定的原则是根据施工期和营运期的主要环境影响。</w:t>
            </w:r>
          </w:p>
          <w:p>
            <w:pPr>
              <w:pStyle w:val="33"/>
              <w:bidi w:val="0"/>
              <w:rPr>
                <w:rFonts w:hint="eastAsia"/>
                <w:color w:val="auto"/>
                <w:highlight w:val="none"/>
                <w:lang w:val="zh-CN"/>
              </w:rPr>
            </w:pPr>
            <w:r>
              <w:rPr>
                <w:color w:val="auto"/>
                <w:highlight w:val="none"/>
                <w:lang w:val="zh-CN"/>
              </w:rPr>
              <w:t>施工期不再进行环境空气和噪声质量检测，以施工期设置的扬尘在线监测数据为准。</w:t>
            </w:r>
            <w:r>
              <w:rPr>
                <w:rFonts w:hint="eastAsia"/>
                <w:color w:val="auto"/>
                <w:highlight w:val="none"/>
                <w:lang w:val="zh-CN"/>
              </w:rPr>
              <w:t>噪声监测频次为季度一次。</w:t>
            </w:r>
          </w:p>
          <w:p>
            <w:pPr>
              <w:pStyle w:val="36"/>
              <w:numPr>
                <w:ilvl w:val="0"/>
                <w:numId w:val="13"/>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施工期环境管理监测计划</w:t>
            </w:r>
          </w:p>
          <w:tbl>
            <w:tblPr>
              <w:tblStyle w:val="2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729"/>
              <w:gridCol w:w="2065"/>
              <w:gridCol w:w="2513"/>
              <w:gridCol w:w="19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1050" w:type="pct"/>
                  <w:tcBorders>
                    <w:tl2br w:val="nil"/>
                    <w:tr2bl w:val="nil"/>
                  </w:tcBorders>
                  <w:noWrap w:val="0"/>
                  <w:vAlign w:val="center"/>
                </w:tcPr>
                <w:p>
                  <w:pPr>
                    <w:pStyle w:val="32"/>
                    <w:bidi w:val="0"/>
                    <w:rPr>
                      <w:color w:val="auto"/>
                      <w:highlight w:val="none"/>
                    </w:rPr>
                  </w:pPr>
                  <w:r>
                    <w:rPr>
                      <w:color w:val="auto"/>
                      <w:highlight w:val="none"/>
                    </w:rPr>
                    <w:t>时段</w:t>
                  </w:r>
                </w:p>
              </w:tc>
              <w:tc>
                <w:tcPr>
                  <w:tcW w:w="1254" w:type="pct"/>
                  <w:tcBorders>
                    <w:tl2br w:val="nil"/>
                    <w:tr2bl w:val="nil"/>
                  </w:tcBorders>
                  <w:noWrap w:val="0"/>
                  <w:vAlign w:val="center"/>
                </w:tcPr>
                <w:p>
                  <w:pPr>
                    <w:pStyle w:val="32"/>
                    <w:bidi w:val="0"/>
                    <w:rPr>
                      <w:color w:val="auto"/>
                      <w:highlight w:val="none"/>
                    </w:rPr>
                  </w:pPr>
                  <w:r>
                    <w:rPr>
                      <w:color w:val="auto"/>
                      <w:highlight w:val="none"/>
                    </w:rPr>
                    <w:t>监测点位</w:t>
                  </w:r>
                </w:p>
              </w:tc>
              <w:tc>
                <w:tcPr>
                  <w:tcW w:w="1526" w:type="pct"/>
                  <w:tcBorders>
                    <w:tl2br w:val="nil"/>
                    <w:tr2bl w:val="nil"/>
                  </w:tcBorders>
                  <w:noWrap w:val="0"/>
                  <w:vAlign w:val="center"/>
                </w:tcPr>
                <w:p>
                  <w:pPr>
                    <w:pStyle w:val="32"/>
                    <w:bidi w:val="0"/>
                    <w:rPr>
                      <w:color w:val="auto"/>
                      <w:highlight w:val="none"/>
                    </w:rPr>
                  </w:pPr>
                  <w:r>
                    <w:rPr>
                      <w:color w:val="auto"/>
                      <w:highlight w:val="none"/>
                    </w:rPr>
                    <w:t>监测指标</w:t>
                  </w:r>
                </w:p>
              </w:tc>
              <w:tc>
                <w:tcPr>
                  <w:tcW w:w="1168" w:type="pct"/>
                  <w:tcBorders>
                    <w:tl2br w:val="nil"/>
                    <w:tr2bl w:val="nil"/>
                  </w:tcBorders>
                  <w:noWrap w:val="0"/>
                  <w:vAlign w:val="center"/>
                </w:tcPr>
                <w:p>
                  <w:pPr>
                    <w:pStyle w:val="32"/>
                    <w:bidi w:val="0"/>
                    <w:rPr>
                      <w:color w:val="auto"/>
                      <w:highlight w:val="none"/>
                    </w:rPr>
                  </w:pPr>
                  <w:r>
                    <w:rPr>
                      <w:color w:val="auto"/>
                      <w:highlight w:val="none"/>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1050" w:type="pct"/>
                  <w:vMerge w:val="restart"/>
                  <w:tcBorders>
                    <w:tl2br w:val="nil"/>
                    <w:tr2bl w:val="nil"/>
                  </w:tcBorders>
                  <w:noWrap w:val="0"/>
                  <w:vAlign w:val="center"/>
                </w:tcPr>
                <w:p>
                  <w:pPr>
                    <w:pStyle w:val="32"/>
                    <w:bidi w:val="0"/>
                    <w:rPr>
                      <w:color w:val="auto"/>
                      <w:highlight w:val="none"/>
                    </w:rPr>
                  </w:pPr>
                  <w:r>
                    <w:rPr>
                      <w:color w:val="auto"/>
                      <w:highlight w:val="none"/>
                    </w:rPr>
                    <w:t>施工期</w:t>
                  </w:r>
                </w:p>
              </w:tc>
              <w:tc>
                <w:tcPr>
                  <w:tcW w:w="1254" w:type="pct"/>
                  <w:tcBorders>
                    <w:tl2br w:val="nil"/>
                    <w:tr2bl w:val="nil"/>
                  </w:tcBorders>
                  <w:noWrap w:val="0"/>
                  <w:vAlign w:val="center"/>
                </w:tcPr>
                <w:p>
                  <w:pPr>
                    <w:pStyle w:val="32"/>
                    <w:bidi w:val="0"/>
                    <w:rPr>
                      <w:color w:val="auto"/>
                      <w:highlight w:val="none"/>
                    </w:rPr>
                  </w:pPr>
                  <w:r>
                    <w:rPr>
                      <w:color w:val="auto"/>
                      <w:highlight w:val="none"/>
                    </w:rPr>
                    <w:t>施工场地</w:t>
                  </w:r>
                </w:p>
              </w:tc>
              <w:tc>
                <w:tcPr>
                  <w:tcW w:w="1526" w:type="pct"/>
                  <w:tcBorders>
                    <w:tl2br w:val="nil"/>
                    <w:tr2bl w:val="nil"/>
                  </w:tcBorders>
                  <w:noWrap w:val="0"/>
                  <w:vAlign w:val="center"/>
                </w:tcPr>
                <w:p>
                  <w:pPr>
                    <w:pStyle w:val="32"/>
                    <w:bidi w:val="0"/>
                    <w:rPr>
                      <w:color w:val="auto"/>
                      <w:highlight w:val="none"/>
                    </w:rPr>
                  </w:pPr>
                  <w:r>
                    <w:rPr>
                      <w:color w:val="auto"/>
                      <w:highlight w:val="none"/>
                    </w:rPr>
                    <w:t>PM10</w:t>
                  </w:r>
                </w:p>
              </w:tc>
              <w:tc>
                <w:tcPr>
                  <w:tcW w:w="1168" w:type="pct"/>
                  <w:tcBorders>
                    <w:tl2br w:val="nil"/>
                    <w:tr2bl w:val="nil"/>
                  </w:tcBorders>
                  <w:noWrap w:val="0"/>
                  <w:vAlign w:val="center"/>
                </w:tcPr>
                <w:p>
                  <w:pPr>
                    <w:pStyle w:val="32"/>
                    <w:bidi w:val="0"/>
                    <w:rPr>
                      <w:color w:val="auto"/>
                      <w:highlight w:val="none"/>
                    </w:rPr>
                  </w:pPr>
                  <w:r>
                    <w:rPr>
                      <w:color w:val="auto"/>
                      <w:highlight w:val="none"/>
                    </w:rPr>
                    <w:t>在线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1050" w:type="pct"/>
                  <w:vMerge w:val="continue"/>
                  <w:tcBorders>
                    <w:tl2br w:val="nil"/>
                    <w:tr2bl w:val="nil"/>
                  </w:tcBorders>
                  <w:noWrap w:val="0"/>
                  <w:vAlign w:val="center"/>
                </w:tcPr>
                <w:p>
                  <w:pPr>
                    <w:pStyle w:val="32"/>
                    <w:bidi w:val="0"/>
                    <w:rPr>
                      <w:color w:val="auto"/>
                      <w:highlight w:val="none"/>
                    </w:rPr>
                  </w:pPr>
                </w:p>
              </w:tc>
              <w:tc>
                <w:tcPr>
                  <w:tcW w:w="1254" w:type="pct"/>
                  <w:tcBorders>
                    <w:tl2br w:val="nil"/>
                    <w:tr2bl w:val="nil"/>
                  </w:tcBorders>
                  <w:noWrap w:val="0"/>
                  <w:vAlign w:val="center"/>
                </w:tcPr>
                <w:p>
                  <w:pPr>
                    <w:pStyle w:val="32"/>
                    <w:bidi w:val="0"/>
                    <w:rPr>
                      <w:color w:val="auto"/>
                      <w:highlight w:val="none"/>
                    </w:rPr>
                  </w:pPr>
                  <w:r>
                    <w:rPr>
                      <w:color w:val="auto"/>
                      <w:highlight w:val="none"/>
                    </w:rPr>
                    <w:t>施工</w:t>
                  </w:r>
                  <w:r>
                    <w:rPr>
                      <w:rFonts w:hint="eastAsia"/>
                      <w:color w:val="auto"/>
                      <w:highlight w:val="none"/>
                    </w:rPr>
                    <w:t>道路沿线</w:t>
                  </w:r>
                </w:p>
              </w:tc>
              <w:tc>
                <w:tcPr>
                  <w:tcW w:w="1526" w:type="pct"/>
                  <w:tcBorders>
                    <w:tl2br w:val="nil"/>
                    <w:tr2bl w:val="nil"/>
                  </w:tcBorders>
                  <w:noWrap w:val="0"/>
                  <w:vAlign w:val="center"/>
                </w:tcPr>
                <w:p>
                  <w:pPr>
                    <w:pStyle w:val="32"/>
                    <w:bidi w:val="0"/>
                    <w:rPr>
                      <w:color w:val="auto"/>
                      <w:highlight w:val="none"/>
                    </w:rPr>
                  </w:pPr>
                  <w:r>
                    <w:rPr>
                      <w:color w:val="auto"/>
                      <w:highlight w:val="none"/>
                    </w:rPr>
                    <w:t>等效A声级</w:t>
                  </w:r>
                </w:p>
              </w:tc>
              <w:tc>
                <w:tcPr>
                  <w:tcW w:w="1168" w:type="pct"/>
                  <w:tcBorders>
                    <w:tl2br w:val="nil"/>
                    <w:tr2bl w:val="nil"/>
                  </w:tcBorders>
                  <w:noWrap w:val="0"/>
                  <w:vAlign w:val="center"/>
                </w:tcPr>
                <w:p>
                  <w:pPr>
                    <w:pStyle w:val="32"/>
                    <w:bidi w:val="0"/>
                    <w:rPr>
                      <w:color w:val="auto"/>
                      <w:highlight w:val="none"/>
                    </w:rPr>
                  </w:pPr>
                  <w:r>
                    <w:rPr>
                      <w:color w:val="auto"/>
                      <w:highlight w:val="none"/>
                    </w:rPr>
                    <w:t>1次/季度</w:t>
                  </w:r>
                </w:p>
              </w:tc>
            </w:tr>
          </w:tbl>
          <w:p>
            <w:pPr>
              <w:rPr>
                <w:color w:val="auto"/>
                <w:highlight w:val="none"/>
                <w:lang w:val="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53" w:type="dxa"/>
            <w:noWrap w:val="0"/>
            <w:tcMar>
              <w:left w:w="28" w:type="dxa"/>
              <w:right w:w="28" w:type="dxa"/>
            </w:tcMar>
            <w:vAlign w:val="center"/>
          </w:tcPr>
          <w:p>
            <w:pPr>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auto"/>
              <w:rPr>
                <w:rFonts w:ascii="Times New Roman" w:hAnsi="Times New Roman" w:eastAsia="宋体" w:cs="Times New Roman"/>
                <w:color w:val="auto"/>
                <w:kern w:val="2"/>
                <w:sz w:val="21"/>
                <w:szCs w:val="24"/>
                <w:highlight w:val="none"/>
                <w:lang w:val="en-US" w:eastAsia="zh-CN" w:bidi="ar-SA"/>
              </w:rPr>
            </w:pPr>
            <w:r>
              <w:rPr>
                <w:rFonts w:ascii="Times New Roman" w:hAnsi="Times New Roman" w:eastAsia="宋体" w:cs="Times New Roman"/>
                <w:color w:val="auto"/>
                <w:kern w:val="2"/>
                <w:sz w:val="21"/>
                <w:szCs w:val="24"/>
                <w:highlight w:val="none"/>
                <w:lang w:val="en-US" w:eastAsia="zh-CN" w:bidi="ar-SA"/>
              </w:rPr>
              <w:t>运营期生态环境保护措施</w:t>
            </w:r>
          </w:p>
        </w:tc>
        <w:tc>
          <w:tcPr>
            <w:tcW w:w="8457" w:type="dxa"/>
            <w:noWrap w:val="0"/>
            <w:vAlign w:val="top"/>
          </w:tcPr>
          <w:p>
            <w:pPr>
              <w:pStyle w:val="33"/>
              <w:bidi w:val="0"/>
              <w:rPr>
                <w:b/>
                <w:bCs/>
                <w:color w:val="auto"/>
                <w:highlight w:val="none"/>
              </w:rPr>
            </w:pPr>
            <w:r>
              <w:rPr>
                <w:rFonts w:hint="eastAsia"/>
                <w:b/>
                <w:bCs/>
                <w:color w:val="auto"/>
                <w:highlight w:val="none"/>
              </w:rPr>
              <w:t>5.2 运营期环境保护措施</w:t>
            </w:r>
          </w:p>
          <w:p>
            <w:pPr>
              <w:pStyle w:val="33"/>
              <w:bidi w:val="0"/>
              <w:rPr>
                <w:b/>
                <w:bCs/>
                <w:color w:val="auto"/>
                <w:highlight w:val="none"/>
              </w:rPr>
            </w:pPr>
            <w:r>
              <w:rPr>
                <w:rFonts w:hint="eastAsia"/>
                <w:b/>
                <w:bCs/>
                <w:color w:val="auto"/>
                <w:highlight w:val="none"/>
              </w:rPr>
              <w:t>5.2.</w:t>
            </w:r>
            <w:r>
              <w:rPr>
                <w:rFonts w:hint="eastAsia"/>
                <w:b/>
                <w:bCs/>
                <w:color w:val="auto"/>
                <w:highlight w:val="none"/>
                <w:lang w:val="en-US" w:eastAsia="zh-CN"/>
              </w:rPr>
              <w:t>1</w:t>
            </w:r>
            <w:r>
              <w:rPr>
                <w:rFonts w:hint="eastAsia"/>
                <w:b/>
                <w:bCs/>
                <w:color w:val="auto"/>
                <w:highlight w:val="none"/>
              </w:rPr>
              <w:t>大气环境保护措施</w:t>
            </w:r>
          </w:p>
          <w:p>
            <w:pPr>
              <w:pStyle w:val="33"/>
              <w:bidi w:val="0"/>
              <w:rPr>
                <w:color w:val="auto"/>
                <w:highlight w:val="none"/>
              </w:rPr>
            </w:pPr>
            <w:r>
              <w:rPr>
                <w:color w:val="auto"/>
                <w:highlight w:val="none"/>
              </w:rPr>
              <w:t>营运过程中主要废气污染物是各种机动车在行驶过程中产生的扬尘和排放的尾气，其中含有颗粒物、CO、NOx、THC。</w:t>
            </w:r>
          </w:p>
          <w:p>
            <w:pPr>
              <w:pStyle w:val="33"/>
              <w:bidi w:val="0"/>
              <w:rPr>
                <w:color w:val="auto"/>
                <w:highlight w:val="none"/>
              </w:rPr>
            </w:pPr>
            <w:r>
              <w:rPr>
                <w:color w:val="auto"/>
                <w:highlight w:val="none"/>
              </w:rPr>
              <w:t>本项目的建设单位及管理单位应在行动和意识上积极支持国家及当地各级部门对机动车尾气污染物排放控制制定的各项政策措施，并力所能及地采取一些相应措施对本项目路面上行驶机动车尾气污染物的排放进行控制，本报告建议采取以下措施：</w:t>
            </w:r>
          </w:p>
          <w:p>
            <w:pPr>
              <w:pStyle w:val="33"/>
              <w:bidi w:val="0"/>
              <w:rPr>
                <w:color w:val="auto"/>
                <w:highlight w:val="none"/>
              </w:rPr>
            </w:pPr>
            <w:r>
              <w:rPr>
                <w:color w:val="auto"/>
                <w:highlight w:val="none"/>
              </w:rPr>
              <w:t>（1）加强对道路的养护，使道路保持良好运营状态，减少塞车现象发生；</w:t>
            </w:r>
          </w:p>
          <w:p>
            <w:pPr>
              <w:pStyle w:val="33"/>
              <w:bidi w:val="0"/>
              <w:rPr>
                <w:color w:val="auto"/>
                <w:highlight w:val="none"/>
              </w:rPr>
            </w:pPr>
            <w:r>
              <w:rPr>
                <w:color w:val="auto"/>
                <w:highlight w:val="none"/>
              </w:rPr>
              <w:t>（</w:t>
            </w:r>
            <w:r>
              <w:rPr>
                <w:rFonts w:hint="eastAsia"/>
                <w:color w:val="auto"/>
                <w:highlight w:val="none"/>
                <w:lang w:val="en-US" w:eastAsia="zh-CN"/>
              </w:rPr>
              <w:t>2</w:t>
            </w:r>
            <w:r>
              <w:rPr>
                <w:color w:val="auto"/>
                <w:highlight w:val="none"/>
              </w:rPr>
              <w:t>）加强运输管理，保证汽车安全、文明行驶；</w:t>
            </w:r>
          </w:p>
          <w:p>
            <w:pPr>
              <w:pStyle w:val="33"/>
              <w:bidi w:val="0"/>
              <w:rPr>
                <w:color w:val="auto"/>
                <w:highlight w:val="none"/>
              </w:rPr>
            </w:pPr>
            <w:r>
              <w:rPr>
                <w:color w:val="auto"/>
                <w:highlight w:val="none"/>
              </w:rPr>
              <w:t>（</w:t>
            </w:r>
            <w:r>
              <w:rPr>
                <w:rFonts w:hint="eastAsia"/>
                <w:color w:val="auto"/>
                <w:highlight w:val="none"/>
                <w:lang w:val="en-US" w:eastAsia="zh-CN"/>
              </w:rPr>
              <w:t>3</w:t>
            </w:r>
            <w:r>
              <w:rPr>
                <w:color w:val="auto"/>
                <w:highlight w:val="none"/>
              </w:rPr>
              <w:t>）进一步改善交叉口的通行条件和交通干道的通行条件，以减少有害物质的排放；</w:t>
            </w:r>
          </w:p>
          <w:p>
            <w:pPr>
              <w:pStyle w:val="33"/>
              <w:bidi w:val="0"/>
              <w:rPr>
                <w:color w:val="auto"/>
                <w:highlight w:val="none"/>
              </w:rPr>
            </w:pPr>
            <w:r>
              <w:rPr>
                <w:color w:val="auto"/>
                <w:highlight w:val="none"/>
              </w:rPr>
              <w:t>（</w:t>
            </w:r>
            <w:r>
              <w:rPr>
                <w:rFonts w:hint="eastAsia"/>
                <w:color w:val="auto"/>
                <w:highlight w:val="none"/>
                <w:lang w:val="en-US" w:eastAsia="zh-CN"/>
              </w:rPr>
              <w:t>4</w:t>
            </w:r>
            <w:r>
              <w:rPr>
                <w:color w:val="auto"/>
                <w:highlight w:val="none"/>
              </w:rPr>
              <w:t>）执行环境监测制度，定期对道路沿线环境空气质量进行监测，并建立环境质量报告制度，以便根据实际污染状况采取必要措施，减轻不利影响。</w:t>
            </w:r>
          </w:p>
          <w:p>
            <w:pPr>
              <w:pStyle w:val="33"/>
              <w:bidi w:val="0"/>
              <w:rPr>
                <w:color w:val="auto"/>
                <w:highlight w:val="none"/>
              </w:rPr>
            </w:pPr>
            <w:r>
              <w:rPr>
                <w:color w:val="auto"/>
                <w:highlight w:val="none"/>
              </w:rPr>
              <w:t>（</w:t>
            </w:r>
            <w:r>
              <w:rPr>
                <w:rFonts w:hint="eastAsia"/>
                <w:color w:val="auto"/>
                <w:highlight w:val="none"/>
                <w:lang w:val="en-US" w:eastAsia="zh-CN"/>
              </w:rPr>
              <w:t>5</w:t>
            </w:r>
            <w:r>
              <w:rPr>
                <w:color w:val="auto"/>
                <w:highlight w:val="none"/>
              </w:rPr>
              <w:t>）加强车辆运输管理，定期对路面进行洒水、清扫保洁等。</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5.2.2水环境保护措施</w:t>
            </w:r>
          </w:p>
          <w:p>
            <w:pPr>
              <w:pStyle w:val="33"/>
              <w:bidi w:val="0"/>
              <w:rPr>
                <w:color w:val="auto"/>
                <w:highlight w:val="none"/>
              </w:rPr>
            </w:pPr>
            <w:r>
              <w:rPr>
                <w:rFonts w:hint="eastAsia"/>
                <w:color w:val="auto"/>
                <w:highlight w:val="none"/>
                <w:lang w:eastAsia="zh-CN"/>
              </w:rPr>
              <w:t>本</w:t>
            </w:r>
            <w:r>
              <w:rPr>
                <w:color w:val="auto"/>
                <w:highlight w:val="none"/>
              </w:rPr>
              <w:t>项目营运期间主要的水污染源为降水冲刷路面造成的路面径流</w:t>
            </w:r>
            <w:r>
              <w:rPr>
                <w:rFonts w:hint="eastAsia"/>
                <w:color w:val="auto"/>
                <w:highlight w:val="none"/>
                <w:lang w:eastAsia="zh-CN"/>
              </w:rPr>
              <w:t>，</w:t>
            </w:r>
            <w:r>
              <w:rPr>
                <w:color w:val="auto"/>
                <w:highlight w:val="none"/>
              </w:rPr>
              <w:t>路面径流中污染物浓度与降雨量、降雨持续时间密切相关</w:t>
            </w:r>
            <w:r>
              <w:rPr>
                <w:rFonts w:hint="eastAsia"/>
                <w:color w:val="auto"/>
                <w:highlight w:val="none"/>
                <w:lang w:eastAsia="zh-CN"/>
              </w:rPr>
              <w:t>。本项目采用土边沟排水形式，排水流向维持现状。路面排水采用分散漫流方式，一般路段通过路拱横坡及拦水带汇入两侧急流槽后汇入梯形土边沟，桥面排水设置泄水孔并通过纵向连接引流至桥头外侧，</w:t>
            </w:r>
            <w:r>
              <w:rPr>
                <w:color w:val="auto"/>
                <w:highlight w:val="none"/>
              </w:rPr>
              <w:t>不会对水体造成污染。</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5.2.3声环境保护措施</w:t>
            </w:r>
          </w:p>
          <w:p>
            <w:pPr>
              <w:pStyle w:val="33"/>
              <w:bidi w:val="0"/>
              <w:rPr>
                <w:rFonts w:hint="eastAsia"/>
                <w:color w:val="auto"/>
                <w:highlight w:val="none"/>
              </w:rPr>
            </w:pPr>
            <w:r>
              <w:rPr>
                <w:rFonts w:hint="eastAsia"/>
                <w:color w:val="auto"/>
                <w:highlight w:val="none"/>
              </w:rPr>
              <w:t>（</w:t>
            </w:r>
            <w:r>
              <w:rPr>
                <w:rFonts w:hint="eastAsia"/>
                <w:color w:val="auto"/>
                <w:highlight w:val="none"/>
                <w:lang w:val="en-US" w:eastAsia="zh-CN"/>
              </w:rPr>
              <w:t>1</w:t>
            </w:r>
            <w:r>
              <w:rPr>
                <w:rFonts w:hint="eastAsia"/>
                <w:color w:val="auto"/>
                <w:highlight w:val="none"/>
              </w:rPr>
              <w:t>）维持道路路面的平整度，避免因路况不佳造成车辆颠簸等引起交通噪声。</w:t>
            </w:r>
          </w:p>
          <w:p>
            <w:pPr>
              <w:pStyle w:val="33"/>
              <w:bidi w:val="0"/>
              <w:rPr>
                <w:rFonts w:hint="eastAsia"/>
                <w:color w:val="auto"/>
                <w:highlight w:val="none"/>
              </w:rPr>
            </w:pPr>
            <w:r>
              <w:rPr>
                <w:rFonts w:hint="eastAsia"/>
                <w:color w:val="auto"/>
                <w:highlight w:val="none"/>
              </w:rPr>
              <w:t>（</w:t>
            </w:r>
            <w:r>
              <w:rPr>
                <w:rFonts w:hint="eastAsia"/>
                <w:color w:val="auto"/>
                <w:highlight w:val="none"/>
                <w:lang w:val="en-US" w:eastAsia="zh-CN"/>
              </w:rPr>
              <w:t>2</w:t>
            </w:r>
            <w:r>
              <w:rPr>
                <w:rFonts w:hint="eastAsia"/>
                <w:color w:val="auto"/>
                <w:highlight w:val="none"/>
              </w:rPr>
              <w:t>）结合当地生态建设规划，加强工地征地范围内可绿化地段的绿化工作。</w:t>
            </w:r>
          </w:p>
          <w:p>
            <w:pPr>
              <w:pStyle w:val="33"/>
              <w:bidi w:val="0"/>
              <w:rPr>
                <w:rFonts w:hint="eastAsia"/>
                <w:color w:val="auto"/>
                <w:highlight w:val="none"/>
              </w:rPr>
            </w:pPr>
            <w:r>
              <w:rPr>
                <w:rFonts w:hint="eastAsia"/>
                <w:color w:val="auto"/>
                <w:highlight w:val="none"/>
              </w:rPr>
              <w:t>（</w:t>
            </w:r>
            <w:r>
              <w:rPr>
                <w:rFonts w:hint="eastAsia"/>
                <w:color w:val="auto"/>
                <w:highlight w:val="none"/>
                <w:lang w:val="en-US" w:eastAsia="zh-CN"/>
              </w:rPr>
              <w:t>3</w:t>
            </w:r>
            <w:r>
              <w:rPr>
                <w:rFonts w:hint="eastAsia"/>
                <w:color w:val="auto"/>
                <w:highlight w:val="none"/>
              </w:rPr>
              <w:t>）加强声环境质量的环境监测工作，对可能受到较严重污染的敏感点实行环境噪声定期监测制度，根据交通量增大引起的声环境污染程度，及时采取相应的减缓措施。</w:t>
            </w:r>
          </w:p>
          <w:p>
            <w:pPr>
              <w:pStyle w:val="33"/>
              <w:bidi w:val="0"/>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t>5.2.4固体废物环境保护措施</w:t>
            </w:r>
          </w:p>
          <w:p>
            <w:pPr>
              <w:pStyle w:val="33"/>
              <w:bidi w:val="0"/>
              <w:rPr>
                <w:color w:val="auto"/>
                <w:highlight w:val="none"/>
              </w:rPr>
            </w:pPr>
            <w:r>
              <w:rPr>
                <w:color w:val="auto"/>
                <w:highlight w:val="none"/>
              </w:rPr>
              <w:t>项目运营期固体废物主要为日常养护过程中产生的零星筑路废料及车辆与行人产生的生活垃圾。零星筑路废料一般较少，车辆与行人产生的生活垃圾</w:t>
            </w:r>
            <w:r>
              <w:rPr>
                <w:rFonts w:hint="eastAsia"/>
                <w:color w:val="auto"/>
                <w:highlight w:val="none"/>
                <w:lang w:eastAsia="zh-CN"/>
              </w:rPr>
              <w:t>和零星</w:t>
            </w:r>
            <w:r>
              <w:rPr>
                <w:color w:val="auto"/>
                <w:highlight w:val="none"/>
              </w:rPr>
              <w:t>筑路废料由环卫工人收集后送入环卫部门统一处理。</w:t>
            </w:r>
          </w:p>
          <w:p>
            <w:pPr>
              <w:pStyle w:val="33"/>
              <w:bidi w:val="0"/>
              <w:rPr>
                <w:color w:val="auto"/>
                <w:highlight w:val="none"/>
              </w:rPr>
            </w:pPr>
            <w:r>
              <w:rPr>
                <w:color w:val="auto"/>
                <w:highlight w:val="none"/>
              </w:rPr>
              <w:t>综上所述，本工程营运期固体废物均得到妥善处理，不会对周围环境产生明显影响。</w:t>
            </w:r>
          </w:p>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lang w:val="en-US" w:eastAsia="zh-CN"/>
              </w:rPr>
              <w:t>5.2.5</w:t>
            </w:r>
            <w:r>
              <w:rPr>
                <w:rFonts w:hint="eastAsia" w:ascii="Times New Roman" w:hAnsi="Times New Roman" w:eastAsia="宋体" w:cs="Times New Roman"/>
                <w:b/>
                <w:bCs/>
                <w:color w:val="auto"/>
                <w:highlight w:val="none"/>
              </w:rPr>
              <w:t>生态环境保护措施</w:t>
            </w:r>
          </w:p>
          <w:p>
            <w:pPr>
              <w:pStyle w:val="33"/>
              <w:bidi w:val="0"/>
              <w:rPr>
                <w:rFonts w:hint="eastAsia"/>
                <w:color w:val="auto"/>
                <w:highlight w:val="none"/>
                <w:lang w:eastAsia="zh-CN"/>
              </w:rPr>
            </w:pPr>
            <w:r>
              <w:rPr>
                <w:rFonts w:hint="eastAsia"/>
                <w:color w:val="auto"/>
                <w:highlight w:val="none"/>
                <w:lang w:eastAsia="zh-CN"/>
              </w:rPr>
              <w:t>项目对沿线生态环境的影响主要发生在施工期，营运期主要是生态的恢复，表现在以下几个方面：</w:t>
            </w:r>
          </w:p>
          <w:p>
            <w:pPr>
              <w:pStyle w:val="33"/>
              <w:bidi w:val="0"/>
              <w:rPr>
                <w:rFonts w:hint="eastAsia"/>
                <w:color w:val="auto"/>
                <w:highlight w:val="none"/>
                <w:lang w:eastAsia="zh-CN"/>
              </w:rPr>
            </w:pPr>
            <w:r>
              <w:rPr>
                <w:rFonts w:hint="eastAsia"/>
                <w:color w:val="auto"/>
                <w:highlight w:val="none"/>
                <w:lang w:eastAsia="zh-CN"/>
              </w:rPr>
              <w:t>①绿化带进行梯度绿化，提高环境的自然净化能力，保护自然生态环境。</w:t>
            </w:r>
          </w:p>
          <w:p>
            <w:pPr>
              <w:pStyle w:val="33"/>
              <w:bidi w:val="0"/>
              <w:rPr>
                <w:rFonts w:hint="eastAsia"/>
                <w:color w:val="auto"/>
                <w:highlight w:val="none"/>
                <w:lang w:eastAsia="zh-CN"/>
              </w:rPr>
            </w:pPr>
            <w:r>
              <w:rPr>
                <w:rFonts w:hint="eastAsia"/>
                <w:color w:val="auto"/>
                <w:highlight w:val="none"/>
                <w:lang w:eastAsia="zh-CN"/>
              </w:rPr>
              <w:t>②行道树选择对环境适应性强，耐干旱、耐贫瘠、具有良好生物效益的本地树种，避免外来物种侵害问题，同时要考虑对大气污染物吸附性较强的物种。</w:t>
            </w:r>
          </w:p>
          <w:p>
            <w:pPr>
              <w:pStyle w:val="33"/>
              <w:bidi w:val="0"/>
              <w:rPr>
                <w:rFonts w:hint="eastAsia"/>
                <w:color w:val="auto"/>
                <w:highlight w:val="none"/>
                <w:lang w:eastAsia="zh-CN"/>
              </w:rPr>
            </w:pPr>
            <w:r>
              <w:rPr>
                <w:rFonts w:hint="eastAsia"/>
                <w:color w:val="auto"/>
                <w:highlight w:val="none"/>
                <w:lang w:eastAsia="zh-CN"/>
              </w:rPr>
              <w:t>③加强沿线绿化植物的管理养护，定期浇水、勤修剪，保持良好的景观效应。</w:t>
            </w:r>
          </w:p>
          <w:p>
            <w:pPr>
              <w:pStyle w:val="33"/>
              <w:bidi w:val="0"/>
              <w:rPr>
                <w:rFonts w:hint="eastAsia"/>
                <w:color w:val="auto"/>
                <w:highlight w:val="none"/>
                <w:lang w:eastAsia="zh-CN"/>
              </w:rPr>
            </w:pPr>
            <w:r>
              <w:rPr>
                <w:rFonts w:hint="eastAsia"/>
                <w:color w:val="auto"/>
                <w:highlight w:val="none"/>
                <w:lang w:eastAsia="zh-CN"/>
              </w:rPr>
              <w:t>经采取上述措施后，项目营运期生态环境可得以恢复。</w:t>
            </w:r>
          </w:p>
          <w:p>
            <w:pPr>
              <w:pStyle w:val="33"/>
              <w:bidi w:val="0"/>
              <w:rPr>
                <w:rFonts w:hint="eastAsia" w:ascii="Times New Roman" w:hAnsi="Times New Roman" w:eastAsia="宋体" w:cs="Times New Roman"/>
                <w:b/>
                <w:bCs/>
                <w:color w:val="auto"/>
                <w:highlight w:val="none"/>
              </w:rPr>
            </w:pPr>
            <w:r>
              <w:rPr>
                <w:rFonts w:hint="eastAsia" w:ascii="Times New Roman" w:hAnsi="Times New Roman" w:eastAsia="宋体" w:cs="Times New Roman"/>
                <w:b/>
                <w:bCs/>
                <w:color w:val="auto"/>
                <w:highlight w:val="none"/>
                <w:lang w:val="en-US" w:eastAsia="zh-CN"/>
              </w:rPr>
              <w:t>5.2.6</w:t>
            </w:r>
            <w:r>
              <w:rPr>
                <w:rFonts w:hint="eastAsia" w:ascii="Times New Roman" w:hAnsi="Times New Roman" w:eastAsia="宋体" w:cs="Times New Roman"/>
                <w:b/>
                <w:bCs/>
                <w:color w:val="auto"/>
                <w:highlight w:val="none"/>
              </w:rPr>
              <w:t xml:space="preserve">环境影响风险分析 </w:t>
            </w:r>
          </w:p>
          <w:p>
            <w:pPr>
              <w:pStyle w:val="33"/>
              <w:bidi w:val="0"/>
              <w:rPr>
                <w:rFonts w:hint="eastAsia"/>
                <w:color w:val="auto"/>
                <w:highlight w:val="none"/>
                <w:lang w:eastAsia="zh-CN"/>
              </w:rPr>
            </w:pPr>
            <w:bookmarkStart w:id="52" w:name="OLE_LINK47"/>
            <w:bookmarkStart w:id="53" w:name="OLE_LINK48"/>
            <w:r>
              <w:rPr>
                <w:rFonts w:hint="default"/>
                <w:color w:val="auto"/>
                <w:highlight w:val="none"/>
              </w:rPr>
              <w:t>翻车和交通事故一旦发生，其影响较为严重，需引起高度重视。本次评价要求建设单位与道路管理部门做好沟通及衔接工作，制定应急计划，</w:t>
            </w:r>
            <w:r>
              <w:rPr>
                <w:rFonts w:hint="eastAsia"/>
                <w:color w:val="auto"/>
                <w:highlight w:val="none"/>
                <w:lang w:eastAsia="zh-CN"/>
              </w:rPr>
              <w:t>设置风险防范措施：</w:t>
            </w:r>
          </w:p>
          <w:p>
            <w:pPr>
              <w:pStyle w:val="33"/>
              <w:bidi w:val="0"/>
              <w:rPr>
                <w:rFonts w:hint="eastAsia"/>
                <w:color w:val="auto"/>
                <w:highlight w:val="none"/>
                <w:lang w:eastAsia="zh-CN"/>
              </w:rPr>
            </w:pPr>
            <w:r>
              <w:rPr>
                <w:rFonts w:hint="eastAsia"/>
                <w:color w:val="auto"/>
                <w:highlight w:val="none"/>
                <w:lang w:eastAsia="zh-CN"/>
              </w:rPr>
              <w:t>①设置交通监控系统，及时进行数据和信息收集，</w:t>
            </w:r>
            <w:r>
              <w:rPr>
                <w:rFonts w:hint="default"/>
                <w:color w:val="auto"/>
                <w:highlight w:val="none"/>
              </w:rPr>
              <w:t>通过安装监控装置，加强对危化品运输车辆的管理</w:t>
            </w:r>
            <w:r>
              <w:rPr>
                <w:rFonts w:hint="eastAsia"/>
                <w:color w:val="auto"/>
                <w:highlight w:val="none"/>
                <w:lang w:eastAsia="zh-CN"/>
              </w:rPr>
              <w:t>，同时</w:t>
            </w:r>
            <w:r>
              <w:rPr>
                <w:color w:val="auto"/>
                <w:highlight w:val="none"/>
              </w:rPr>
              <w:t>判断交通及气象异常，实时进行信息发布，并配合巡逻车进行交通管理和疏导。可以达到减少拥挤和阻塞、及时发现和处理交通事故、减少车辆延误等目的</w:t>
            </w:r>
            <w:r>
              <w:rPr>
                <w:rFonts w:hint="eastAsia"/>
                <w:color w:val="auto"/>
                <w:highlight w:val="none"/>
                <w:lang w:eastAsia="zh-CN"/>
              </w:rPr>
              <w:t>；</w:t>
            </w:r>
          </w:p>
          <w:p>
            <w:pPr>
              <w:pStyle w:val="33"/>
              <w:bidi w:val="0"/>
              <w:rPr>
                <w:rFonts w:hint="default"/>
                <w:color w:val="auto"/>
                <w:highlight w:val="none"/>
              </w:rPr>
            </w:pPr>
            <w:r>
              <w:rPr>
                <w:rFonts w:hint="default"/>
                <w:color w:val="auto"/>
                <w:highlight w:val="none"/>
              </w:rPr>
              <w:t>②在驶入</w:t>
            </w:r>
            <w:r>
              <w:rPr>
                <w:rFonts w:hint="eastAsia"/>
                <w:color w:val="auto"/>
                <w:highlight w:val="none"/>
                <w:lang w:eastAsia="zh-CN"/>
              </w:rPr>
              <w:t>桥头入口</w:t>
            </w:r>
            <w:r>
              <w:rPr>
                <w:rFonts w:hint="default"/>
                <w:color w:val="auto"/>
                <w:highlight w:val="none"/>
              </w:rPr>
              <w:t>处设置</w:t>
            </w:r>
            <w:r>
              <w:rPr>
                <w:rFonts w:hint="eastAsia"/>
                <w:color w:val="auto"/>
                <w:highlight w:val="none"/>
                <w:lang w:eastAsia="zh-CN"/>
              </w:rPr>
              <w:t>醒目</w:t>
            </w:r>
            <w:r>
              <w:rPr>
                <w:rFonts w:hint="default"/>
                <w:color w:val="auto"/>
                <w:highlight w:val="none"/>
              </w:rPr>
              <w:t>标志牌和危险标志</w:t>
            </w:r>
            <w:r>
              <w:rPr>
                <w:rFonts w:hint="eastAsia"/>
                <w:color w:val="auto"/>
                <w:highlight w:val="none"/>
                <w:lang w:eastAsia="zh-CN"/>
              </w:rPr>
              <w:t>，提醒车辆安全行驶</w:t>
            </w:r>
            <w:r>
              <w:rPr>
                <w:rFonts w:hint="default"/>
                <w:color w:val="auto"/>
                <w:highlight w:val="none"/>
              </w:rPr>
              <w:t>，桥上设置加强型防撞护栏，防止交通事故</w:t>
            </w:r>
            <w:r>
              <w:rPr>
                <w:rFonts w:hint="eastAsia"/>
                <w:color w:val="auto"/>
                <w:highlight w:val="none"/>
                <w:lang w:eastAsia="zh-CN"/>
              </w:rPr>
              <w:t>对环境</w:t>
            </w:r>
            <w:r>
              <w:rPr>
                <w:rFonts w:hint="default"/>
                <w:color w:val="auto"/>
                <w:highlight w:val="none"/>
              </w:rPr>
              <w:t>产生影响。</w:t>
            </w:r>
          </w:p>
          <w:p>
            <w:pPr>
              <w:pStyle w:val="33"/>
              <w:bidi w:val="0"/>
              <w:rPr>
                <w:color w:val="auto"/>
                <w:highlight w:val="none"/>
              </w:rPr>
            </w:pPr>
            <w:r>
              <w:rPr>
                <w:rFonts w:hint="eastAsia"/>
                <w:color w:val="auto"/>
                <w:highlight w:val="none"/>
              </w:rPr>
              <w:t>③</w:t>
            </w:r>
            <w:r>
              <w:rPr>
                <w:color w:val="auto"/>
                <w:highlight w:val="none"/>
              </w:rPr>
              <w:t>加强运营管理，做好日常检修和维护工作，确保道路路况良好状态。交通、公安、环保部门</w:t>
            </w:r>
            <w:r>
              <w:rPr>
                <w:rFonts w:hint="eastAsia"/>
                <w:color w:val="auto"/>
                <w:highlight w:val="none"/>
                <w:lang w:eastAsia="zh-CN"/>
              </w:rPr>
              <w:t>、市政</w:t>
            </w:r>
            <w:r>
              <w:rPr>
                <w:color w:val="auto"/>
                <w:highlight w:val="none"/>
              </w:rPr>
              <w:t>要相互配合，提高快速反应、处置能力，要改善和提高相应的装备水平。</w:t>
            </w:r>
          </w:p>
          <w:p>
            <w:pPr>
              <w:pStyle w:val="33"/>
              <w:bidi w:val="0"/>
              <w:rPr>
                <w:color w:val="auto"/>
                <w:highlight w:val="none"/>
              </w:rPr>
            </w:pPr>
            <w:r>
              <w:rPr>
                <w:rFonts w:hint="eastAsia"/>
                <w:color w:val="FF0000"/>
                <w:highlight w:val="none"/>
                <w:lang w:eastAsia="zh-CN"/>
              </w:rPr>
              <w:t>本项目建成通车后，通行的危险化学品运输车辆较少，同时</w:t>
            </w:r>
            <w:r>
              <w:rPr>
                <w:rFonts w:hint="eastAsia"/>
                <w:color w:val="FF0000"/>
                <w:highlight w:val="none"/>
                <w:lang w:val="en-US" w:eastAsia="zh-CN"/>
              </w:rPr>
              <w:t>采取</w:t>
            </w:r>
            <w:r>
              <w:rPr>
                <w:rFonts w:hint="eastAsia"/>
                <w:color w:val="FF0000"/>
                <w:highlight w:val="none"/>
              </w:rPr>
              <w:t>桥梁加装防撞</w:t>
            </w:r>
            <w:r>
              <w:rPr>
                <w:rFonts w:hint="eastAsia"/>
                <w:color w:val="FF0000"/>
                <w:highlight w:val="none"/>
                <w:lang w:eastAsia="zh-CN"/>
              </w:rPr>
              <w:t>护栏、防撞桶</w:t>
            </w:r>
            <w:r>
              <w:rPr>
                <w:rFonts w:hint="eastAsia"/>
                <w:color w:val="FF0000"/>
                <w:highlight w:val="none"/>
              </w:rPr>
              <w:t>、设置警示标志</w:t>
            </w:r>
            <w:r>
              <w:rPr>
                <w:rFonts w:hint="eastAsia"/>
                <w:color w:val="FF0000"/>
                <w:highlight w:val="none"/>
                <w:lang w:eastAsia="zh-CN"/>
              </w:rPr>
              <w:t>等措施，</w:t>
            </w:r>
            <w:r>
              <w:rPr>
                <w:rFonts w:hint="default"/>
                <w:color w:val="auto"/>
                <w:highlight w:val="none"/>
              </w:rPr>
              <w:t>一旦发生危险化学品车辆</w:t>
            </w:r>
            <w:r>
              <w:rPr>
                <w:rFonts w:hint="eastAsia"/>
                <w:color w:val="auto"/>
                <w:highlight w:val="none"/>
                <w:lang w:eastAsia="zh-CN"/>
              </w:rPr>
              <w:t>泄漏</w:t>
            </w:r>
            <w:r>
              <w:rPr>
                <w:rFonts w:hint="default"/>
                <w:color w:val="auto"/>
                <w:highlight w:val="none"/>
              </w:rPr>
              <w:t>事故，相关责任部门应立即组织相关机构及人员及时采取以下应急措施</w:t>
            </w:r>
            <w:r>
              <w:rPr>
                <w:rFonts w:hint="eastAsia"/>
                <w:color w:val="auto"/>
                <w:highlight w:val="none"/>
                <w:lang w:eastAsia="zh-CN"/>
              </w:rPr>
              <w:t>并加以控制，具体应急措施如下</w:t>
            </w:r>
            <w:r>
              <w:rPr>
                <w:rFonts w:hint="default"/>
                <w:color w:val="auto"/>
                <w:highlight w:val="none"/>
              </w:rPr>
              <w:t xml:space="preserve">： </w:t>
            </w:r>
          </w:p>
          <w:p>
            <w:pPr>
              <w:pStyle w:val="33"/>
              <w:bidi w:val="0"/>
              <w:rPr>
                <w:color w:val="auto"/>
                <w:highlight w:val="none"/>
              </w:rPr>
            </w:pPr>
            <w:r>
              <w:rPr>
                <w:rFonts w:hint="eastAsia"/>
                <w:color w:val="auto"/>
                <w:highlight w:val="none"/>
              </w:rPr>
              <w:t>①一旦事故发生，任何发现人员应及时向</w:t>
            </w:r>
            <w:r>
              <w:rPr>
                <w:rFonts w:hint="eastAsia"/>
                <w:color w:val="auto"/>
                <w:highlight w:val="none"/>
                <w:lang w:eastAsia="zh-CN"/>
              </w:rPr>
              <w:t>相关管理部门</w:t>
            </w:r>
            <w:r>
              <w:rPr>
                <w:rFonts w:hint="eastAsia"/>
                <w:color w:val="auto"/>
                <w:highlight w:val="none"/>
              </w:rPr>
              <w:t>报告。</w:t>
            </w:r>
          </w:p>
          <w:p>
            <w:pPr>
              <w:pStyle w:val="33"/>
              <w:bidi w:val="0"/>
              <w:rPr>
                <w:color w:val="auto"/>
                <w:highlight w:val="none"/>
              </w:rPr>
            </w:pPr>
            <w:r>
              <w:rPr>
                <w:rFonts w:hint="eastAsia"/>
                <w:color w:val="auto"/>
                <w:highlight w:val="none"/>
              </w:rPr>
              <w:t>②</w:t>
            </w:r>
            <w:r>
              <w:rPr>
                <w:rFonts w:hint="eastAsia"/>
                <w:color w:val="auto"/>
                <w:highlight w:val="none"/>
                <w:lang w:eastAsia="zh-CN"/>
              </w:rPr>
              <w:t>相关管理部门</w:t>
            </w:r>
            <w:r>
              <w:rPr>
                <w:rFonts w:hint="eastAsia"/>
                <w:color w:val="auto"/>
                <w:highlight w:val="none"/>
              </w:rPr>
              <w:t>报告后，应立即通知就近的公路巡警前往事故地点控制现场。同时，通知就近的地方消防部门派消防车辆和人员前往救援。</w:t>
            </w:r>
          </w:p>
          <w:p>
            <w:pPr>
              <w:pStyle w:val="33"/>
              <w:bidi w:val="0"/>
              <w:rPr>
                <w:rFonts w:hint="eastAsia"/>
                <w:color w:val="auto"/>
                <w:highlight w:val="none"/>
                <w:lang w:eastAsia="zh-CN"/>
              </w:rPr>
            </w:pPr>
            <w:r>
              <w:rPr>
                <w:rFonts w:hint="eastAsia"/>
                <w:color w:val="auto"/>
                <w:highlight w:val="none"/>
              </w:rPr>
              <w:t>③如果危险品为固态，</w:t>
            </w:r>
            <w:r>
              <w:rPr>
                <w:rFonts w:hint="eastAsia"/>
                <w:color w:val="auto"/>
                <w:highlight w:val="none"/>
                <w:lang w:eastAsia="zh-CN"/>
              </w:rPr>
              <w:t>一般</w:t>
            </w:r>
            <w:r>
              <w:rPr>
                <w:rFonts w:hint="eastAsia"/>
                <w:color w:val="auto"/>
                <w:highlight w:val="none"/>
              </w:rPr>
              <w:t>可清扫处置，并对事故记录备案</w:t>
            </w:r>
            <w:r>
              <w:rPr>
                <w:rFonts w:hint="eastAsia"/>
                <w:color w:val="auto"/>
                <w:highlight w:val="none"/>
                <w:lang w:eastAsia="zh-CN"/>
              </w:rPr>
              <w:t>；</w:t>
            </w:r>
          </w:p>
          <w:p>
            <w:pPr>
              <w:pStyle w:val="33"/>
              <w:bidi w:val="0"/>
              <w:rPr>
                <w:rFonts w:hint="eastAsia"/>
                <w:color w:val="auto"/>
                <w:highlight w:val="none"/>
                <w:lang w:eastAsia="zh-CN"/>
              </w:rPr>
            </w:pPr>
            <w:r>
              <w:rPr>
                <w:rFonts w:hint="eastAsia"/>
                <w:color w:val="auto"/>
                <w:highlight w:val="none"/>
              </w:rPr>
              <w:t>如果危险品为气态且有剧毒</w:t>
            </w:r>
            <w:r>
              <w:rPr>
                <w:rFonts w:hint="eastAsia"/>
                <w:color w:val="auto"/>
                <w:highlight w:val="none"/>
                <w:lang w:eastAsia="zh-CN"/>
              </w:rPr>
              <w:t>泄漏事故或</w:t>
            </w:r>
            <w:r>
              <w:rPr>
                <w:rFonts w:hint="default"/>
                <w:color w:val="auto"/>
                <w:highlight w:val="none"/>
              </w:rPr>
              <w:t>运输途中发生燃烧、爆炸、污染、中毒等事故时，驾驶员必须根据承运危险品货物的性质及有关规定的要求采取相应紧急措施，防止事态扩大，并</w:t>
            </w:r>
            <w:r>
              <w:rPr>
                <w:rFonts w:hint="eastAsia"/>
                <w:color w:val="auto"/>
                <w:highlight w:val="none"/>
              </w:rPr>
              <w:t>消防人员应戴防毒面具进行处理；在危险品逸漏无法避免的情况下，需立即通知</w:t>
            </w:r>
            <w:r>
              <w:rPr>
                <w:rFonts w:hint="default"/>
                <w:color w:val="auto"/>
                <w:highlight w:val="none"/>
              </w:rPr>
              <w:t>当地道路管理行政机关</w:t>
            </w:r>
            <w:r>
              <w:rPr>
                <w:rFonts w:hint="eastAsia"/>
                <w:color w:val="auto"/>
                <w:highlight w:val="none"/>
                <w:lang w:eastAsia="zh-CN"/>
              </w:rPr>
              <w:t>和</w:t>
            </w:r>
            <w:r>
              <w:rPr>
                <w:rFonts w:hint="eastAsia"/>
                <w:color w:val="auto"/>
                <w:highlight w:val="none"/>
              </w:rPr>
              <w:t>环保部门、公安部门</w:t>
            </w:r>
            <w:r>
              <w:rPr>
                <w:rFonts w:hint="eastAsia"/>
                <w:color w:val="auto"/>
                <w:highlight w:val="none"/>
                <w:lang w:eastAsia="zh-CN"/>
              </w:rPr>
              <w:t>、消防部门，共同采取措施清除</w:t>
            </w:r>
            <w:r>
              <w:rPr>
                <w:rFonts w:hint="eastAsia"/>
                <w:color w:val="auto"/>
                <w:highlight w:val="none"/>
              </w:rPr>
              <w:t>，必要时对沿线处于污染范围内的人员进行疏离，避免发生人员中毒伤亡</w:t>
            </w:r>
            <w:r>
              <w:rPr>
                <w:rFonts w:hint="eastAsia"/>
                <w:color w:val="auto"/>
                <w:highlight w:val="none"/>
                <w:lang w:eastAsia="zh-CN"/>
              </w:rPr>
              <w:t>；</w:t>
            </w:r>
          </w:p>
          <w:p>
            <w:pPr>
              <w:pStyle w:val="33"/>
              <w:bidi w:val="0"/>
              <w:rPr>
                <w:color w:val="auto"/>
                <w:highlight w:val="none"/>
              </w:rPr>
            </w:pPr>
            <w:r>
              <w:rPr>
                <w:rFonts w:hint="eastAsia"/>
                <w:color w:val="auto"/>
                <w:highlight w:val="none"/>
              </w:rPr>
              <w:t>如果危险品为液态，</w:t>
            </w:r>
            <w:r>
              <w:rPr>
                <w:rFonts w:hint="default"/>
                <w:color w:val="auto"/>
                <w:highlight w:val="none"/>
              </w:rPr>
              <w:t>在路基路段</w:t>
            </w:r>
            <w:r>
              <w:rPr>
                <w:rFonts w:hint="eastAsia"/>
                <w:color w:val="auto"/>
                <w:highlight w:val="none"/>
                <w:lang w:eastAsia="zh-CN"/>
              </w:rPr>
              <w:t>泄漏</w:t>
            </w:r>
            <w:r>
              <w:rPr>
                <w:rFonts w:hint="default"/>
                <w:color w:val="auto"/>
                <w:highlight w:val="none"/>
              </w:rPr>
              <w:t>到边沟后，要及时采用沙袋等对边沟进行封堵；同样在桥梁路段发生</w:t>
            </w:r>
            <w:r>
              <w:rPr>
                <w:rFonts w:hint="eastAsia"/>
                <w:color w:val="auto"/>
                <w:highlight w:val="none"/>
                <w:lang w:eastAsia="zh-CN"/>
              </w:rPr>
              <w:t>泄漏</w:t>
            </w:r>
            <w:r>
              <w:rPr>
                <w:rFonts w:hint="default"/>
                <w:color w:val="auto"/>
                <w:highlight w:val="none"/>
              </w:rPr>
              <w:t>后，要及时采用防污塞迅速将</w:t>
            </w:r>
            <w:r>
              <w:rPr>
                <w:rFonts w:hint="eastAsia"/>
                <w:color w:val="auto"/>
                <w:highlight w:val="none"/>
                <w:lang w:eastAsia="zh-CN"/>
              </w:rPr>
              <w:t>泄漏</w:t>
            </w:r>
            <w:r>
              <w:rPr>
                <w:rFonts w:hint="default"/>
                <w:color w:val="auto"/>
                <w:highlight w:val="none"/>
              </w:rPr>
              <w:t>口封堵</w:t>
            </w:r>
            <w:r>
              <w:rPr>
                <w:rFonts w:hint="eastAsia"/>
                <w:color w:val="auto"/>
                <w:highlight w:val="none"/>
                <w:lang w:eastAsia="zh-CN"/>
              </w:rPr>
              <w:t>，</w:t>
            </w:r>
            <w:r>
              <w:rPr>
                <w:rFonts w:hint="eastAsia"/>
                <w:color w:val="auto"/>
                <w:highlight w:val="none"/>
              </w:rPr>
              <w:t>应立即通知</w:t>
            </w:r>
            <w:r>
              <w:rPr>
                <w:rFonts w:hint="eastAsia"/>
                <w:color w:val="auto"/>
                <w:highlight w:val="none"/>
                <w:lang w:eastAsia="zh-CN"/>
              </w:rPr>
              <w:t>当地</w:t>
            </w:r>
            <w:r>
              <w:rPr>
                <w:rFonts w:hint="eastAsia"/>
                <w:color w:val="auto"/>
                <w:highlight w:val="none"/>
              </w:rPr>
              <w:t>环保部门</w:t>
            </w:r>
            <w:r>
              <w:rPr>
                <w:rFonts w:hint="eastAsia"/>
                <w:color w:val="auto"/>
                <w:highlight w:val="none"/>
                <w:lang w:eastAsia="zh-CN"/>
              </w:rPr>
              <w:t>以及市政部门、消防、公安等部门</w:t>
            </w:r>
            <w:r>
              <w:rPr>
                <w:rFonts w:hint="eastAsia"/>
                <w:color w:val="auto"/>
                <w:highlight w:val="none"/>
              </w:rPr>
              <w:t>，针对危险品特性采用围护、回收、吸收、扩散、燃烧等方法进行处理。</w:t>
            </w:r>
            <w:r>
              <w:rPr>
                <w:rFonts w:hint="eastAsia"/>
                <w:color w:val="auto"/>
                <w:highlight w:val="none"/>
                <w:lang w:eastAsia="zh-CN"/>
              </w:rPr>
              <w:t>同时</w:t>
            </w:r>
            <w:r>
              <w:rPr>
                <w:rFonts w:hint="default"/>
                <w:color w:val="auto"/>
                <w:highlight w:val="none"/>
              </w:rPr>
              <w:t>应同时</w:t>
            </w:r>
            <w:r>
              <w:rPr>
                <w:rFonts w:hint="eastAsia"/>
                <w:color w:val="auto"/>
                <w:highlight w:val="none"/>
                <w:lang w:eastAsia="zh-CN"/>
              </w:rPr>
              <w:t>派出</w:t>
            </w:r>
            <w:r>
              <w:rPr>
                <w:rFonts w:hint="default"/>
                <w:color w:val="auto"/>
                <w:highlight w:val="none"/>
              </w:rPr>
              <w:t>环境专业人员和监测人员到场工作，对水体污染带进行监测和分析，并视情况采取必要措施</w:t>
            </w:r>
            <w:r>
              <w:rPr>
                <w:rFonts w:hint="eastAsia"/>
                <w:color w:val="auto"/>
                <w:highlight w:val="none"/>
                <w:lang w:eastAsia="zh-CN"/>
              </w:rPr>
              <w:t>。</w:t>
            </w:r>
          </w:p>
          <w:p>
            <w:pPr>
              <w:pStyle w:val="33"/>
              <w:bidi w:val="0"/>
              <w:rPr>
                <w:color w:val="auto"/>
                <w:highlight w:val="none"/>
              </w:rPr>
            </w:pPr>
            <w:r>
              <w:rPr>
                <w:rFonts w:hint="eastAsia"/>
                <w:color w:val="auto"/>
                <w:highlight w:val="none"/>
              </w:rPr>
              <w:t>加强对车辆的安全检查，对从事危险品运输车辆限行。</w:t>
            </w:r>
          </w:p>
          <w:p>
            <w:pPr>
              <w:pStyle w:val="33"/>
              <w:bidi w:val="0"/>
              <w:rPr>
                <w:color w:val="auto"/>
                <w:highlight w:val="none"/>
              </w:rPr>
            </w:pPr>
            <w:r>
              <w:rPr>
                <w:rFonts w:hint="eastAsia"/>
                <w:color w:val="auto"/>
                <w:highlight w:val="none"/>
              </w:rPr>
              <w:t>通过以上控制措施，可有效防范风险事故的发生及处理。</w:t>
            </w:r>
          </w:p>
          <w:bookmarkEnd w:id="52"/>
          <w:bookmarkEnd w:id="53"/>
          <w:p>
            <w:pPr>
              <w:adjustRightInd w:val="0"/>
              <w:snapToGrid w:val="0"/>
              <w:rPr>
                <w:bCs/>
                <w:color w:val="auto"/>
                <w:spacing w:val="10"/>
                <w:szCs w:val="21"/>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53" w:type="dxa"/>
            <w:noWrap w:val="0"/>
            <w:vAlign w:val="center"/>
          </w:tcPr>
          <w:p>
            <w:pPr>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auto"/>
              <w:rPr>
                <w:rFonts w:ascii="Times New Roman" w:hAnsi="Times New Roman" w:eastAsia="宋体" w:cs="Times New Roman"/>
                <w:color w:val="auto"/>
                <w:kern w:val="2"/>
                <w:sz w:val="21"/>
                <w:szCs w:val="24"/>
                <w:highlight w:val="none"/>
                <w:lang w:val="en-US" w:eastAsia="zh-CN" w:bidi="ar-SA"/>
              </w:rPr>
            </w:pPr>
            <w:r>
              <w:rPr>
                <w:rFonts w:ascii="Times New Roman" w:hAnsi="Times New Roman" w:eastAsia="宋体" w:cs="Times New Roman"/>
                <w:color w:val="auto"/>
                <w:kern w:val="2"/>
                <w:sz w:val="21"/>
                <w:szCs w:val="24"/>
                <w:highlight w:val="none"/>
                <w:lang w:val="en-US" w:eastAsia="zh-CN" w:bidi="ar-SA"/>
              </w:rPr>
              <w:t>其他</w:t>
            </w:r>
          </w:p>
        </w:tc>
        <w:tc>
          <w:tcPr>
            <w:tcW w:w="8457" w:type="dxa"/>
            <w:noWrap w:val="0"/>
            <w:vAlign w:val="center"/>
          </w:tcPr>
          <w:p>
            <w:pPr>
              <w:pStyle w:val="33"/>
              <w:bidi w:val="0"/>
              <w:rPr>
                <w:rFonts w:hint="eastAsia"/>
                <w:color w:val="auto"/>
                <w:highlight w:val="none"/>
              </w:rPr>
            </w:pPr>
            <w:r>
              <w:rPr>
                <w:rFonts w:hint="eastAsia"/>
                <w:color w:val="auto"/>
                <w:highlight w:val="none"/>
              </w:rPr>
              <w:t>加强本工程施工期的环境管理及施工监理工作。建立健全的环境管理机构和环境监理档案。在项目招投标承包合同中应明确环境保护与治理条款，承包商应明确承诺他们在施工过程中以及施工结束时的环境义务。</w:t>
            </w:r>
          </w:p>
          <w:p>
            <w:pPr>
              <w:pStyle w:val="33"/>
              <w:bidi w:val="0"/>
              <w:rPr>
                <w:bCs/>
                <w:color w:val="auto"/>
                <w:spacing w:val="10"/>
                <w:szCs w:val="21"/>
                <w:highlight w:val="none"/>
              </w:rPr>
            </w:pPr>
            <w:r>
              <w:rPr>
                <w:rFonts w:hint="eastAsia"/>
                <w:color w:val="auto"/>
                <w:highlight w:val="none"/>
              </w:rPr>
              <w:t>做好对施工人员环境保护宣传教育培训工作。施工单位在施工期间应认真贯彻环评报告表及其生态环境部门批复意见中所提的各项环境保护措施和要求，把环境保护工作真正落到实处。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53" w:type="dxa"/>
            <w:noWrap w:val="0"/>
            <w:vAlign w:val="center"/>
          </w:tcPr>
          <w:p>
            <w:pPr>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auto"/>
              <w:rPr>
                <w:rFonts w:ascii="Times New Roman" w:hAnsi="Times New Roman" w:eastAsia="宋体" w:cs="Times New Roman"/>
                <w:color w:val="auto"/>
                <w:kern w:val="2"/>
                <w:sz w:val="21"/>
                <w:szCs w:val="24"/>
                <w:highlight w:val="none"/>
                <w:lang w:val="en-US" w:eastAsia="zh-CN" w:bidi="ar-SA"/>
              </w:rPr>
            </w:pPr>
            <w:r>
              <w:rPr>
                <w:rFonts w:ascii="Times New Roman" w:hAnsi="Times New Roman" w:eastAsia="宋体" w:cs="Times New Roman"/>
                <w:color w:val="auto"/>
                <w:kern w:val="2"/>
                <w:sz w:val="21"/>
                <w:szCs w:val="24"/>
                <w:highlight w:val="none"/>
                <w:lang w:val="en-US" w:eastAsia="zh-CN" w:bidi="ar-SA"/>
              </w:rPr>
              <w:t>环保投资</w:t>
            </w:r>
          </w:p>
        </w:tc>
        <w:tc>
          <w:tcPr>
            <w:tcW w:w="8457" w:type="dxa"/>
            <w:noWrap w:val="0"/>
            <w:vAlign w:val="top"/>
          </w:tcPr>
          <w:p>
            <w:pPr>
              <w:pStyle w:val="33"/>
              <w:bidi w:val="0"/>
              <w:rPr>
                <w:color w:val="auto"/>
                <w:highlight w:val="none"/>
              </w:rPr>
            </w:pPr>
            <w:r>
              <w:rPr>
                <w:color w:val="auto"/>
                <w:highlight w:val="none"/>
              </w:rPr>
              <w:t>本项目环保投资共计</w:t>
            </w:r>
            <w:r>
              <w:rPr>
                <w:rFonts w:hint="eastAsia"/>
                <w:color w:val="auto"/>
                <w:highlight w:val="none"/>
                <w:lang w:val="en-US" w:eastAsia="zh-CN"/>
              </w:rPr>
              <w:t>64</w:t>
            </w:r>
            <w:r>
              <w:rPr>
                <w:color w:val="auto"/>
                <w:highlight w:val="none"/>
              </w:rPr>
              <w:t>万元，其中施工期环保投资</w:t>
            </w:r>
            <w:r>
              <w:rPr>
                <w:rFonts w:hint="eastAsia"/>
                <w:color w:val="auto"/>
                <w:highlight w:val="none"/>
                <w:lang w:val="en-US" w:eastAsia="zh-CN"/>
              </w:rPr>
              <w:t>56</w:t>
            </w:r>
            <w:r>
              <w:rPr>
                <w:color w:val="auto"/>
                <w:highlight w:val="none"/>
              </w:rPr>
              <w:t>万元，营运期环保投资</w:t>
            </w:r>
            <w:r>
              <w:rPr>
                <w:rFonts w:hint="eastAsia"/>
                <w:color w:val="auto"/>
                <w:highlight w:val="none"/>
                <w:lang w:val="en-US" w:eastAsia="zh-CN"/>
              </w:rPr>
              <w:t>8</w:t>
            </w:r>
            <w:r>
              <w:rPr>
                <w:color w:val="auto"/>
                <w:highlight w:val="none"/>
              </w:rPr>
              <w:t>万元，投资一览表见下表。</w:t>
            </w:r>
          </w:p>
          <w:p>
            <w:pPr>
              <w:pStyle w:val="36"/>
              <w:numPr>
                <w:ilvl w:val="0"/>
                <w:numId w:val="13"/>
              </w:numPr>
              <w:bidi w:val="0"/>
              <w:ind w:left="0" w:leftChars="0" w:firstLine="0" w:firstLineChars="0"/>
              <w:rPr>
                <w:rFonts w:hint="eastAsia" w:ascii="Times New Roman" w:hAnsi="Times New Roman" w:eastAsia="宋体" w:cs="Times New Roman"/>
                <w:color w:val="auto"/>
                <w:highlight w:val="none"/>
                <w:lang w:val="zh-CN" w:eastAsia="zh-CN"/>
              </w:rPr>
            </w:pPr>
            <w:r>
              <w:rPr>
                <w:rFonts w:hint="eastAsia" w:ascii="Times New Roman" w:hAnsi="Times New Roman" w:eastAsia="宋体" w:cs="Times New Roman"/>
                <w:color w:val="auto"/>
                <w:highlight w:val="none"/>
                <w:lang w:val="zh-CN" w:eastAsia="zh-CN"/>
              </w:rPr>
              <w:t>施工期环境保护管理及环境监理内容一览表</w:t>
            </w:r>
          </w:p>
          <w:tbl>
            <w:tblPr>
              <w:tblStyle w:val="2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453"/>
              <w:gridCol w:w="517"/>
              <w:gridCol w:w="505"/>
              <w:gridCol w:w="5904"/>
              <w:gridCol w:w="8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tcBorders>
                    <w:tl2br w:val="nil"/>
                    <w:tr2bl w:val="nil"/>
                  </w:tcBorders>
                  <w:noWrap w:val="0"/>
                  <w:vAlign w:val="center"/>
                </w:tcPr>
                <w:p>
                  <w:pPr>
                    <w:pStyle w:val="32"/>
                    <w:bidi w:val="0"/>
                    <w:rPr>
                      <w:color w:val="auto"/>
                      <w:highlight w:val="none"/>
                      <w:lang w:val="zh-CN"/>
                    </w:rPr>
                  </w:pPr>
                  <w:r>
                    <w:rPr>
                      <w:color w:val="auto"/>
                      <w:highlight w:val="none"/>
                      <w:lang w:val="zh-CN"/>
                    </w:rPr>
                    <w:t>阶段</w:t>
                  </w:r>
                </w:p>
              </w:tc>
              <w:tc>
                <w:tcPr>
                  <w:tcW w:w="314" w:type="pct"/>
                  <w:tcBorders>
                    <w:tl2br w:val="nil"/>
                    <w:tr2bl w:val="nil"/>
                  </w:tcBorders>
                  <w:noWrap w:val="0"/>
                  <w:vAlign w:val="center"/>
                </w:tcPr>
                <w:p>
                  <w:pPr>
                    <w:pStyle w:val="32"/>
                    <w:bidi w:val="0"/>
                    <w:rPr>
                      <w:color w:val="auto"/>
                      <w:highlight w:val="none"/>
                      <w:lang w:val="zh-CN"/>
                    </w:rPr>
                  </w:pPr>
                  <w:r>
                    <w:rPr>
                      <w:color w:val="auto"/>
                      <w:highlight w:val="none"/>
                      <w:lang w:val="zh-CN"/>
                    </w:rPr>
                    <w:t>环境要素</w:t>
                  </w:r>
                </w:p>
              </w:tc>
              <w:tc>
                <w:tcPr>
                  <w:tcW w:w="306" w:type="pct"/>
                  <w:tcBorders>
                    <w:tl2br w:val="nil"/>
                    <w:tr2bl w:val="nil"/>
                  </w:tcBorders>
                  <w:noWrap w:val="0"/>
                  <w:vAlign w:val="center"/>
                </w:tcPr>
                <w:p>
                  <w:pPr>
                    <w:pStyle w:val="32"/>
                    <w:bidi w:val="0"/>
                    <w:rPr>
                      <w:color w:val="auto"/>
                      <w:highlight w:val="none"/>
                      <w:lang w:val="zh-CN"/>
                    </w:rPr>
                  </w:pPr>
                  <w:r>
                    <w:rPr>
                      <w:color w:val="auto"/>
                      <w:highlight w:val="none"/>
                      <w:lang w:val="zh-CN"/>
                    </w:rPr>
                    <w:t>污染物</w:t>
                  </w:r>
                </w:p>
              </w:tc>
              <w:tc>
                <w:tcPr>
                  <w:tcW w:w="3587" w:type="pct"/>
                  <w:tcBorders>
                    <w:tl2br w:val="nil"/>
                    <w:tr2bl w:val="nil"/>
                  </w:tcBorders>
                  <w:noWrap w:val="0"/>
                  <w:vAlign w:val="center"/>
                </w:tcPr>
                <w:p>
                  <w:pPr>
                    <w:pStyle w:val="32"/>
                    <w:bidi w:val="0"/>
                    <w:rPr>
                      <w:color w:val="auto"/>
                      <w:highlight w:val="none"/>
                      <w:lang w:val="zh-CN"/>
                    </w:rPr>
                  </w:pPr>
                  <w:r>
                    <w:rPr>
                      <w:rFonts w:hint="eastAsia"/>
                      <w:color w:val="auto"/>
                      <w:highlight w:val="none"/>
                      <w:lang w:val="zh-CN"/>
                    </w:rPr>
                    <w:t>保护</w:t>
                  </w:r>
                  <w:r>
                    <w:rPr>
                      <w:color w:val="auto"/>
                      <w:highlight w:val="none"/>
                      <w:lang w:val="zh-CN"/>
                    </w:rPr>
                    <w:t>或控制措施</w:t>
                  </w:r>
                </w:p>
              </w:tc>
              <w:tc>
                <w:tcPr>
                  <w:tcW w:w="515" w:type="pct"/>
                  <w:tcBorders>
                    <w:tl2br w:val="nil"/>
                    <w:tr2bl w:val="nil"/>
                  </w:tcBorders>
                  <w:noWrap w:val="0"/>
                  <w:vAlign w:val="center"/>
                </w:tcPr>
                <w:p>
                  <w:pPr>
                    <w:pStyle w:val="32"/>
                    <w:bidi w:val="0"/>
                    <w:rPr>
                      <w:color w:val="auto"/>
                      <w:highlight w:val="none"/>
                      <w:lang w:val="zh-CN"/>
                    </w:rPr>
                  </w:pPr>
                  <w:r>
                    <w:rPr>
                      <w:color w:val="auto"/>
                      <w:highlight w:val="none"/>
                      <w:lang w:val="zh-CN"/>
                    </w:rPr>
                    <w:t>环保投资（万元）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restart"/>
                  <w:tcBorders>
                    <w:tl2br w:val="nil"/>
                    <w:tr2bl w:val="nil"/>
                  </w:tcBorders>
                  <w:noWrap w:val="0"/>
                  <w:vAlign w:val="center"/>
                </w:tcPr>
                <w:p>
                  <w:pPr>
                    <w:pStyle w:val="32"/>
                    <w:bidi w:val="0"/>
                    <w:rPr>
                      <w:color w:val="auto"/>
                      <w:highlight w:val="none"/>
                      <w:lang w:val="zh-CN"/>
                    </w:rPr>
                  </w:pPr>
                  <w:r>
                    <w:rPr>
                      <w:color w:val="auto"/>
                      <w:highlight w:val="none"/>
                      <w:lang w:val="zh-CN"/>
                    </w:rPr>
                    <w:t>施工期</w:t>
                  </w:r>
                </w:p>
              </w:tc>
              <w:tc>
                <w:tcPr>
                  <w:tcW w:w="314" w:type="pct"/>
                  <w:tcBorders>
                    <w:tl2br w:val="nil"/>
                    <w:tr2bl w:val="nil"/>
                  </w:tcBorders>
                  <w:noWrap w:val="0"/>
                  <w:vAlign w:val="center"/>
                </w:tcPr>
                <w:p>
                  <w:pPr>
                    <w:pStyle w:val="32"/>
                    <w:bidi w:val="0"/>
                    <w:rPr>
                      <w:color w:val="auto"/>
                      <w:highlight w:val="none"/>
                      <w:lang w:val="zh-CN"/>
                    </w:rPr>
                  </w:pPr>
                  <w:r>
                    <w:rPr>
                      <w:color w:val="auto"/>
                      <w:highlight w:val="none"/>
                      <w:lang w:val="zh-CN"/>
                    </w:rPr>
                    <w:t>大气环境</w:t>
                  </w:r>
                </w:p>
              </w:tc>
              <w:tc>
                <w:tcPr>
                  <w:tcW w:w="306" w:type="pct"/>
                  <w:tcBorders>
                    <w:tl2br w:val="nil"/>
                    <w:tr2bl w:val="nil"/>
                  </w:tcBorders>
                  <w:noWrap w:val="0"/>
                  <w:vAlign w:val="center"/>
                </w:tcPr>
                <w:p>
                  <w:pPr>
                    <w:pStyle w:val="32"/>
                    <w:bidi w:val="0"/>
                    <w:rPr>
                      <w:color w:val="auto"/>
                      <w:highlight w:val="none"/>
                      <w:lang w:val="zh-CN"/>
                    </w:rPr>
                  </w:pPr>
                  <w:r>
                    <w:rPr>
                      <w:color w:val="auto"/>
                      <w:highlight w:val="none"/>
                      <w:lang w:val="zh-CN"/>
                    </w:rPr>
                    <w:t>施工扬尘</w:t>
                  </w:r>
                  <w:r>
                    <w:rPr>
                      <w:rFonts w:hint="eastAsia"/>
                      <w:color w:val="auto"/>
                      <w:highlight w:val="none"/>
                      <w:lang w:val="zh-CN"/>
                    </w:rPr>
                    <w:t>，沥青烟气、焊接烟气</w:t>
                  </w:r>
                </w:p>
              </w:tc>
              <w:tc>
                <w:tcPr>
                  <w:tcW w:w="3587" w:type="pct"/>
                  <w:tcBorders>
                    <w:tl2br w:val="nil"/>
                    <w:tr2bl w:val="nil"/>
                  </w:tcBorders>
                  <w:noWrap w:val="0"/>
                  <w:vAlign w:val="center"/>
                </w:tcPr>
                <w:p>
                  <w:pPr>
                    <w:pStyle w:val="32"/>
                    <w:bidi w:val="0"/>
                    <w:jc w:val="left"/>
                    <w:rPr>
                      <w:rFonts w:hint="eastAsia"/>
                      <w:color w:val="FF0000"/>
                      <w:highlight w:val="none"/>
                      <w:lang w:val="en-US" w:eastAsia="zh-CN"/>
                    </w:rPr>
                  </w:pPr>
                  <w:r>
                    <w:rPr>
                      <w:rFonts w:hint="eastAsia"/>
                      <w:color w:val="FF0000"/>
                      <w:highlight w:val="none"/>
                      <w:lang w:val="en-US" w:eastAsia="zh-CN"/>
                    </w:rPr>
                    <w:t>1）在施工现场周边设置硬质封闭围挡或者围墙，位于主要路段的，高度不低于2.5米，位于一般路段的，高度不低于1.8米，并在围挡底端设置不低于0.2米的防溢座；</w:t>
                  </w:r>
                </w:p>
                <w:p>
                  <w:pPr>
                    <w:pStyle w:val="32"/>
                    <w:bidi w:val="0"/>
                    <w:jc w:val="left"/>
                    <w:rPr>
                      <w:rFonts w:hint="eastAsia"/>
                      <w:color w:val="FF0000"/>
                      <w:highlight w:val="none"/>
                      <w:lang w:val="en-US" w:eastAsia="zh-CN"/>
                    </w:rPr>
                  </w:pPr>
                  <w:r>
                    <w:rPr>
                      <w:rFonts w:hint="eastAsia"/>
                      <w:color w:val="FF0000"/>
                      <w:highlight w:val="none"/>
                      <w:lang w:val="en-US" w:eastAsia="zh-CN"/>
                    </w:rPr>
                    <w:t>2）对施工现场出入口、场内施工道路、材料加工堆放区等进行硬化处理，裸露地面采取绿化、遮盖、喷洒抑尘剂等防尘措施；</w:t>
                  </w:r>
                </w:p>
                <w:p>
                  <w:pPr>
                    <w:pStyle w:val="32"/>
                    <w:bidi w:val="0"/>
                    <w:jc w:val="left"/>
                    <w:rPr>
                      <w:rFonts w:hint="eastAsia"/>
                      <w:color w:val="FF0000"/>
                      <w:highlight w:val="none"/>
                      <w:lang w:val="en-US" w:eastAsia="zh-CN"/>
                    </w:rPr>
                  </w:pPr>
                  <w:r>
                    <w:rPr>
                      <w:rFonts w:hint="eastAsia"/>
                      <w:color w:val="FF0000"/>
                      <w:highlight w:val="none"/>
                      <w:lang w:val="en-US" w:eastAsia="zh-CN"/>
                    </w:rPr>
                    <w:t>3）施工现场集中堆放的土方和裸露场地必须采取覆盖、固化等防尘措施，严禁裸露。遮盖块状物料的防尘网，网目密度不得少于800目/100平方厘米，遮盖粒状、粉状物料、裸露地面等的防尘网，网目密度不得少于2000目/100平方厘米，防尘网应保持完整无损；</w:t>
                  </w:r>
                </w:p>
                <w:p>
                  <w:pPr>
                    <w:pStyle w:val="32"/>
                    <w:bidi w:val="0"/>
                    <w:jc w:val="left"/>
                    <w:rPr>
                      <w:rFonts w:hint="eastAsia"/>
                      <w:color w:val="FF0000"/>
                      <w:highlight w:val="none"/>
                      <w:lang w:val="en-US" w:eastAsia="zh-CN"/>
                    </w:rPr>
                  </w:pPr>
                  <w:r>
                    <w:rPr>
                      <w:rFonts w:hint="eastAsia"/>
                      <w:color w:val="FF0000"/>
                      <w:highlight w:val="none"/>
                      <w:lang w:val="en-US" w:eastAsia="zh-CN"/>
                    </w:rPr>
                    <w:t>4）在施工现场出入口处设置车辆清洗设施并配套设置排水、泥浆沉淀设施，建立车辆冲洗制度并设专人管理，严禁车辆带泥上路，配备洒水设施，并由专人负责；重污染天气时，相应增加洒水频次；</w:t>
                  </w:r>
                </w:p>
                <w:p>
                  <w:pPr>
                    <w:pStyle w:val="32"/>
                    <w:bidi w:val="0"/>
                    <w:jc w:val="left"/>
                    <w:rPr>
                      <w:rFonts w:hint="eastAsia"/>
                      <w:color w:val="FF0000"/>
                      <w:highlight w:val="none"/>
                      <w:lang w:val="en-US" w:eastAsia="zh-CN"/>
                    </w:rPr>
                  </w:pPr>
                  <w:r>
                    <w:rPr>
                      <w:rFonts w:hint="eastAsia"/>
                      <w:color w:val="FF0000"/>
                      <w:highlight w:val="none"/>
                      <w:lang w:val="en-US" w:eastAsia="zh-CN"/>
                    </w:rPr>
                    <w:t>5）施工现场不设混凝土、砂浆搅拌站；</w:t>
                  </w:r>
                </w:p>
                <w:p>
                  <w:pPr>
                    <w:pStyle w:val="32"/>
                    <w:bidi w:val="0"/>
                    <w:jc w:val="left"/>
                    <w:rPr>
                      <w:rFonts w:hint="eastAsia"/>
                      <w:color w:val="FF0000"/>
                      <w:highlight w:val="none"/>
                      <w:lang w:val="en-US" w:eastAsia="zh-CN"/>
                    </w:rPr>
                  </w:pPr>
                  <w:r>
                    <w:rPr>
                      <w:rFonts w:hint="eastAsia"/>
                      <w:color w:val="FF0000"/>
                      <w:highlight w:val="none"/>
                      <w:lang w:val="en-US" w:eastAsia="zh-CN"/>
                    </w:rPr>
                    <w:t>6）拆除的建筑垃圾及时清运，不得扬撒；不能及时清运的，应当集中堆放并采取弥补或者遮盖等防尘措施。生活垃圾应用封闭式容器存放，日产日清，严禁随意丢弃；</w:t>
                  </w:r>
                </w:p>
                <w:p>
                  <w:pPr>
                    <w:pStyle w:val="32"/>
                    <w:bidi w:val="0"/>
                    <w:jc w:val="left"/>
                    <w:rPr>
                      <w:rFonts w:hint="eastAsia"/>
                      <w:color w:val="FF0000"/>
                      <w:highlight w:val="none"/>
                      <w:lang w:val="en-US" w:eastAsia="zh-CN"/>
                    </w:rPr>
                  </w:pPr>
                  <w:r>
                    <w:rPr>
                      <w:rFonts w:hint="eastAsia"/>
                      <w:color w:val="FF0000"/>
                      <w:highlight w:val="none"/>
                      <w:lang w:val="en-US" w:eastAsia="zh-CN"/>
                    </w:rPr>
                    <w:t>7）在施工工地同步安装视频监控设备和扬尘污染物在线监测设备，分别与建设主管部门、生态环境主管部门的监控设备联网，并保证系统正常运行，发生故障应当在二十四小时内修复。</w:t>
                  </w:r>
                </w:p>
                <w:p>
                  <w:pPr>
                    <w:pStyle w:val="32"/>
                    <w:bidi w:val="0"/>
                    <w:jc w:val="left"/>
                    <w:rPr>
                      <w:rFonts w:hint="eastAsia"/>
                      <w:color w:val="FF0000"/>
                      <w:highlight w:val="none"/>
                      <w:lang w:val="en-US" w:eastAsia="zh-CN"/>
                    </w:rPr>
                  </w:pPr>
                  <w:r>
                    <w:rPr>
                      <w:rFonts w:hint="eastAsia"/>
                      <w:color w:val="FF0000"/>
                      <w:highlight w:val="none"/>
                      <w:lang w:val="en-US" w:eastAsia="zh-CN"/>
                    </w:rPr>
                    <w:t>8）施工现场运送土方、渣土的车辆必须封闭或遮盖严密，严禁使用未办理相关手续的渣土等运输车辆，严禁沿路遗撒和随意倾倒。</w:t>
                  </w:r>
                </w:p>
                <w:p>
                  <w:pPr>
                    <w:pStyle w:val="32"/>
                    <w:bidi w:val="0"/>
                    <w:jc w:val="left"/>
                    <w:rPr>
                      <w:rFonts w:hint="eastAsia"/>
                      <w:color w:val="FF0000"/>
                      <w:highlight w:val="none"/>
                      <w:lang w:val="en-US" w:eastAsia="zh-CN"/>
                    </w:rPr>
                  </w:pPr>
                  <w:r>
                    <w:rPr>
                      <w:rFonts w:hint="eastAsia"/>
                      <w:color w:val="FF0000"/>
                      <w:highlight w:val="none"/>
                      <w:lang w:val="en-US" w:eastAsia="zh-CN"/>
                    </w:rPr>
                    <w:t>9）开挖作业过程中，四周应采取洒水、喷雾等降尘措施。可设置雾炮机，确保设施完好，随时投入使用。</w:t>
                  </w:r>
                </w:p>
                <w:p>
                  <w:pPr>
                    <w:pStyle w:val="32"/>
                    <w:bidi w:val="0"/>
                    <w:jc w:val="left"/>
                    <w:rPr>
                      <w:rFonts w:hint="eastAsia"/>
                      <w:color w:val="FF0000"/>
                      <w:highlight w:val="none"/>
                      <w:lang w:val="en-US" w:eastAsia="zh-CN"/>
                    </w:rPr>
                  </w:pPr>
                  <w:r>
                    <w:rPr>
                      <w:rFonts w:hint="eastAsia"/>
                      <w:color w:val="FF0000"/>
                      <w:highlight w:val="none"/>
                      <w:lang w:val="en-US" w:eastAsia="zh-CN"/>
                    </w:rPr>
                    <w:t>10）拆除、铣刨时，四周必须使用围挡封闭施工，并采取喷淋、洒水、喷淋等降尘措施，严禁敞开式拆除。</w:t>
                  </w:r>
                </w:p>
                <w:p>
                  <w:pPr>
                    <w:pStyle w:val="32"/>
                    <w:bidi w:val="0"/>
                    <w:jc w:val="left"/>
                    <w:rPr>
                      <w:rFonts w:hint="eastAsia"/>
                      <w:color w:val="FF0000"/>
                      <w:highlight w:val="none"/>
                      <w:lang w:val="en-US" w:eastAsia="zh-CN"/>
                    </w:rPr>
                  </w:pPr>
                  <w:r>
                    <w:rPr>
                      <w:rFonts w:hint="eastAsia"/>
                      <w:color w:val="FF0000"/>
                      <w:highlight w:val="none"/>
                      <w:lang w:val="en-US" w:eastAsia="zh-CN"/>
                    </w:rPr>
                    <w:t>11）遇有4级以上大风或重污染天气预警时，必须采取扬尘防治应急措施，严禁土方开挖、土方回填、材料切割、金属焊接或其他有可能产生扬尘的作业。</w:t>
                  </w:r>
                </w:p>
                <w:p>
                  <w:pPr>
                    <w:pStyle w:val="32"/>
                    <w:bidi w:val="0"/>
                    <w:jc w:val="left"/>
                    <w:rPr>
                      <w:rFonts w:hint="eastAsia"/>
                      <w:color w:val="FF0000"/>
                      <w:highlight w:val="none"/>
                      <w:lang w:val="en-US" w:eastAsia="zh-CN"/>
                    </w:rPr>
                  </w:pPr>
                  <w:r>
                    <w:rPr>
                      <w:rFonts w:hint="eastAsia"/>
                      <w:color w:val="FF0000"/>
                      <w:highlight w:val="none"/>
                      <w:lang w:val="en-US" w:eastAsia="zh-CN"/>
                    </w:rPr>
                    <w:t>12）土方施工应当合理控制土方开挖和存留时间，采取分段、分片开挖，作业面洒水、喷雾等防尘措施，已完成的作业面和未进行作业的裸露地面应当表面压实、遮盖防尘，堆放超过8小时不扰动的裸土应当进行遮盖；工程主体作业层使用密目式安全网进行封闭，并保持整洁、牢固、无破损；高空作业施工中，施工层建筑垃圾应采用封闭式管道运送或者装袋用垂直升降机械运送。</w:t>
                  </w:r>
                </w:p>
                <w:p>
                  <w:pPr>
                    <w:pStyle w:val="32"/>
                    <w:bidi w:val="0"/>
                    <w:jc w:val="left"/>
                    <w:rPr>
                      <w:rFonts w:hint="eastAsia"/>
                      <w:color w:val="auto"/>
                      <w:highlight w:val="none"/>
                      <w:lang w:val="en-US" w:eastAsia="zh-CN"/>
                    </w:rPr>
                  </w:pPr>
                  <w:r>
                    <w:rPr>
                      <w:rFonts w:hint="eastAsia"/>
                      <w:color w:val="auto"/>
                      <w:highlight w:val="none"/>
                      <w:lang w:val="en-US" w:eastAsia="zh-CN"/>
                    </w:rPr>
                    <w:t>13）本项目设置4个监测点数，每个标段宜设置1个监测点位，优先设置在线性工程每个标段所在区域主导风向下风向的施工场地边界。</w:t>
                  </w:r>
                </w:p>
                <w:p>
                  <w:pPr>
                    <w:pStyle w:val="32"/>
                    <w:bidi w:val="0"/>
                    <w:jc w:val="left"/>
                    <w:rPr>
                      <w:rFonts w:hint="eastAsia"/>
                      <w:color w:val="auto"/>
                      <w:highlight w:val="none"/>
                      <w:lang w:val="en-US" w:eastAsia="zh-CN"/>
                    </w:rPr>
                  </w:pPr>
                  <w:r>
                    <w:rPr>
                      <w:rFonts w:hint="eastAsia"/>
                      <w:color w:val="auto"/>
                      <w:highlight w:val="none"/>
                      <w:lang w:val="en-US" w:eastAsia="zh-CN"/>
                    </w:rPr>
                    <w:t>14）</w:t>
                  </w:r>
                  <w:r>
                    <w:rPr>
                      <w:rFonts w:hint="default"/>
                      <w:color w:val="auto"/>
                      <w:highlight w:val="none"/>
                      <w:lang w:val="en-US" w:eastAsia="zh-CN"/>
                    </w:rPr>
                    <w:t>本工程使用商品沥青混凝土，不设置沥青拌和站，不使用热沥青混凝土，使用乳化沥青混凝土，使用封闭式运输车辆和摊铺机</w:t>
                  </w:r>
                  <w:r>
                    <w:rPr>
                      <w:rFonts w:hint="eastAsia"/>
                      <w:color w:val="auto"/>
                      <w:highlight w:val="none"/>
                      <w:lang w:val="en-US" w:eastAsia="zh-CN"/>
                    </w:rPr>
                    <w:t>。</w:t>
                  </w:r>
                </w:p>
                <w:p>
                  <w:pPr>
                    <w:pStyle w:val="32"/>
                    <w:bidi w:val="0"/>
                    <w:jc w:val="left"/>
                    <w:rPr>
                      <w:rFonts w:hint="default"/>
                      <w:color w:val="auto"/>
                      <w:highlight w:val="none"/>
                      <w:lang w:val="en-US" w:eastAsia="zh-CN"/>
                    </w:rPr>
                  </w:pPr>
                  <w:r>
                    <w:rPr>
                      <w:rFonts w:hint="eastAsia"/>
                      <w:color w:val="auto"/>
                      <w:highlight w:val="none"/>
                      <w:lang w:val="en-US" w:eastAsia="zh-CN"/>
                    </w:rPr>
                    <w:t>15）焊接过程中配备移动式焊接烟尘净化器。</w:t>
                  </w:r>
                </w:p>
              </w:tc>
              <w:tc>
                <w:tcPr>
                  <w:tcW w:w="515" w:type="pct"/>
                  <w:tcBorders>
                    <w:tl2br w:val="nil"/>
                    <w:tr2bl w:val="nil"/>
                  </w:tcBorders>
                  <w:noWrap w:val="0"/>
                  <w:vAlign w:val="center"/>
                </w:tcPr>
                <w:p>
                  <w:pPr>
                    <w:pStyle w:val="32"/>
                    <w:bidi w:val="0"/>
                    <w:rPr>
                      <w:color w:val="auto"/>
                      <w:highlight w:val="none"/>
                      <w:lang w:val="zh-CN"/>
                    </w:rPr>
                  </w:pPr>
                  <w:r>
                    <w:rPr>
                      <w:rFonts w:hint="eastAsia"/>
                      <w:color w:val="auto"/>
                      <w:highlight w:val="none"/>
                    </w:rPr>
                    <w:t>3</w:t>
                  </w:r>
                  <w:r>
                    <w:rPr>
                      <w:color w:val="auto"/>
                      <w:highlight w:val="none"/>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tcBorders>
                    <w:tl2br w:val="nil"/>
                    <w:tr2bl w:val="nil"/>
                  </w:tcBorders>
                  <w:noWrap w:val="0"/>
                  <w:vAlign w:val="center"/>
                </w:tcPr>
                <w:p>
                  <w:pPr>
                    <w:pStyle w:val="32"/>
                    <w:bidi w:val="0"/>
                    <w:rPr>
                      <w:color w:val="auto"/>
                      <w:highlight w:val="none"/>
                      <w:lang w:val="zh-CN"/>
                    </w:rPr>
                  </w:pPr>
                  <w:r>
                    <w:rPr>
                      <w:color w:val="auto"/>
                      <w:highlight w:val="none"/>
                      <w:lang w:val="zh-CN"/>
                    </w:rPr>
                    <w:t>声环境</w:t>
                  </w:r>
                </w:p>
              </w:tc>
              <w:tc>
                <w:tcPr>
                  <w:tcW w:w="306" w:type="pct"/>
                  <w:tcBorders>
                    <w:tl2br w:val="nil"/>
                    <w:tr2bl w:val="nil"/>
                  </w:tcBorders>
                  <w:noWrap w:val="0"/>
                  <w:vAlign w:val="center"/>
                </w:tcPr>
                <w:p>
                  <w:pPr>
                    <w:pStyle w:val="32"/>
                    <w:bidi w:val="0"/>
                    <w:rPr>
                      <w:color w:val="auto"/>
                      <w:highlight w:val="none"/>
                      <w:lang w:val="zh-CN"/>
                    </w:rPr>
                  </w:pPr>
                  <w:r>
                    <w:rPr>
                      <w:color w:val="auto"/>
                      <w:highlight w:val="none"/>
                      <w:lang w:val="zh-CN"/>
                    </w:rPr>
                    <w:t>施工</w:t>
                  </w:r>
                </w:p>
                <w:p>
                  <w:pPr>
                    <w:pStyle w:val="32"/>
                    <w:bidi w:val="0"/>
                    <w:rPr>
                      <w:color w:val="auto"/>
                      <w:highlight w:val="none"/>
                      <w:lang w:val="zh-CN"/>
                    </w:rPr>
                  </w:pPr>
                  <w:r>
                    <w:rPr>
                      <w:color w:val="auto"/>
                      <w:highlight w:val="none"/>
                      <w:lang w:val="zh-CN"/>
                    </w:rPr>
                    <w:t>噪声</w:t>
                  </w:r>
                </w:p>
              </w:tc>
              <w:tc>
                <w:tcPr>
                  <w:tcW w:w="3587" w:type="pc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①合理安排施工计划和施工机械设备组合以及施工时间，避免同一时间集中使用大量的动力机械设备。施工单位严格执行《建筑施工场界环境噪声排放标准》（GB12523-2011）的要求，在施工过程中，尽量减少运行动力机械设备的数量，尽可能使动力机械设备比较均匀地使用。</w:t>
                  </w:r>
                </w:p>
                <w:p>
                  <w:pPr>
                    <w:pStyle w:val="32"/>
                    <w:bidi w:val="0"/>
                    <w:jc w:val="left"/>
                    <w:rPr>
                      <w:rFonts w:hint="eastAsia"/>
                      <w:color w:val="auto"/>
                      <w:highlight w:val="none"/>
                    </w:rPr>
                  </w:pPr>
                  <w:r>
                    <w:rPr>
                      <w:rFonts w:hint="eastAsia"/>
                      <w:color w:val="auto"/>
                      <w:highlight w:val="none"/>
                    </w:rPr>
                    <w:t>②选用低噪声机械设备，闲置的机械设备应该予以关闭或者减速；动力机械设备应定期检修、保养，以减少机械运行震动噪声。</w:t>
                  </w:r>
                </w:p>
                <w:p>
                  <w:pPr>
                    <w:pStyle w:val="32"/>
                    <w:bidi w:val="0"/>
                    <w:jc w:val="left"/>
                    <w:rPr>
                      <w:rFonts w:hint="eastAsia"/>
                      <w:color w:val="auto"/>
                      <w:highlight w:val="none"/>
                    </w:rPr>
                  </w:pPr>
                  <w:r>
                    <w:rPr>
                      <w:rFonts w:hint="eastAsia"/>
                      <w:color w:val="auto"/>
                      <w:highlight w:val="none"/>
                    </w:rPr>
                    <w:t>③在场界四周设置不低于2.5m高围挡。</w:t>
                  </w:r>
                </w:p>
                <w:p>
                  <w:pPr>
                    <w:pStyle w:val="32"/>
                    <w:bidi w:val="0"/>
                    <w:jc w:val="left"/>
                    <w:rPr>
                      <w:color w:val="auto"/>
                      <w:highlight w:val="none"/>
                      <w:lang w:val="zh-CN"/>
                    </w:rPr>
                  </w:pPr>
                  <w:r>
                    <w:rPr>
                      <w:rFonts w:hint="eastAsia"/>
                      <w:color w:val="auto"/>
                      <w:highlight w:val="none"/>
                    </w:rPr>
                    <w:t>④运载建筑材料及建筑垃圾的车辆选择合适的时间路线运输，运输车辆行驶路线应尽量避开沿途可能的居民点和环境敏感点。</w:t>
                  </w:r>
                </w:p>
              </w:tc>
              <w:tc>
                <w:tcPr>
                  <w:tcW w:w="515"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tcBorders>
                    <w:tl2br w:val="nil"/>
                    <w:tr2bl w:val="nil"/>
                  </w:tcBorders>
                  <w:noWrap w:val="0"/>
                  <w:vAlign w:val="center"/>
                </w:tcPr>
                <w:p>
                  <w:pPr>
                    <w:pStyle w:val="32"/>
                    <w:bidi w:val="0"/>
                    <w:rPr>
                      <w:color w:val="auto"/>
                      <w:highlight w:val="none"/>
                      <w:lang w:val="zh-CN"/>
                    </w:rPr>
                  </w:pPr>
                  <w:r>
                    <w:rPr>
                      <w:color w:val="auto"/>
                      <w:highlight w:val="none"/>
                      <w:lang w:val="zh-CN"/>
                    </w:rPr>
                    <w:t>水环境</w:t>
                  </w:r>
                </w:p>
              </w:tc>
              <w:tc>
                <w:tcPr>
                  <w:tcW w:w="306" w:type="pct"/>
                  <w:tcBorders>
                    <w:tl2br w:val="nil"/>
                    <w:tr2bl w:val="nil"/>
                  </w:tcBorders>
                  <w:noWrap w:val="0"/>
                  <w:vAlign w:val="center"/>
                </w:tcPr>
                <w:p>
                  <w:pPr>
                    <w:pStyle w:val="32"/>
                    <w:bidi w:val="0"/>
                    <w:rPr>
                      <w:color w:val="auto"/>
                      <w:highlight w:val="none"/>
                      <w:lang w:val="zh-CN"/>
                    </w:rPr>
                  </w:pPr>
                  <w:r>
                    <w:rPr>
                      <w:color w:val="auto"/>
                      <w:highlight w:val="none"/>
                      <w:lang w:val="zh-CN"/>
                    </w:rPr>
                    <w:t>施工</w:t>
                  </w:r>
                </w:p>
                <w:p>
                  <w:pPr>
                    <w:pStyle w:val="32"/>
                    <w:bidi w:val="0"/>
                    <w:rPr>
                      <w:color w:val="auto"/>
                      <w:highlight w:val="none"/>
                      <w:lang w:val="zh-CN"/>
                    </w:rPr>
                  </w:pPr>
                  <w:r>
                    <w:rPr>
                      <w:color w:val="auto"/>
                      <w:highlight w:val="none"/>
                      <w:lang w:val="zh-CN"/>
                    </w:rPr>
                    <w:t>废水</w:t>
                  </w:r>
                </w:p>
              </w:tc>
              <w:tc>
                <w:tcPr>
                  <w:tcW w:w="3587" w:type="pct"/>
                  <w:tcBorders>
                    <w:tl2br w:val="nil"/>
                    <w:tr2bl w:val="nil"/>
                  </w:tcBorders>
                  <w:noWrap w:val="0"/>
                  <w:vAlign w:val="center"/>
                </w:tcPr>
                <w:p>
                  <w:pPr>
                    <w:pStyle w:val="32"/>
                    <w:bidi w:val="0"/>
                    <w:jc w:val="left"/>
                    <w:rPr>
                      <w:rFonts w:hint="eastAsia"/>
                      <w:color w:val="auto"/>
                      <w:highlight w:val="none"/>
                      <w:lang w:val="en-US" w:eastAsia="zh-CN"/>
                    </w:rPr>
                  </w:pPr>
                  <w:r>
                    <w:rPr>
                      <w:rFonts w:hint="eastAsia"/>
                      <w:color w:val="auto"/>
                      <w:highlight w:val="none"/>
                      <w:lang w:val="en-US" w:eastAsia="zh-CN"/>
                    </w:rPr>
                    <w:t>1）项目避免在暴雨天施工，暴雨期应采取应急措施，尽量用覆盖物覆盖新挖的陡坡，防止冲刷和塌崩。</w:t>
                  </w:r>
                </w:p>
                <w:p>
                  <w:pPr>
                    <w:pStyle w:val="32"/>
                    <w:bidi w:val="0"/>
                    <w:jc w:val="left"/>
                    <w:rPr>
                      <w:rFonts w:hint="eastAsia"/>
                      <w:color w:val="auto"/>
                      <w:highlight w:val="none"/>
                      <w:lang w:val="en-US" w:eastAsia="zh-CN"/>
                    </w:rPr>
                  </w:pPr>
                  <w:r>
                    <w:rPr>
                      <w:rFonts w:hint="eastAsia"/>
                      <w:color w:val="auto"/>
                      <w:highlight w:val="none"/>
                      <w:lang w:val="en-US" w:eastAsia="zh-CN"/>
                    </w:rPr>
                    <w:t>2）开展施工场所的水环境保护教育，让施工人员理解水保护的重要性；加强施工管理和工程监理工作，防止发生水上交通安全事故；严格检查施工机械，防止油料泄漏污染水体。施工材料如油料等不宜露天堆放、远离河道；采取措施防止泥土和散体施工材料阻塞附近的市政管网。</w:t>
                  </w:r>
                </w:p>
                <w:p>
                  <w:pPr>
                    <w:pStyle w:val="32"/>
                    <w:bidi w:val="0"/>
                    <w:jc w:val="left"/>
                    <w:rPr>
                      <w:rFonts w:hint="eastAsia"/>
                      <w:color w:val="auto"/>
                      <w:highlight w:val="none"/>
                      <w:lang w:val="en-US" w:eastAsia="zh-CN"/>
                    </w:rPr>
                  </w:pPr>
                  <w:r>
                    <w:rPr>
                      <w:rFonts w:hint="eastAsia"/>
                      <w:color w:val="auto"/>
                      <w:highlight w:val="none"/>
                      <w:lang w:val="en-US" w:eastAsia="zh-CN"/>
                    </w:rPr>
                    <w:t>3）管道试压废水收集后泼洒地面抑尘，混凝土养护废水。</w:t>
                  </w:r>
                </w:p>
                <w:p>
                  <w:pPr>
                    <w:pStyle w:val="32"/>
                    <w:bidi w:val="0"/>
                    <w:jc w:val="left"/>
                    <w:rPr>
                      <w:color w:val="auto"/>
                      <w:highlight w:val="none"/>
                      <w:lang w:val="zh-CN"/>
                    </w:rPr>
                  </w:pPr>
                  <w:r>
                    <w:rPr>
                      <w:rFonts w:hint="eastAsia"/>
                      <w:color w:val="auto"/>
                      <w:highlight w:val="none"/>
                      <w:lang w:val="en-US" w:eastAsia="zh-CN"/>
                    </w:rPr>
                    <w:t>4）在施工场地出入口附近设置专门的车辆、机械冲洗区域，该区域地面设置硬化防渗地坪，同时在施工工地周围设置集水沟和沉淀池，废水沉淀处理后重复利用于场地洒水抑尘，不得随意排放。</w:t>
                  </w:r>
                </w:p>
              </w:tc>
              <w:tc>
                <w:tcPr>
                  <w:tcW w:w="515" w:type="pct"/>
                  <w:tcBorders>
                    <w:tl2br w:val="nil"/>
                    <w:tr2bl w:val="nil"/>
                  </w:tcBorders>
                  <w:noWrap w:val="0"/>
                  <w:vAlign w:val="center"/>
                </w:tcPr>
                <w:p>
                  <w:pPr>
                    <w:pStyle w:val="32"/>
                    <w:bidi w:val="0"/>
                    <w:rPr>
                      <w:rFonts w:hint="eastAsia" w:eastAsia="宋体"/>
                      <w:color w:val="auto"/>
                      <w:highlight w:val="none"/>
                      <w:lang w:val="zh-CN" w:eastAsia="zh-CN"/>
                    </w:rPr>
                  </w:pPr>
                  <w:r>
                    <w:rPr>
                      <w:rFonts w:hint="eastAsia"/>
                      <w:color w:val="auto"/>
                      <w:highlight w:val="no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tcBorders>
                    <w:tl2br w:val="nil"/>
                    <w:tr2bl w:val="nil"/>
                  </w:tcBorders>
                  <w:noWrap w:val="0"/>
                  <w:vAlign w:val="center"/>
                </w:tcPr>
                <w:p>
                  <w:pPr>
                    <w:pStyle w:val="32"/>
                    <w:bidi w:val="0"/>
                    <w:rPr>
                      <w:color w:val="auto"/>
                      <w:highlight w:val="none"/>
                      <w:lang w:val="zh-CN"/>
                    </w:rPr>
                  </w:pPr>
                  <w:r>
                    <w:rPr>
                      <w:color w:val="auto"/>
                      <w:highlight w:val="none"/>
                      <w:lang w:val="zh-CN"/>
                    </w:rPr>
                    <w:t>固废</w:t>
                  </w:r>
                </w:p>
              </w:tc>
              <w:tc>
                <w:tcPr>
                  <w:tcW w:w="306" w:type="pct"/>
                  <w:tcBorders>
                    <w:tl2br w:val="nil"/>
                    <w:tr2bl w:val="nil"/>
                  </w:tcBorders>
                  <w:noWrap w:val="0"/>
                  <w:vAlign w:val="center"/>
                </w:tcPr>
                <w:p>
                  <w:pPr>
                    <w:pStyle w:val="32"/>
                    <w:bidi w:val="0"/>
                    <w:rPr>
                      <w:color w:val="auto"/>
                      <w:highlight w:val="none"/>
                      <w:lang w:val="zh-CN"/>
                    </w:rPr>
                  </w:pPr>
                  <w:r>
                    <w:rPr>
                      <w:color w:val="auto"/>
                      <w:highlight w:val="none"/>
                      <w:lang w:val="zh-CN"/>
                    </w:rPr>
                    <w:t>建筑</w:t>
                  </w:r>
                </w:p>
                <w:p>
                  <w:pPr>
                    <w:pStyle w:val="32"/>
                    <w:bidi w:val="0"/>
                    <w:rPr>
                      <w:color w:val="auto"/>
                      <w:highlight w:val="none"/>
                      <w:lang w:val="zh-CN"/>
                    </w:rPr>
                  </w:pPr>
                  <w:r>
                    <w:rPr>
                      <w:color w:val="auto"/>
                      <w:highlight w:val="none"/>
                      <w:lang w:val="zh-CN"/>
                    </w:rPr>
                    <w:t>垃圾</w:t>
                  </w:r>
                </w:p>
              </w:tc>
              <w:tc>
                <w:tcPr>
                  <w:tcW w:w="3587" w:type="pc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①建筑垃圾：本项目施工过程中部分现有路面需进行破除而产生建筑垃圾，产生的建筑垃圾根据市政管理部门要求及时清理外运，外售相关单位回收利用。</w:t>
                  </w:r>
                </w:p>
                <w:p>
                  <w:pPr>
                    <w:pStyle w:val="32"/>
                    <w:bidi w:val="0"/>
                    <w:jc w:val="left"/>
                    <w:rPr>
                      <w:rFonts w:hint="eastAsia"/>
                      <w:color w:val="auto"/>
                      <w:highlight w:val="none"/>
                    </w:rPr>
                  </w:pPr>
                  <w:r>
                    <w:rPr>
                      <w:rFonts w:hint="eastAsia"/>
                      <w:color w:val="auto"/>
                      <w:highlight w:val="none"/>
                    </w:rPr>
                    <w:t>②弃土：本项目施工过程地表剥离的表土用于绿化种植覆土，其余挖出的土方部分用作地面平整的填方，剩余的土方由车辆运至临时堆土场暂存，运输过程中车辆进行苫盖，临时堆土场采用密目网苫盖，由施工方综合利用。</w:t>
                  </w:r>
                </w:p>
                <w:p>
                  <w:pPr>
                    <w:pStyle w:val="32"/>
                    <w:bidi w:val="0"/>
                    <w:jc w:val="left"/>
                    <w:rPr>
                      <w:color w:val="auto"/>
                      <w:highlight w:val="none"/>
                    </w:rPr>
                  </w:pPr>
                  <w:r>
                    <w:rPr>
                      <w:rFonts w:hint="eastAsia"/>
                      <w:color w:val="auto"/>
                      <w:highlight w:val="none"/>
                    </w:rPr>
                    <w:t>③施工生活垃圾处置：在施工人员集中地设置垃圾桶，指派专人定期将垃圾定时清运至当地垃圾处理场。</w:t>
                  </w:r>
                </w:p>
              </w:tc>
              <w:tc>
                <w:tcPr>
                  <w:tcW w:w="515" w:type="pct"/>
                  <w:tcBorders>
                    <w:tl2br w:val="nil"/>
                    <w:tr2bl w:val="nil"/>
                  </w:tcBorders>
                  <w:noWrap w:val="0"/>
                  <w:vAlign w:val="center"/>
                </w:tcPr>
                <w:p>
                  <w:pPr>
                    <w:pStyle w:val="32"/>
                    <w:bidi w:val="0"/>
                    <w:rPr>
                      <w:color w:val="auto"/>
                      <w:highlight w:val="none"/>
                      <w:lang w:val="zh-CN"/>
                    </w:rPr>
                  </w:pPr>
                  <w:r>
                    <w:rPr>
                      <w:color w:val="auto"/>
                      <w:highlight w:val="none"/>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tcBorders>
                    <w:tl2br w:val="nil"/>
                    <w:tr2bl w:val="nil"/>
                  </w:tcBorders>
                  <w:noWrap w:val="0"/>
                  <w:vAlign w:val="center"/>
                </w:tcPr>
                <w:p>
                  <w:pPr>
                    <w:pStyle w:val="32"/>
                    <w:bidi w:val="0"/>
                    <w:rPr>
                      <w:color w:val="auto"/>
                      <w:highlight w:val="none"/>
                      <w:lang w:val="zh-CN"/>
                    </w:rPr>
                  </w:pPr>
                  <w:r>
                    <w:rPr>
                      <w:rFonts w:hint="eastAsia"/>
                      <w:color w:val="auto"/>
                      <w:highlight w:val="none"/>
                      <w:lang w:val="zh-CN"/>
                    </w:rPr>
                    <w:t>生态</w:t>
                  </w:r>
                </w:p>
              </w:tc>
              <w:tc>
                <w:tcPr>
                  <w:tcW w:w="306" w:type="pct"/>
                  <w:tcBorders>
                    <w:tl2br w:val="nil"/>
                    <w:tr2bl w:val="nil"/>
                  </w:tcBorders>
                  <w:noWrap w:val="0"/>
                  <w:vAlign w:val="center"/>
                </w:tcPr>
                <w:p>
                  <w:pPr>
                    <w:pStyle w:val="32"/>
                    <w:bidi w:val="0"/>
                    <w:rPr>
                      <w:rFonts w:hint="eastAsia" w:eastAsia="宋体"/>
                      <w:color w:val="auto"/>
                      <w:highlight w:val="none"/>
                      <w:lang w:val="zh-CN" w:eastAsia="zh-CN"/>
                    </w:rPr>
                  </w:pPr>
                  <w:r>
                    <w:rPr>
                      <w:rFonts w:hint="eastAsia"/>
                      <w:color w:val="auto"/>
                      <w:highlight w:val="none"/>
                      <w:lang w:val="en-US" w:eastAsia="zh-CN"/>
                    </w:rPr>
                    <w:t>/</w:t>
                  </w:r>
                </w:p>
              </w:tc>
              <w:tc>
                <w:tcPr>
                  <w:tcW w:w="3587" w:type="pct"/>
                  <w:tcBorders>
                    <w:tl2br w:val="nil"/>
                    <w:tr2bl w:val="nil"/>
                  </w:tcBorders>
                  <w:noWrap w:val="0"/>
                  <w:vAlign w:val="center"/>
                </w:tcPr>
                <w:p>
                  <w:pPr>
                    <w:pStyle w:val="32"/>
                    <w:bidi w:val="0"/>
                    <w:jc w:val="left"/>
                    <w:rPr>
                      <w:rFonts w:hint="eastAsia"/>
                      <w:color w:val="auto"/>
                      <w:highlight w:val="none"/>
                    </w:rPr>
                  </w:pPr>
                  <w:r>
                    <w:rPr>
                      <w:rFonts w:hint="eastAsia"/>
                      <w:color w:val="auto"/>
                      <w:highlight w:val="none"/>
                    </w:rPr>
                    <w:t>施工期剥离表层土，暂存于临时堆放场地，使用苫布苫盖以防止水土流失，用于复原临时占地表层土恢复，不可随意丢弃。</w:t>
                  </w:r>
                </w:p>
              </w:tc>
              <w:tc>
                <w:tcPr>
                  <w:tcW w:w="515"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621" w:type="pct"/>
                  <w:gridSpan w:val="2"/>
                  <w:tcBorders>
                    <w:tl2br w:val="nil"/>
                    <w:tr2bl w:val="nil"/>
                  </w:tcBorders>
                  <w:noWrap w:val="0"/>
                  <w:vAlign w:val="center"/>
                </w:tcPr>
                <w:p>
                  <w:pPr>
                    <w:pStyle w:val="32"/>
                    <w:bidi w:val="0"/>
                    <w:rPr>
                      <w:color w:val="auto"/>
                      <w:highlight w:val="none"/>
                      <w:lang w:val="zh-CN"/>
                    </w:rPr>
                  </w:pPr>
                  <w:r>
                    <w:rPr>
                      <w:color w:val="auto"/>
                      <w:highlight w:val="none"/>
                      <w:lang w:val="zh-CN"/>
                    </w:rPr>
                    <w:t>环境管理及监测</w:t>
                  </w:r>
                </w:p>
              </w:tc>
              <w:tc>
                <w:tcPr>
                  <w:tcW w:w="3587" w:type="pct"/>
                  <w:tcBorders>
                    <w:tl2br w:val="nil"/>
                    <w:tr2bl w:val="nil"/>
                  </w:tcBorders>
                  <w:noWrap w:val="0"/>
                  <w:vAlign w:val="center"/>
                </w:tcPr>
                <w:p>
                  <w:pPr>
                    <w:pStyle w:val="32"/>
                    <w:bidi w:val="0"/>
                    <w:rPr>
                      <w:color w:val="auto"/>
                      <w:highlight w:val="none"/>
                    </w:rPr>
                  </w:pPr>
                  <w:r>
                    <w:rPr>
                      <w:color w:val="auto"/>
                      <w:highlight w:val="none"/>
                    </w:rPr>
                    <w:t>制定环境管理及监测计划</w:t>
                  </w:r>
                </w:p>
              </w:tc>
              <w:tc>
                <w:tcPr>
                  <w:tcW w:w="515" w:type="pct"/>
                  <w:tcBorders>
                    <w:tl2br w:val="nil"/>
                    <w:tr2bl w:val="nil"/>
                  </w:tcBorders>
                  <w:noWrap w:val="0"/>
                  <w:vAlign w:val="center"/>
                </w:tcPr>
                <w:p>
                  <w:pPr>
                    <w:pStyle w:val="32"/>
                    <w:bidi w:val="0"/>
                    <w:rPr>
                      <w:color w:val="auto"/>
                      <w:highlight w:val="none"/>
                    </w:rPr>
                  </w:pPr>
                  <w:r>
                    <w:rPr>
                      <w:color w:val="auto"/>
                      <w:highlight w:val="none"/>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restart"/>
                  <w:tcBorders>
                    <w:tl2br w:val="nil"/>
                    <w:tr2bl w:val="nil"/>
                  </w:tcBorders>
                  <w:noWrap w:val="0"/>
                  <w:vAlign w:val="center"/>
                </w:tcPr>
                <w:p>
                  <w:pPr>
                    <w:pStyle w:val="32"/>
                    <w:bidi w:val="0"/>
                    <w:rPr>
                      <w:color w:val="auto"/>
                      <w:highlight w:val="none"/>
                      <w:lang w:val="zh-CN"/>
                    </w:rPr>
                  </w:pPr>
                  <w:r>
                    <w:rPr>
                      <w:color w:val="auto"/>
                      <w:highlight w:val="none"/>
                      <w:lang w:val="zh-CN"/>
                    </w:rPr>
                    <w:t>营运期</w:t>
                  </w:r>
                </w:p>
              </w:tc>
              <w:tc>
                <w:tcPr>
                  <w:tcW w:w="314" w:type="pct"/>
                  <w:tcBorders>
                    <w:tl2br w:val="nil"/>
                    <w:tr2bl w:val="nil"/>
                  </w:tcBorders>
                  <w:noWrap w:val="0"/>
                  <w:vAlign w:val="center"/>
                </w:tcPr>
                <w:p>
                  <w:pPr>
                    <w:pStyle w:val="32"/>
                    <w:bidi w:val="0"/>
                    <w:rPr>
                      <w:color w:val="auto"/>
                      <w:highlight w:val="none"/>
                      <w:lang w:val="zh-CN"/>
                    </w:rPr>
                  </w:pPr>
                  <w:r>
                    <w:rPr>
                      <w:color w:val="auto"/>
                      <w:highlight w:val="none"/>
                    </w:rPr>
                    <w:t>声环境</w:t>
                  </w:r>
                </w:p>
              </w:tc>
              <w:tc>
                <w:tcPr>
                  <w:tcW w:w="306" w:type="pct"/>
                  <w:tcBorders>
                    <w:tl2br w:val="nil"/>
                    <w:tr2bl w:val="nil"/>
                  </w:tcBorders>
                  <w:noWrap w:val="0"/>
                  <w:vAlign w:val="center"/>
                </w:tcPr>
                <w:p>
                  <w:pPr>
                    <w:pStyle w:val="32"/>
                    <w:bidi w:val="0"/>
                    <w:rPr>
                      <w:color w:val="auto"/>
                      <w:highlight w:val="none"/>
                    </w:rPr>
                  </w:pPr>
                  <w:r>
                    <w:rPr>
                      <w:color w:val="auto"/>
                      <w:highlight w:val="none"/>
                    </w:rPr>
                    <w:t>交通</w:t>
                  </w:r>
                </w:p>
                <w:p>
                  <w:pPr>
                    <w:pStyle w:val="32"/>
                    <w:bidi w:val="0"/>
                    <w:rPr>
                      <w:color w:val="auto"/>
                      <w:highlight w:val="none"/>
                      <w:lang w:val="zh-CN"/>
                    </w:rPr>
                  </w:pPr>
                  <w:r>
                    <w:rPr>
                      <w:color w:val="auto"/>
                      <w:highlight w:val="none"/>
                    </w:rPr>
                    <w:t>噪声</w:t>
                  </w:r>
                </w:p>
              </w:tc>
              <w:tc>
                <w:tcPr>
                  <w:tcW w:w="3587" w:type="pct"/>
                  <w:tcBorders>
                    <w:tl2br w:val="nil"/>
                    <w:tr2bl w:val="nil"/>
                  </w:tcBorders>
                  <w:noWrap w:val="0"/>
                  <w:vAlign w:val="center"/>
                </w:tcPr>
                <w:p>
                  <w:pPr>
                    <w:pStyle w:val="32"/>
                    <w:bidi w:val="0"/>
                    <w:jc w:val="left"/>
                    <w:rPr>
                      <w:color w:val="auto"/>
                      <w:highlight w:val="none"/>
                    </w:rPr>
                  </w:pPr>
                  <w:r>
                    <w:rPr>
                      <w:rFonts w:hint="eastAsia"/>
                      <w:color w:val="auto"/>
                      <w:highlight w:val="none"/>
                    </w:rPr>
                    <w:t>完善道路警示标志，采取限速、减鸣、绿化带吸声降噪；对道路进行经常性维护，提高路面平整度，降低道路交通噪声</w:t>
                  </w:r>
                </w:p>
              </w:tc>
              <w:tc>
                <w:tcPr>
                  <w:tcW w:w="515"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tcBorders>
                    <w:tl2br w:val="nil"/>
                    <w:tr2bl w:val="nil"/>
                  </w:tcBorders>
                  <w:noWrap w:val="0"/>
                  <w:vAlign w:val="center"/>
                </w:tcPr>
                <w:p>
                  <w:pPr>
                    <w:pStyle w:val="32"/>
                    <w:bidi w:val="0"/>
                    <w:rPr>
                      <w:color w:val="auto"/>
                      <w:highlight w:val="none"/>
                      <w:lang w:val="zh-CN"/>
                    </w:rPr>
                  </w:pPr>
                  <w:r>
                    <w:rPr>
                      <w:color w:val="auto"/>
                      <w:highlight w:val="none"/>
                    </w:rPr>
                    <w:t>废水</w:t>
                  </w:r>
                </w:p>
              </w:tc>
              <w:tc>
                <w:tcPr>
                  <w:tcW w:w="306" w:type="pct"/>
                  <w:tcBorders>
                    <w:tl2br w:val="nil"/>
                    <w:tr2bl w:val="nil"/>
                  </w:tcBorders>
                  <w:noWrap w:val="0"/>
                  <w:vAlign w:val="center"/>
                </w:tcPr>
                <w:p>
                  <w:pPr>
                    <w:pStyle w:val="32"/>
                    <w:bidi w:val="0"/>
                    <w:rPr>
                      <w:color w:val="auto"/>
                      <w:highlight w:val="none"/>
                      <w:lang w:val="zh-CN"/>
                    </w:rPr>
                  </w:pPr>
                  <w:r>
                    <w:rPr>
                      <w:color w:val="auto"/>
                      <w:highlight w:val="none"/>
                    </w:rPr>
                    <w:t>COD、SS</w:t>
                  </w:r>
                </w:p>
              </w:tc>
              <w:tc>
                <w:tcPr>
                  <w:tcW w:w="3587" w:type="pct"/>
                  <w:tcBorders>
                    <w:tl2br w:val="nil"/>
                    <w:tr2bl w:val="nil"/>
                  </w:tcBorders>
                  <w:noWrap w:val="0"/>
                  <w:vAlign w:val="center"/>
                </w:tcPr>
                <w:p>
                  <w:pPr>
                    <w:pStyle w:val="32"/>
                    <w:bidi w:val="0"/>
                    <w:jc w:val="left"/>
                    <w:rPr>
                      <w:color w:val="auto"/>
                      <w:highlight w:val="none"/>
                    </w:rPr>
                  </w:pPr>
                  <w:r>
                    <w:rPr>
                      <w:rFonts w:hint="eastAsia"/>
                      <w:color w:val="auto"/>
                      <w:highlight w:val="none"/>
                    </w:rPr>
                    <w:t>本项目采用土边沟排水形式，排水流向维持现状。路面排水采用分散漫流方式，一般路段通过路拱横坡及拦水带汇入两侧急流槽后汇入梯形土边沟，桥面排水设置泄水孔并通过纵向连接引流至桥头外侧，不会对水体造成污染。</w:t>
                  </w:r>
                </w:p>
              </w:tc>
              <w:tc>
                <w:tcPr>
                  <w:tcW w:w="515" w:type="pct"/>
                  <w:tcBorders>
                    <w:tl2br w:val="nil"/>
                    <w:tr2bl w:val="nil"/>
                  </w:tcBorders>
                  <w:noWrap w:val="0"/>
                  <w:vAlign w:val="center"/>
                </w:tcPr>
                <w:p>
                  <w:pPr>
                    <w:pStyle w:val="32"/>
                    <w:bidi w:val="0"/>
                    <w:rPr>
                      <w:color w:val="auto"/>
                      <w:highlight w:val="none"/>
                      <w:lang w:val="zh-CN"/>
                    </w:rPr>
                  </w:pPr>
                  <w:r>
                    <w:rPr>
                      <w:color w:val="auto"/>
                      <w:highlight w:val="none"/>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tcBorders>
                    <w:tl2br w:val="nil"/>
                    <w:tr2bl w:val="nil"/>
                  </w:tcBorders>
                  <w:noWrap w:val="0"/>
                  <w:vAlign w:val="center"/>
                </w:tcPr>
                <w:p>
                  <w:pPr>
                    <w:pStyle w:val="32"/>
                    <w:bidi w:val="0"/>
                    <w:rPr>
                      <w:rFonts w:hint="eastAsia" w:eastAsia="宋体"/>
                      <w:color w:val="FF0000"/>
                      <w:highlight w:val="none"/>
                      <w:lang w:eastAsia="zh-CN"/>
                    </w:rPr>
                  </w:pPr>
                  <w:r>
                    <w:rPr>
                      <w:rFonts w:hint="eastAsia"/>
                      <w:color w:val="FF0000"/>
                      <w:highlight w:val="none"/>
                      <w:lang w:eastAsia="zh-CN"/>
                    </w:rPr>
                    <w:t>噪声</w:t>
                  </w:r>
                </w:p>
              </w:tc>
              <w:tc>
                <w:tcPr>
                  <w:tcW w:w="306" w:type="pct"/>
                  <w:tcBorders>
                    <w:tl2br w:val="nil"/>
                    <w:tr2bl w:val="nil"/>
                  </w:tcBorders>
                  <w:noWrap w:val="0"/>
                  <w:vAlign w:val="center"/>
                </w:tcPr>
                <w:p>
                  <w:pPr>
                    <w:pStyle w:val="32"/>
                    <w:bidi w:val="0"/>
                    <w:rPr>
                      <w:rFonts w:hint="eastAsia" w:eastAsia="宋体"/>
                      <w:color w:val="FF0000"/>
                      <w:highlight w:val="none"/>
                      <w:lang w:eastAsia="zh-CN"/>
                    </w:rPr>
                  </w:pPr>
                  <w:r>
                    <w:rPr>
                      <w:rFonts w:hint="eastAsia"/>
                      <w:color w:val="FF0000"/>
                      <w:highlight w:val="none"/>
                      <w:lang w:eastAsia="zh-CN"/>
                    </w:rPr>
                    <w:t>车辆噪声</w:t>
                  </w:r>
                </w:p>
              </w:tc>
              <w:tc>
                <w:tcPr>
                  <w:tcW w:w="3587" w:type="pct"/>
                  <w:tcBorders>
                    <w:tl2br w:val="nil"/>
                    <w:tr2bl w:val="nil"/>
                  </w:tcBorders>
                  <w:noWrap w:val="0"/>
                  <w:vAlign w:val="center"/>
                </w:tcPr>
                <w:p>
                  <w:pPr>
                    <w:pStyle w:val="32"/>
                    <w:bidi w:val="0"/>
                    <w:jc w:val="left"/>
                    <w:rPr>
                      <w:rFonts w:hint="eastAsia"/>
                      <w:color w:val="FF0000"/>
                      <w:highlight w:val="none"/>
                    </w:rPr>
                  </w:pPr>
                  <w:r>
                    <w:rPr>
                      <w:rFonts w:hint="eastAsia"/>
                      <w:color w:val="FF0000"/>
                      <w:highlight w:val="none"/>
                    </w:rPr>
                    <w:t>设置减速禁鸣标志牌等</w:t>
                  </w:r>
                </w:p>
              </w:tc>
              <w:tc>
                <w:tcPr>
                  <w:tcW w:w="515" w:type="pct"/>
                  <w:tcBorders>
                    <w:tl2br w:val="nil"/>
                    <w:tr2bl w:val="nil"/>
                  </w:tcBorders>
                  <w:noWrap w:val="0"/>
                  <w:vAlign w:val="center"/>
                </w:tcPr>
                <w:p>
                  <w:pPr>
                    <w:pStyle w:val="32"/>
                    <w:bidi w:val="0"/>
                    <w:rPr>
                      <w:rFonts w:hint="eastAsia" w:eastAsia="宋体"/>
                      <w:color w:val="FF0000"/>
                      <w:highlight w:val="none"/>
                      <w:lang w:val="en-US" w:eastAsia="zh-CN"/>
                    </w:rPr>
                  </w:pPr>
                  <w:r>
                    <w:rPr>
                      <w:rFonts w:hint="eastAsia"/>
                      <w:color w:val="FF0000"/>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vMerge w:val="restart"/>
                  <w:tcBorders>
                    <w:tl2br w:val="nil"/>
                    <w:tr2bl w:val="nil"/>
                  </w:tcBorders>
                  <w:noWrap w:val="0"/>
                  <w:vAlign w:val="center"/>
                </w:tcPr>
                <w:p>
                  <w:pPr>
                    <w:pStyle w:val="32"/>
                    <w:bidi w:val="0"/>
                    <w:rPr>
                      <w:color w:val="auto"/>
                      <w:highlight w:val="none"/>
                      <w:lang w:val="zh-CN"/>
                    </w:rPr>
                  </w:pPr>
                  <w:r>
                    <w:rPr>
                      <w:color w:val="auto"/>
                      <w:highlight w:val="none"/>
                    </w:rPr>
                    <w:t>固体废物</w:t>
                  </w:r>
                </w:p>
              </w:tc>
              <w:tc>
                <w:tcPr>
                  <w:tcW w:w="306" w:type="pct"/>
                  <w:tcBorders>
                    <w:tl2br w:val="nil"/>
                    <w:tr2bl w:val="nil"/>
                  </w:tcBorders>
                  <w:noWrap w:val="0"/>
                  <w:vAlign w:val="center"/>
                </w:tcPr>
                <w:p>
                  <w:pPr>
                    <w:pStyle w:val="32"/>
                    <w:bidi w:val="0"/>
                    <w:rPr>
                      <w:color w:val="auto"/>
                      <w:highlight w:val="none"/>
                      <w:lang w:val="zh-CN"/>
                    </w:rPr>
                  </w:pPr>
                  <w:r>
                    <w:rPr>
                      <w:color w:val="auto"/>
                      <w:highlight w:val="none"/>
                      <w:lang w:val="zh-CN"/>
                    </w:rPr>
                    <w:t>零星筑路废料</w:t>
                  </w:r>
                </w:p>
              </w:tc>
              <w:tc>
                <w:tcPr>
                  <w:tcW w:w="3587" w:type="pct"/>
                  <w:tcBorders>
                    <w:tl2br w:val="nil"/>
                    <w:tr2bl w:val="nil"/>
                  </w:tcBorders>
                  <w:noWrap w:val="0"/>
                  <w:vAlign w:val="center"/>
                </w:tcPr>
                <w:p>
                  <w:pPr>
                    <w:pStyle w:val="32"/>
                    <w:bidi w:val="0"/>
                    <w:jc w:val="left"/>
                    <w:rPr>
                      <w:color w:val="auto"/>
                      <w:highlight w:val="none"/>
                    </w:rPr>
                  </w:pPr>
                  <w:r>
                    <w:rPr>
                      <w:color w:val="auto"/>
                      <w:highlight w:val="none"/>
                    </w:rPr>
                    <w:t>送入环卫部门统一处理</w:t>
                  </w:r>
                </w:p>
              </w:tc>
              <w:tc>
                <w:tcPr>
                  <w:tcW w:w="515" w:type="pct"/>
                  <w:tcBorders>
                    <w:tl2br w:val="nil"/>
                    <w:tr2bl w:val="nil"/>
                  </w:tcBorders>
                  <w:noWrap w:val="0"/>
                  <w:vAlign w:val="center"/>
                </w:tcPr>
                <w:p>
                  <w:pPr>
                    <w:pStyle w:val="32"/>
                    <w:bidi w:val="0"/>
                    <w:rPr>
                      <w:color w:val="auto"/>
                      <w:highlight w:val="none"/>
                    </w:rPr>
                  </w:pPr>
                  <w:r>
                    <w:rPr>
                      <w:rFonts w:hint="eastAsia"/>
                      <w:color w:val="auto"/>
                      <w:highlight w:val="none"/>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vMerge w:val="continue"/>
                  <w:tcBorders>
                    <w:tl2br w:val="nil"/>
                    <w:tr2bl w:val="nil"/>
                  </w:tcBorders>
                  <w:noWrap w:val="0"/>
                  <w:vAlign w:val="center"/>
                </w:tcPr>
                <w:p>
                  <w:pPr>
                    <w:pStyle w:val="32"/>
                    <w:bidi w:val="0"/>
                    <w:rPr>
                      <w:color w:val="auto"/>
                      <w:highlight w:val="none"/>
                    </w:rPr>
                  </w:pPr>
                </w:p>
              </w:tc>
              <w:tc>
                <w:tcPr>
                  <w:tcW w:w="306" w:type="pct"/>
                  <w:tcBorders>
                    <w:tl2br w:val="nil"/>
                    <w:tr2bl w:val="nil"/>
                  </w:tcBorders>
                  <w:noWrap w:val="0"/>
                  <w:vAlign w:val="center"/>
                </w:tcPr>
                <w:p>
                  <w:pPr>
                    <w:pStyle w:val="32"/>
                    <w:bidi w:val="0"/>
                    <w:rPr>
                      <w:color w:val="auto"/>
                      <w:highlight w:val="none"/>
                      <w:lang w:val="zh-CN"/>
                    </w:rPr>
                  </w:pPr>
                  <w:r>
                    <w:rPr>
                      <w:color w:val="auto"/>
                      <w:highlight w:val="none"/>
                    </w:rPr>
                    <w:t>生活垃圾</w:t>
                  </w:r>
                </w:p>
              </w:tc>
              <w:tc>
                <w:tcPr>
                  <w:tcW w:w="3587" w:type="pct"/>
                  <w:tcBorders>
                    <w:tl2br w:val="nil"/>
                    <w:tr2bl w:val="nil"/>
                  </w:tcBorders>
                  <w:noWrap w:val="0"/>
                  <w:vAlign w:val="center"/>
                </w:tcPr>
                <w:p>
                  <w:pPr>
                    <w:pStyle w:val="32"/>
                    <w:bidi w:val="0"/>
                    <w:jc w:val="left"/>
                    <w:rPr>
                      <w:color w:val="auto"/>
                      <w:highlight w:val="none"/>
                    </w:rPr>
                  </w:pPr>
                  <w:r>
                    <w:rPr>
                      <w:color w:val="auto"/>
                      <w:highlight w:val="none"/>
                    </w:rPr>
                    <w:t>车辆与行人产生的</w:t>
                  </w:r>
                  <w:r>
                    <w:rPr>
                      <w:rFonts w:hint="eastAsia"/>
                      <w:color w:val="auto"/>
                      <w:highlight w:val="none"/>
                      <w:lang w:eastAsia="zh-CN"/>
                    </w:rPr>
                    <w:t>生活垃圾</w:t>
                  </w:r>
                  <w:r>
                    <w:rPr>
                      <w:color w:val="auto"/>
                      <w:highlight w:val="none"/>
                    </w:rPr>
                    <w:t>由环卫工人收集后送入环卫部门统一处理。</w:t>
                  </w:r>
                </w:p>
              </w:tc>
              <w:tc>
                <w:tcPr>
                  <w:tcW w:w="515" w:type="pct"/>
                  <w:tcBorders>
                    <w:tl2br w:val="nil"/>
                    <w:tr2bl w:val="nil"/>
                  </w:tcBorders>
                  <w:noWrap w:val="0"/>
                  <w:vAlign w:val="center"/>
                </w:tcPr>
                <w:p>
                  <w:pPr>
                    <w:pStyle w:val="32"/>
                    <w:bidi w:val="0"/>
                    <w:rPr>
                      <w:rFonts w:hint="eastAsia" w:eastAsia="宋体"/>
                      <w:color w:val="auto"/>
                      <w:highlight w:val="none"/>
                      <w:lang w:eastAsia="zh-CN"/>
                    </w:rPr>
                  </w:pPr>
                  <w:r>
                    <w:rPr>
                      <w:rFonts w:hint="eastAsia"/>
                      <w:color w:val="FF0000"/>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vMerge w:val="continue"/>
                  <w:tcBorders>
                    <w:tl2br w:val="nil"/>
                    <w:tr2bl w:val="nil"/>
                  </w:tcBorders>
                  <w:noWrap w:val="0"/>
                  <w:vAlign w:val="center"/>
                </w:tcPr>
                <w:p>
                  <w:pPr>
                    <w:pStyle w:val="32"/>
                    <w:bidi w:val="0"/>
                    <w:rPr>
                      <w:color w:val="auto"/>
                      <w:highlight w:val="none"/>
                      <w:lang w:val="zh-CN"/>
                    </w:rPr>
                  </w:pPr>
                </w:p>
              </w:tc>
              <w:tc>
                <w:tcPr>
                  <w:tcW w:w="314" w:type="pct"/>
                  <w:tcBorders>
                    <w:tl2br w:val="nil"/>
                    <w:tr2bl w:val="nil"/>
                  </w:tcBorders>
                  <w:noWrap w:val="0"/>
                  <w:vAlign w:val="center"/>
                </w:tcPr>
                <w:p>
                  <w:pPr>
                    <w:pStyle w:val="32"/>
                    <w:bidi w:val="0"/>
                    <w:rPr>
                      <w:color w:val="auto"/>
                      <w:highlight w:val="none"/>
                      <w:lang w:val="zh-CN"/>
                    </w:rPr>
                  </w:pPr>
                  <w:r>
                    <w:rPr>
                      <w:color w:val="auto"/>
                      <w:highlight w:val="none"/>
                    </w:rPr>
                    <w:t>风险</w:t>
                  </w:r>
                </w:p>
              </w:tc>
              <w:tc>
                <w:tcPr>
                  <w:tcW w:w="306" w:type="pct"/>
                  <w:tcBorders>
                    <w:tl2br w:val="nil"/>
                    <w:tr2bl w:val="nil"/>
                  </w:tcBorders>
                  <w:noWrap w:val="0"/>
                  <w:vAlign w:val="center"/>
                </w:tcPr>
                <w:p>
                  <w:pPr>
                    <w:pStyle w:val="32"/>
                    <w:bidi w:val="0"/>
                    <w:rPr>
                      <w:color w:val="auto"/>
                      <w:highlight w:val="none"/>
                    </w:rPr>
                  </w:pPr>
                  <w:r>
                    <w:rPr>
                      <w:color w:val="auto"/>
                      <w:highlight w:val="none"/>
                    </w:rPr>
                    <w:t>风险</w:t>
                  </w:r>
                </w:p>
                <w:p>
                  <w:pPr>
                    <w:pStyle w:val="32"/>
                    <w:bidi w:val="0"/>
                    <w:rPr>
                      <w:color w:val="auto"/>
                      <w:highlight w:val="none"/>
                      <w:lang w:val="zh-CN"/>
                    </w:rPr>
                  </w:pPr>
                  <w:r>
                    <w:rPr>
                      <w:color w:val="auto"/>
                      <w:highlight w:val="none"/>
                    </w:rPr>
                    <w:t>物质</w:t>
                  </w:r>
                </w:p>
              </w:tc>
              <w:tc>
                <w:tcPr>
                  <w:tcW w:w="3587" w:type="pct"/>
                  <w:tcBorders>
                    <w:tl2br w:val="nil"/>
                    <w:tr2bl w:val="nil"/>
                  </w:tcBorders>
                  <w:noWrap w:val="0"/>
                  <w:vAlign w:val="center"/>
                </w:tcPr>
                <w:p>
                  <w:pPr>
                    <w:pStyle w:val="32"/>
                    <w:bidi w:val="0"/>
                    <w:jc w:val="left"/>
                    <w:rPr>
                      <w:color w:val="auto"/>
                      <w:highlight w:val="none"/>
                    </w:rPr>
                  </w:pPr>
                  <w:r>
                    <w:rPr>
                      <w:rFonts w:hint="eastAsia"/>
                      <w:color w:val="auto"/>
                      <w:highlight w:val="none"/>
                      <w:lang w:eastAsia="zh-CN"/>
                    </w:rPr>
                    <w:t>设置交通监控系统，</w:t>
                  </w:r>
                  <w:r>
                    <w:rPr>
                      <w:rFonts w:hint="eastAsia"/>
                      <w:color w:val="auto"/>
                      <w:highlight w:val="none"/>
                    </w:rPr>
                    <w:t>在驶入桥头入口处设置醒目标志牌和危险标志，提醒车辆安全行驶，桥上设置加强型防撞护栏</w:t>
                  </w:r>
                  <w:r>
                    <w:rPr>
                      <w:rFonts w:hint="eastAsia"/>
                      <w:color w:val="auto"/>
                      <w:highlight w:val="none"/>
                      <w:lang w:eastAsia="zh-CN"/>
                    </w:rPr>
                    <w:t>。交通、公安、环保部门、市政制定应急预案，改善和提高相应的装备水平。</w:t>
                  </w:r>
                </w:p>
              </w:tc>
              <w:tc>
                <w:tcPr>
                  <w:tcW w:w="515" w:type="pct"/>
                  <w:tcBorders>
                    <w:tl2br w:val="nil"/>
                    <w:tr2bl w:val="nil"/>
                  </w:tcBorders>
                  <w:noWrap w:val="0"/>
                  <w:vAlign w:val="center"/>
                </w:tcPr>
                <w:p>
                  <w:pPr>
                    <w:pStyle w:val="32"/>
                    <w:bidi w:val="0"/>
                    <w:rPr>
                      <w:rFonts w:hint="eastAsia" w:eastAsia="宋体"/>
                      <w:color w:val="auto"/>
                      <w:highlight w:val="none"/>
                      <w:lang w:val="zh-CN" w:eastAsia="zh-CN"/>
                    </w:rPr>
                  </w:pPr>
                  <w:r>
                    <w:rPr>
                      <w:rFonts w:hint="eastAsia"/>
                      <w:color w:val="auto"/>
                      <w:highlight w:val="none"/>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275" w:type="pct"/>
                  <w:tcBorders>
                    <w:tl2br w:val="nil"/>
                    <w:tr2bl w:val="nil"/>
                  </w:tcBorders>
                  <w:noWrap w:val="0"/>
                  <w:vAlign w:val="center"/>
                </w:tcPr>
                <w:p>
                  <w:pPr>
                    <w:pStyle w:val="32"/>
                    <w:bidi w:val="0"/>
                    <w:rPr>
                      <w:color w:val="auto"/>
                      <w:highlight w:val="none"/>
                      <w:lang w:val="zh-CN"/>
                    </w:rPr>
                  </w:pPr>
                  <w:r>
                    <w:rPr>
                      <w:color w:val="auto"/>
                      <w:highlight w:val="none"/>
                      <w:lang w:val="zh-CN"/>
                    </w:rPr>
                    <w:t>合计</w:t>
                  </w:r>
                </w:p>
              </w:tc>
              <w:tc>
                <w:tcPr>
                  <w:tcW w:w="4208" w:type="pct"/>
                  <w:gridSpan w:val="3"/>
                  <w:tcBorders>
                    <w:tl2br w:val="nil"/>
                    <w:tr2bl w:val="nil"/>
                  </w:tcBorders>
                  <w:noWrap w:val="0"/>
                  <w:vAlign w:val="center"/>
                </w:tcPr>
                <w:p>
                  <w:pPr>
                    <w:pStyle w:val="32"/>
                    <w:bidi w:val="0"/>
                    <w:rPr>
                      <w:color w:val="auto"/>
                      <w:highlight w:val="none"/>
                    </w:rPr>
                  </w:pPr>
                  <w:bookmarkStart w:id="54" w:name="_Toc154657672"/>
                  <w:bookmarkStart w:id="55" w:name="_Toc153863455"/>
                  <w:bookmarkStart w:id="56" w:name="_Toc154202048"/>
                  <w:bookmarkStart w:id="57" w:name="_Toc154385588"/>
                  <w:bookmarkStart w:id="58" w:name="_Toc153863818"/>
                  <w:r>
                    <w:rPr>
                      <w:color w:val="auto"/>
                      <w:highlight w:val="none"/>
                    </w:rPr>
                    <w:t>环保投资</w:t>
                  </w:r>
                  <w:r>
                    <w:rPr>
                      <w:rFonts w:hint="eastAsia"/>
                      <w:color w:val="auto"/>
                      <w:highlight w:val="none"/>
                    </w:rPr>
                    <w:t>6</w:t>
                  </w:r>
                  <w:r>
                    <w:rPr>
                      <w:rFonts w:hint="eastAsia"/>
                      <w:color w:val="auto"/>
                      <w:highlight w:val="none"/>
                      <w:lang w:val="en-US" w:eastAsia="zh-CN"/>
                    </w:rPr>
                    <w:t>4</w:t>
                  </w:r>
                  <w:r>
                    <w:rPr>
                      <w:color w:val="auto"/>
                      <w:highlight w:val="none"/>
                    </w:rPr>
                    <w:t>万元，占总投资的</w:t>
                  </w:r>
                  <w:bookmarkEnd w:id="54"/>
                  <w:bookmarkEnd w:id="55"/>
                  <w:bookmarkEnd w:id="56"/>
                  <w:bookmarkEnd w:id="57"/>
                  <w:bookmarkEnd w:id="58"/>
                  <w:r>
                    <w:rPr>
                      <w:color w:val="auto"/>
                      <w:highlight w:val="none"/>
                    </w:rPr>
                    <w:t>0.</w:t>
                  </w:r>
                  <w:r>
                    <w:rPr>
                      <w:rFonts w:hint="eastAsia"/>
                      <w:color w:val="auto"/>
                      <w:highlight w:val="none"/>
                      <w:lang w:val="en-US" w:eastAsia="zh-CN"/>
                    </w:rPr>
                    <w:t>43</w:t>
                  </w:r>
                  <w:r>
                    <w:rPr>
                      <w:color w:val="auto"/>
                      <w:highlight w:val="none"/>
                    </w:rPr>
                    <w:t>%</w:t>
                  </w:r>
                </w:p>
              </w:tc>
              <w:tc>
                <w:tcPr>
                  <w:tcW w:w="515" w:type="pct"/>
                  <w:tcBorders>
                    <w:tl2br w:val="nil"/>
                    <w:tr2bl w:val="nil"/>
                  </w:tcBorders>
                  <w:noWrap w:val="0"/>
                  <w:vAlign w:val="center"/>
                </w:tcPr>
                <w:p>
                  <w:pPr>
                    <w:pStyle w:val="32"/>
                    <w:bidi w:val="0"/>
                    <w:rPr>
                      <w:rFonts w:hint="default" w:eastAsia="宋体"/>
                      <w:color w:val="auto"/>
                      <w:highlight w:val="none"/>
                      <w:lang w:val="en-US" w:eastAsia="zh-CN"/>
                    </w:rPr>
                  </w:pPr>
                  <w:r>
                    <w:rPr>
                      <w:rFonts w:hint="eastAsia"/>
                      <w:color w:val="auto"/>
                      <w:highlight w:val="none"/>
                      <w:lang w:val="en-US" w:eastAsia="zh-CN"/>
                    </w:rPr>
                    <w:t>64</w:t>
                  </w:r>
                </w:p>
              </w:tc>
            </w:tr>
          </w:tbl>
          <w:p>
            <w:pPr>
              <w:pStyle w:val="4"/>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tc>
      </w:tr>
    </w:tbl>
    <w:p>
      <w:pPr>
        <w:rPr>
          <w:color w:val="auto"/>
          <w:highlight w:val="none"/>
        </w:rPr>
        <w:sectPr>
          <w:pgSz w:w="11905" w:h="16838"/>
          <w:pgMar w:top="1701" w:right="1531" w:bottom="1701" w:left="1531" w:header="851" w:footer="1077" w:gutter="0"/>
          <w:pgBorders w:offsetFrom="page">
            <w:top w:val="none" w:sz="0" w:space="0"/>
            <w:left w:val="none" w:sz="0" w:space="0"/>
            <w:bottom w:val="none" w:sz="0" w:space="0"/>
            <w:right w:val="none" w:sz="0" w:space="0"/>
          </w:pgBorders>
          <w:pgNumType w:fmt="decimal"/>
          <w:cols w:space="720" w:num="1"/>
          <w:rtlGutter w:val="0"/>
          <w:docGrid w:type="linesAndChars" w:linePitch="312" w:charSpace="-205"/>
        </w:sectPr>
      </w:pPr>
    </w:p>
    <w:p>
      <w:pPr>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240" w:lineRule="auto"/>
        <w:jc w:val="center"/>
        <w:textAlignment w:val="auto"/>
        <w:outlineLvl w:val="0"/>
        <w:rPr>
          <w:rFonts w:ascii="Times New Roman" w:hAnsi="Times New Roman" w:eastAsia="黑体" w:cs="Times New Roman"/>
          <w:snapToGrid w:val="0"/>
          <w:color w:val="auto"/>
          <w:sz w:val="30"/>
          <w:szCs w:val="30"/>
          <w:highlight w:val="none"/>
        </w:rPr>
      </w:pPr>
      <w:r>
        <w:rPr>
          <w:rFonts w:ascii="Times New Roman" w:hAnsi="Times New Roman" w:eastAsia="黑体" w:cs="Times New Roman"/>
          <w:snapToGrid w:val="0"/>
          <w:color w:val="auto"/>
          <w:sz w:val="30"/>
          <w:szCs w:val="30"/>
          <w:highlight w:val="none"/>
        </w:rPr>
        <w:t>六、生态环境保护措施监督检查清单</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51" w:type="dxa"/>
          <w:bottom w:w="0" w:type="dxa"/>
          <w:right w:w="51" w:type="dxa"/>
        </w:tblCellMar>
      </w:tblPr>
      <w:tblGrid>
        <w:gridCol w:w="950"/>
        <w:gridCol w:w="3885"/>
        <w:gridCol w:w="1230"/>
        <w:gridCol w:w="1799"/>
        <w:gridCol w:w="108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397" w:hRule="atLeast"/>
          <w:tblHeader/>
          <w:jc w:val="center"/>
        </w:trPr>
        <w:tc>
          <w:tcPr>
            <w:tcW w:w="531" w:type="pct"/>
            <w:vMerge w:val="restart"/>
            <w:tcBorders>
              <w:tl2br w:val="single" w:color="auto" w:sz="4" w:space="0"/>
            </w:tcBorders>
            <w:noWrap w:val="0"/>
            <w:vAlign w:val="top"/>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right"/>
              <w:textAlignment w:val="auto"/>
              <w:rPr>
                <w:color w:val="auto"/>
                <w:highlight w:val="none"/>
                <w:lang w:val="en-US" w:eastAsia="zh-CN"/>
              </w:rPr>
            </w:pPr>
            <w:r>
              <w:rPr>
                <w:color w:val="auto"/>
                <w:highlight w:val="none"/>
                <w:lang w:val="en-US" w:eastAsia="zh-CN"/>
              </w:rPr>
              <w:t>内容</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highlight w:val="none"/>
                <w:lang w:val="en-US" w:eastAsia="zh-CN"/>
              </w:rPr>
            </w:pPr>
            <w:r>
              <w:rPr>
                <w:color w:val="auto"/>
                <w:highlight w:val="none"/>
                <w:lang w:val="en-US" w:eastAsia="zh-CN"/>
              </w:rPr>
              <w:t>要素</w:t>
            </w:r>
          </w:p>
        </w:tc>
        <w:tc>
          <w:tcPr>
            <w:tcW w:w="2859" w:type="pct"/>
            <w:gridSpan w:val="2"/>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r>
              <w:rPr>
                <w:color w:val="auto"/>
                <w:highlight w:val="none"/>
                <w:lang w:val="en-US" w:eastAsia="zh-CN"/>
              </w:rPr>
              <w:t>施工期</w:t>
            </w:r>
          </w:p>
        </w:tc>
        <w:tc>
          <w:tcPr>
            <w:tcW w:w="1609" w:type="pct"/>
            <w:gridSpan w:val="2"/>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r>
              <w:rPr>
                <w:color w:val="auto"/>
                <w:highlight w:val="none"/>
                <w:lang w:val="en-US" w:eastAsia="zh-CN"/>
              </w:rPr>
              <w:t>运营期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397" w:hRule="atLeast"/>
          <w:tblHeader/>
          <w:jc w:val="center"/>
        </w:trPr>
        <w:tc>
          <w:tcPr>
            <w:tcW w:w="531" w:type="pct"/>
            <w:vMerge w:val="continue"/>
            <w:noWrap w:val="0"/>
            <w:vAlign w:val="top"/>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r>
              <w:rPr>
                <w:color w:val="auto"/>
                <w:highlight w:val="none"/>
                <w:lang w:val="en-US" w:eastAsia="zh-CN"/>
              </w:rPr>
              <w:t>环境保护措施</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r>
              <w:rPr>
                <w:color w:val="auto"/>
                <w:highlight w:val="none"/>
                <w:lang w:val="en-US" w:eastAsia="zh-CN"/>
              </w:rPr>
              <w:t>验收要求</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r>
              <w:rPr>
                <w:color w:val="auto"/>
                <w:highlight w:val="none"/>
                <w:lang w:val="en-US" w:eastAsia="zh-CN"/>
              </w:rPr>
              <w:t>环境保护措施</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val="en-US" w:eastAsia="zh-CN"/>
              </w:rPr>
            </w:pPr>
            <w:r>
              <w:rPr>
                <w:color w:val="auto"/>
                <w:highlight w:val="none"/>
                <w:lang w:val="en-US" w:eastAsia="zh-CN"/>
              </w:rPr>
              <w:t>验收要求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2926" w:hRule="atLeast"/>
          <w:jc w:val="center"/>
        </w:trPr>
        <w:tc>
          <w:tcPr>
            <w:tcW w:w="531" w:type="pct"/>
            <w:noWrap w:val="0"/>
            <w:vAlign w:val="center"/>
          </w:tcPr>
          <w:p>
            <w:pPr>
              <w:adjustRightInd w:val="0"/>
              <w:snapToGrid w:val="0"/>
              <w:jc w:val="center"/>
              <w:rPr>
                <w:rFonts w:hint="eastAsia" w:ascii="Times New Roman" w:hAnsi="Times New Roman" w:eastAsia="宋体" w:cs="Times New Roman"/>
                <w:color w:val="auto"/>
                <w:kern w:val="2"/>
                <w:sz w:val="21"/>
                <w:szCs w:val="24"/>
                <w:highlight w:val="none"/>
                <w:lang w:val="en-US" w:eastAsia="en-US" w:bidi="ar-SA"/>
              </w:rPr>
            </w:pPr>
            <w:r>
              <w:rPr>
                <w:rFonts w:hint="eastAsia" w:ascii="Times New Roman" w:hAnsi="Times New Roman" w:eastAsia="宋体" w:cs="Times New Roman"/>
                <w:color w:val="auto"/>
                <w:kern w:val="2"/>
                <w:sz w:val="21"/>
                <w:szCs w:val="24"/>
                <w:highlight w:val="none"/>
                <w:lang w:val="en-US" w:eastAsia="en-US" w:bidi="ar-SA"/>
              </w:rPr>
              <w:t>陆生生态</w:t>
            </w:r>
          </w:p>
        </w:tc>
        <w:tc>
          <w:tcPr>
            <w:tcW w:w="2171" w:type="pct"/>
            <w:noWrap w:val="0"/>
            <w:vAlign w:val="center"/>
          </w:tcPr>
          <w:p>
            <w:pPr>
              <w:keepNext w:val="0"/>
              <w:keepLines w:val="0"/>
              <w:pageBreakBefore w:val="0"/>
              <w:widowControl w:val="0"/>
              <w:kinsoku/>
              <w:wordWrap/>
              <w:overflowPunct/>
              <w:topLinePunct w:val="0"/>
              <w:autoSpaceDE/>
              <w:autoSpaceDN/>
              <w:bidi w:val="0"/>
              <w:snapToGrid/>
              <w:spacing w:line="240" w:lineRule="auto"/>
              <w:jc w:val="both"/>
              <w:textAlignment w:val="auto"/>
              <w:rPr>
                <w:rFonts w:hint="eastAsia" w:ascii="Times New Roman" w:hAnsi="Times New Roman" w:eastAsia="宋体" w:cs="Times New Roman"/>
                <w:color w:val="auto"/>
                <w:kern w:val="2"/>
                <w:sz w:val="21"/>
                <w:szCs w:val="24"/>
                <w:highlight w:val="none"/>
                <w:lang w:val="en-US" w:eastAsia="en-US" w:bidi="ar-SA"/>
              </w:rPr>
            </w:pPr>
            <w:r>
              <w:rPr>
                <w:rFonts w:hint="eastAsia" w:ascii="Times New Roman" w:hAnsi="Times New Roman" w:eastAsia="宋体" w:cs="Times New Roman"/>
                <w:color w:val="auto"/>
                <w:kern w:val="2"/>
                <w:sz w:val="21"/>
                <w:szCs w:val="24"/>
                <w:highlight w:val="none"/>
                <w:lang w:val="en-US" w:eastAsia="en-US" w:bidi="ar-SA"/>
              </w:rPr>
              <w:t>施工过程中，应尽量减少占地面积，</w:t>
            </w:r>
            <w:r>
              <w:rPr>
                <w:rFonts w:hint="eastAsia" w:cs="Times New Roman"/>
                <w:color w:val="FF0000"/>
                <w:kern w:val="2"/>
                <w:sz w:val="21"/>
                <w:szCs w:val="24"/>
                <w:highlight w:val="none"/>
                <w:lang w:val="en-US" w:eastAsia="zh-CN" w:bidi="ar-SA"/>
              </w:rPr>
              <w:t>禁止逾越道路占地红线，</w:t>
            </w:r>
            <w:r>
              <w:rPr>
                <w:rFonts w:hint="eastAsia" w:ascii="Times New Roman" w:hAnsi="Times New Roman" w:eastAsia="宋体" w:cs="Times New Roman"/>
                <w:color w:val="auto"/>
                <w:kern w:val="2"/>
                <w:sz w:val="21"/>
                <w:szCs w:val="24"/>
                <w:highlight w:val="none"/>
                <w:lang w:val="en-US" w:eastAsia="en-US" w:bidi="ar-SA"/>
              </w:rPr>
              <w:t xml:space="preserve">并规范行车路线及施工人员行为，严禁随意践踏、碾压施工区范围外的植被，不准乱挖、乱采野生植物。 </w:t>
            </w:r>
          </w:p>
          <w:p>
            <w:pPr>
              <w:keepNext w:val="0"/>
              <w:keepLines w:val="0"/>
              <w:pageBreakBefore w:val="0"/>
              <w:widowControl w:val="0"/>
              <w:kinsoku/>
              <w:wordWrap/>
              <w:overflowPunct/>
              <w:topLinePunct w:val="0"/>
              <w:autoSpaceDE/>
              <w:autoSpaceDN/>
              <w:bidi w:val="0"/>
              <w:snapToGrid/>
              <w:spacing w:line="240" w:lineRule="auto"/>
              <w:jc w:val="both"/>
              <w:textAlignment w:val="auto"/>
              <w:rPr>
                <w:rFonts w:hint="eastAsia" w:ascii="Times New Roman" w:hAnsi="Times New Roman" w:eastAsia="宋体" w:cs="Times New Roman"/>
                <w:color w:val="auto"/>
                <w:kern w:val="2"/>
                <w:sz w:val="21"/>
                <w:szCs w:val="24"/>
                <w:highlight w:val="none"/>
                <w:lang w:val="en-US" w:eastAsia="en-US" w:bidi="ar-SA"/>
              </w:rPr>
            </w:pPr>
            <w:r>
              <w:rPr>
                <w:rFonts w:hint="eastAsia" w:ascii="Times New Roman" w:hAnsi="Times New Roman" w:eastAsia="宋体" w:cs="Times New Roman"/>
                <w:color w:val="auto"/>
                <w:kern w:val="2"/>
                <w:sz w:val="21"/>
                <w:szCs w:val="24"/>
                <w:highlight w:val="none"/>
                <w:lang w:val="en-US" w:eastAsia="en-US" w:bidi="ar-SA"/>
              </w:rPr>
              <w:t>施工期剥离表层土，</w:t>
            </w:r>
            <w:r>
              <w:rPr>
                <w:rFonts w:hint="eastAsia" w:ascii="Times New Roman" w:hAnsi="Times New Roman" w:eastAsia="宋体" w:cs="Times New Roman"/>
                <w:color w:val="FF0000"/>
                <w:kern w:val="2"/>
                <w:sz w:val="21"/>
                <w:szCs w:val="24"/>
                <w:highlight w:val="none"/>
                <w:lang w:val="en-US" w:eastAsia="en-US" w:bidi="ar-SA"/>
              </w:rPr>
              <w:t>暂存于</w:t>
            </w:r>
            <w:r>
              <w:rPr>
                <w:rFonts w:hint="eastAsia" w:cs="Times New Roman"/>
                <w:color w:val="FF0000"/>
                <w:kern w:val="2"/>
                <w:sz w:val="21"/>
                <w:szCs w:val="24"/>
                <w:highlight w:val="none"/>
                <w:lang w:val="en-US" w:eastAsia="zh-CN" w:bidi="ar-SA"/>
              </w:rPr>
              <w:t>唐山港兴实业有限公司土地</w:t>
            </w:r>
            <w:r>
              <w:rPr>
                <w:rFonts w:hint="eastAsia" w:ascii="Times New Roman" w:hAnsi="Times New Roman" w:eastAsia="宋体" w:cs="Times New Roman"/>
                <w:color w:val="FF0000"/>
                <w:kern w:val="2"/>
                <w:sz w:val="21"/>
                <w:szCs w:val="24"/>
                <w:highlight w:val="none"/>
                <w:lang w:val="en-US" w:eastAsia="en-US" w:bidi="ar-SA"/>
              </w:rPr>
              <w:t>，</w:t>
            </w:r>
            <w:r>
              <w:rPr>
                <w:rFonts w:hint="eastAsia" w:ascii="Times New Roman" w:hAnsi="Times New Roman" w:eastAsia="宋体" w:cs="Times New Roman"/>
                <w:color w:val="auto"/>
                <w:kern w:val="2"/>
                <w:sz w:val="21"/>
                <w:szCs w:val="24"/>
                <w:highlight w:val="none"/>
                <w:lang w:val="en-US" w:eastAsia="en-US" w:bidi="ar-SA"/>
              </w:rPr>
              <w:t xml:space="preserve">使用苫布苫盖以防止水土流失，用于复原临时占地表层土恢复，不可随意丢弃。 </w:t>
            </w:r>
          </w:p>
        </w:tc>
        <w:tc>
          <w:tcPr>
            <w:tcW w:w="687" w:type="pct"/>
            <w:noWrap w:val="0"/>
            <w:vAlign w:val="center"/>
          </w:tcPr>
          <w:p>
            <w:pPr>
              <w:spacing w:line="240" w:lineRule="auto"/>
              <w:jc w:val="center"/>
              <w:rPr>
                <w:rFonts w:hint="eastAsia" w:ascii="Times New Roman" w:hAnsi="Times New Roman" w:eastAsia="宋体" w:cs="Times New Roman"/>
                <w:color w:val="auto"/>
                <w:kern w:val="2"/>
                <w:sz w:val="21"/>
                <w:szCs w:val="24"/>
                <w:highlight w:val="none"/>
                <w:lang w:val="en-US" w:eastAsia="en-US" w:bidi="ar-SA"/>
              </w:rPr>
            </w:pPr>
            <w:r>
              <w:rPr>
                <w:rFonts w:hint="eastAsia" w:ascii="Times New Roman" w:hAnsi="Times New Roman" w:eastAsia="宋体" w:cs="Times New Roman"/>
                <w:color w:val="auto"/>
                <w:highlight w:val="none"/>
                <w:lang w:val="en-US" w:eastAsia="zh-CN"/>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FF0000"/>
                <w:highlight w:val="none"/>
                <w:lang w:eastAsia="zh-CN"/>
              </w:rPr>
            </w:pPr>
            <w:r>
              <w:rPr>
                <w:rFonts w:hint="eastAsia" w:ascii="Times New Roman" w:hAnsi="Times New Roman" w:eastAsia="宋体" w:cs="Times New Roman"/>
                <w:color w:val="auto"/>
                <w:highlight w:val="none"/>
                <w:lang w:eastAsia="en-US"/>
              </w:rPr>
              <w:t>绿化养护，设置合理的绿化种植植被种类组合</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eastAsia="zh-CN"/>
              </w:rPr>
            </w:pP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highlight w:val="none"/>
                <w:lang w:val="en-US" w:eastAsia="zh-CN"/>
              </w:rPr>
            </w:pPr>
            <w:r>
              <w:rPr>
                <w:rFonts w:hint="eastAsia" w:cs="Times New Roman"/>
                <w:color w:val="auto"/>
                <w:highlight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712"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color w:val="auto"/>
                <w:highlight w:val="none"/>
              </w:rPr>
              <w:t>水生生态</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auto"/>
              <w:rPr>
                <w:rFonts w:hint="eastAsia"/>
                <w:color w:val="auto"/>
                <w:highlight w:val="none"/>
                <w:lang w:eastAsia="zh-CN"/>
              </w:rPr>
            </w:pPr>
            <w:r>
              <w:rPr>
                <w:rFonts w:hint="eastAsia"/>
                <w:color w:val="auto"/>
                <w:highlight w:val="none"/>
                <w:lang w:val="en-US" w:eastAsia="zh-CN"/>
              </w:rPr>
              <w:t>/</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eastAsia="en-US"/>
              </w:rPr>
            </w:pPr>
            <w:r>
              <w:rPr>
                <w:color w:val="auto"/>
                <w:highlight w:val="none"/>
                <w:lang w:eastAsia="en-US"/>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eastAsia="en-US"/>
              </w:rPr>
            </w:pPr>
            <w:r>
              <w:rPr>
                <w:color w:val="auto"/>
                <w:highlight w:val="none"/>
                <w:lang w:eastAsia="en-US"/>
              </w:rPr>
              <w:t>/</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eastAsia="en-US"/>
              </w:rPr>
            </w:pPr>
            <w:r>
              <w:rPr>
                <w:color w:val="auto"/>
                <w:highlight w:val="none"/>
                <w:lang w:eastAsia="en-US"/>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6483"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lang w:eastAsia="en-US"/>
              </w:rPr>
            </w:pPr>
            <w:r>
              <w:rPr>
                <w:rFonts w:ascii="Times New Roman" w:hAnsi="Times New Roman" w:eastAsia="宋体" w:cs="Times New Roman"/>
                <w:color w:val="auto"/>
                <w:highlight w:val="none"/>
                <w:lang w:eastAsia="en-US"/>
              </w:rPr>
              <w:t>地表水</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lang w:eastAsia="en-US"/>
              </w:rPr>
            </w:pPr>
            <w:r>
              <w:rPr>
                <w:rFonts w:ascii="Times New Roman" w:hAnsi="Times New Roman" w:eastAsia="宋体" w:cs="Times New Roman"/>
                <w:color w:val="auto"/>
                <w:highlight w:val="none"/>
                <w:lang w:eastAsia="en-US"/>
              </w:rPr>
              <w:t>环境</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1）项目避免在暴雨天施工，暴雨期应采取应急措施，尽量用覆盖物覆盖新挖的陡坡，防止冲刷和塌崩。</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2）开展施工场所的水环境保护教育，让施工人员理解水保护的重要性；加强施工管理和工程监理工作，防止发生水上交通安全事故；严格检查施工机械，防止油料泄漏污染水体。施工材料如油料等不宜露天堆放、远离河道；采取措施防止泥土和散体施工材料阻塞附近的市政管网。</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val="en-US" w:eastAsia="zh-CN"/>
              </w:rPr>
              <w:t>3）</w:t>
            </w:r>
            <w:r>
              <w:rPr>
                <w:rFonts w:hint="eastAsia" w:ascii="Times New Roman" w:hAnsi="Times New Roman" w:eastAsia="宋体" w:cs="Times New Roman"/>
                <w:color w:val="auto"/>
                <w:highlight w:val="none"/>
                <w:lang w:eastAsia="en-US"/>
              </w:rPr>
              <w:t>施工生活污水主要为盥洗废水，水质简单，直接泼洒地面抑尘</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val="en-US" w:eastAsia="zh-CN"/>
              </w:rPr>
              <w:t>4</w:t>
            </w:r>
            <w:r>
              <w:rPr>
                <w:rFonts w:hint="eastAsia" w:ascii="Times New Roman" w:hAnsi="Times New Roman" w:eastAsia="宋体" w:cs="Times New Roman"/>
                <w:color w:val="auto"/>
                <w:highlight w:val="none"/>
                <w:lang w:eastAsia="en-US"/>
              </w:rPr>
              <w:t>）管道试压废水收集后泼洒地面抑尘，混凝土养护废水。</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val="en-US" w:eastAsia="zh-CN"/>
              </w:rPr>
              <w:t>5</w:t>
            </w:r>
            <w:r>
              <w:rPr>
                <w:rFonts w:hint="eastAsia" w:ascii="Times New Roman" w:hAnsi="Times New Roman" w:eastAsia="宋体" w:cs="Times New Roman"/>
                <w:color w:val="auto"/>
                <w:highlight w:val="none"/>
                <w:lang w:eastAsia="en-US"/>
              </w:rPr>
              <w:t>）在施工场地出入口附近设置专门的车辆、机械冲洗区域，该区域地面设置硬化防渗地坪，同时在施工工地周围设置集水沟和沉淀池，废水沉淀处理后重复利用于场地洒水抑尘，不得随意排放。</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①施工废水不外排；</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②施工人员生活污水</w:t>
            </w:r>
            <w:bookmarkStart w:id="59" w:name="OLE_LINK86"/>
            <w:bookmarkStart w:id="60" w:name="OLE_LINK87"/>
            <w:r>
              <w:rPr>
                <w:rFonts w:hint="eastAsia" w:ascii="Times New Roman" w:hAnsi="Times New Roman" w:eastAsia="宋体" w:cs="Times New Roman"/>
                <w:color w:val="auto"/>
                <w:highlight w:val="none"/>
                <w:lang w:eastAsia="en-US"/>
              </w:rPr>
              <w:t>直接泼洒地面抑尘</w:t>
            </w:r>
            <w:bookmarkEnd w:id="59"/>
            <w:bookmarkEnd w:id="60"/>
            <w:r>
              <w:rPr>
                <w:rFonts w:hint="eastAsia" w:ascii="Times New Roman" w:hAnsi="Times New Roman" w:eastAsia="宋体" w:cs="Times New Roman"/>
                <w:color w:val="auto"/>
                <w:highlight w:val="none"/>
                <w:lang w:eastAsia="en-US"/>
              </w:rPr>
              <w:t>；</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eastAsia="en-US"/>
              </w:rPr>
              <w:t>③在施工场地出入口设置</w:t>
            </w:r>
            <w:r>
              <w:rPr>
                <w:rFonts w:hint="eastAsia" w:ascii="Times New Roman" w:hAnsi="Times New Roman" w:eastAsia="宋体" w:cs="Times New Roman"/>
                <w:color w:val="auto"/>
                <w:highlight w:val="none"/>
                <w:lang w:eastAsia="zh-CN"/>
              </w:rPr>
              <w:t>车辆清洗设施及沉淀池，</w:t>
            </w:r>
            <w:r>
              <w:rPr>
                <w:rFonts w:hint="eastAsia" w:ascii="Times New Roman" w:hAnsi="Times New Roman" w:eastAsia="宋体" w:cs="Times New Roman"/>
                <w:color w:val="auto"/>
                <w:highlight w:val="none"/>
                <w:lang w:eastAsia="en-US"/>
              </w:rPr>
              <w:t>废水沉淀处理后重复利用于场地洒水抑尘，不得随意排放</w:t>
            </w:r>
            <w:r>
              <w:rPr>
                <w:rFonts w:hint="eastAsia" w:ascii="Times New Roman" w:hAnsi="Times New Roman" w:eastAsia="宋体" w:cs="Times New Roman"/>
                <w:color w:val="auto"/>
                <w:highlight w:val="none"/>
                <w:lang w:eastAsia="zh-CN"/>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宋体"/>
                <w:color w:val="auto"/>
                <w:sz w:val="21"/>
                <w:szCs w:val="21"/>
                <w:highlight w:val="none"/>
                <w:lang w:eastAsia="zh-CN"/>
              </w:rPr>
            </w:pPr>
            <w:r>
              <w:rPr>
                <w:color w:val="auto"/>
                <w:highlight w:val="none"/>
                <w:lang w:eastAsia="en-US"/>
              </w:rPr>
              <w:t>/</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宋体"/>
                <w:color w:val="auto"/>
                <w:sz w:val="21"/>
                <w:szCs w:val="21"/>
                <w:highlight w:val="none"/>
                <w:lang w:eastAsia="zh-CN"/>
              </w:rPr>
            </w:pPr>
            <w:r>
              <w:rPr>
                <w:color w:val="auto"/>
                <w:highlight w:val="none"/>
                <w:lang w:eastAsia="en-US"/>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1099"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rPr>
            </w:pPr>
            <w:r>
              <w:rPr>
                <w:rFonts w:ascii="Times New Roman" w:hAnsi="Times New Roman" w:eastAsia="宋体" w:cs="Times New Roman"/>
                <w:color w:val="auto"/>
                <w:highlight w:val="none"/>
              </w:rPr>
              <w:t>地下水及土壤环境</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auto"/>
              <w:rPr>
                <w:rFonts w:ascii="Times New Roman" w:hAnsi="Times New Roman" w:eastAsia="宋体" w:cs="Times New Roman"/>
                <w:color w:val="auto"/>
                <w:highlight w:val="none"/>
              </w:rPr>
            </w:pPr>
            <w:r>
              <w:rPr>
                <w:rFonts w:hint="eastAsia" w:ascii="Times New Roman" w:hAnsi="Times New Roman" w:eastAsia="宋体" w:cs="Times New Roman"/>
                <w:color w:val="auto"/>
                <w:highlight w:val="none"/>
              </w:rPr>
              <w:t>/</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rPr>
            </w:pPr>
            <w:r>
              <w:rPr>
                <w:rFonts w:hint="eastAsia" w:ascii="Times New Roman" w:hAnsi="Times New Roman" w:eastAsia="宋体" w:cs="Times New Roman"/>
                <w:color w:val="auto"/>
                <w:highlight w:val="none"/>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rPr>
            </w:pPr>
            <w:r>
              <w:rPr>
                <w:rFonts w:hint="eastAsia" w:ascii="Times New Roman" w:hAnsi="Times New Roman" w:eastAsia="宋体" w:cs="Times New Roman"/>
                <w:color w:val="auto"/>
                <w:highlight w:val="none"/>
              </w:rPr>
              <w:t>/</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rPr>
            </w:pPr>
            <w:r>
              <w:rPr>
                <w:rFonts w:hint="eastAsia" w:ascii="Times New Roman" w:hAnsi="Times New Roman" w:eastAsia="宋体" w:cs="Times New Roman"/>
                <w:color w:val="auto"/>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4708"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rPr>
            </w:pPr>
            <w:r>
              <w:rPr>
                <w:rFonts w:ascii="Times New Roman" w:hAnsi="Times New Roman" w:eastAsia="宋体" w:cs="Times New Roman"/>
                <w:color w:val="auto"/>
                <w:highlight w:val="none"/>
              </w:rPr>
              <w:t>声环境</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①合理安排施工计划和施工机械设备组合以及施工时间，避免同一时间集中使用大量的动力机械设备。尽量减少运行动力机械设备的数量，尽可能使动力机械设备比较均匀地使用。</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②选用低噪声机械设备，闲置的机械设备应该予以关闭或者减速；动力机械设备应定期检修、保养，以减少机械运行震动噪声。</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③在场界四周设置不低于2.5m高围挡。</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both"/>
              <w:textAlignment w:val="auto"/>
              <w:rPr>
                <w:rFonts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④运载建筑材料及建筑垃圾的车辆选择合适的时间路线运输，运输车辆行驶路线应尽量避开沿途可能的居民点和环境敏感点。</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《建筑施工场界环境噪声排放标准》</w:t>
            </w:r>
            <w:r>
              <w:rPr>
                <w:rFonts w:hint="eastAsia" w:ascii="Times New Roman" w:hAnsi="Times New Roman" w:eastAsia="宋体" w:cs="Times New Roman"/>
                <w:color w:val="auto"/>
                <w:highlight w:val="none"/>
                <w:lang w:val="en-US" w:eastAsia="zh-CN"/>
              </w:rPr>
              <w:t>(</w:t>
            </w:r>
            <w:r>
              <w:rPr>
                <w:rFonts w:ascii="Times New Roman" w:hAnsi="Times New Roman" w:eastAsia="宋体" w:cs="Times New Roman"/>
                <w:color w:val="auto"/>
                <w:highlight w:val="none"/>
                <w:lang w:eastAsia="en-US"/>
              </w:rPr>
              <w:t>GB12523-2011</w:t>
            </w:r>
            <w:r>
              <w:rPr>
                <w:rFonts w:hint="eastAsia" w:ascii="Times New Roman" w:hAnsi="Times New Roman" w:eastAsia="宋体" w:cs="Times New Roman"/>
                <w:color w:val="auto"/>
                <w:highlight w:val="none"/>
                <w:lang w:val="en-US" w:eastAsia="zh-CN"/>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rPr>
            </w:pPr>
            <w:r>
              <w:rPr>
                <w:rFonts w:ascii="Times New Roman" w:hAnsi="Times New Roman" w:eastAsia="宋体" w:cs="Times New Roman"/>
                <w:color w:val="auto"/>
                <w:highlight w:val="none"/>
              </w:rPr>
              <w:t>完善道路警示标志，</w:t>
            </w:r>
            <w:r>
              <w:rPr>
                <w:rFonts w:hint="eastAsia" w:ascii="Times New Roman" w:hAnsi="Times New Roman" w:eastAsia="宋体" w:cs="Times New Roman"/>
                <w:color w:val="auto"/>
                <w:highlight w:val="none"/>
              </w:rPr>
              <w:t>合理</w:t>
            </w:r>
            <w:r>
              <w:rPr>
                <w:rFonts w:hint="eastAsia" w:ascii="Times New Roman" w:hAnsi="Times New Roman" w:eastAsia="宋体" w:cs="Times New Roman"/>
                <w:color w:val="auto"/>
                <w:highlight w:val="none"/>
                <w:lang w:eastAsia="en-US"/>
              </w:rPr>
              <w:t>车辆限速、鸣笛</w:t>
            </w:r>
            <w:r>
              <w:rPr>
                <w:rFonts w:hint="eastAsia" w:ascii="Times New Roman" w:hAnsi="Times New Roman" w:eastAsia="宋体" w:cs="Times New Roman"/>
                <w:color w:val="auto"/>
                <w:highlight w:val="none"/>
              </w:rPr>
              <w:t>，加强车辆管理</w:t>
            </w:r>
            <w:r>
              <w:rPr>
                <w:rFonts w:hint="eastAsia" w:ascii="Times New Roman" w:hAnsi="Times New Roman" w:eastAsia="宋体" w:cs="Times New Roman"/>
                <w:color w:val="auto"/>
                <w:highlight w:val="none"/>
                <w:lang w:eastAsia="zh-CN"/>
              </w:rPr>
              <w:t>；对道路进行经常性维护，提高路面平整度</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highlight w:val="none"/>
                <w:lang w:val="en-US" w:eastAsia="zh-CN"/>
              </w:rPr>
            </w:pPr>
            <w:r>
              <w:rPr>
                <w:rFonts w:ascii="Times New Roman" w:hAnsi="Times New Roman" w:eastAsia="宋体" w:cs="Times New Roman"/>
                <w:color w:val="auto"/>
                <w:highlight w:val="none"/>
                <w:lang w:eastAsia="en-US"/>
              </w:rPr>
              <w:t>项目交通干线边界外执行《声环境质量标准》(GB3096-2008)</w:t>
            </w:r>
            <w:r>
              <w:rPr>
                <w:rFonts w:hint="eastAsia" w:cs="Times New Roman"/>
                <w:color w:val="auto"/>
                <w:highlight w:val="none"/>
                <w:lang w:eastAsia="zh-CN"/>
              </w:rPr>
              <w:t>：</w:t>
            </w:r>
            <w:r>
              <w:rPr>
                <w:rFonts w:hint="eastAsia" w:cs="Times New Roman"/>
                <w:color w:val="FF0000"/>
                <w:highlight w:val="none"/>
                <w:lang w:val="en-US" w:eastAsia="zh-CN"/>
              </w:rPr>
              <w:t>40</w:t>
            </w:r>
            <w:r>
              <w:rPr>
                <w:rFonts w:ascii="Times New Roman" w:hAnsi="Times New Roman" w:eastAsia="宋体" w:cs="Times New Roman"/>
                <w:color w:val="FF0000"/>
                <w:highlight w:val="none"/>
              </w:rPr>
              <w:t>m</w:t>
            </w:r>
            <w:r>
              <w:rPr>
                <w:rFonts w:hint="eastAsia" w:cs="Times New Roman"/>
                <w:color w:val="FF0000"/>
                <w:highlight w:val="none"/>
                <w:lang w:eastAsia="zh-CN"/>
              </w:rPr>
              <w:t>内执行</w:t>
            </w:r>
            <w:r>
              <w:rPr>
                <w:rFonts w:ascii="Times New Roman" w:hAnsi="Times New Roman" w:eastAsia="宋体" w:cs="Times New Roman"/>
                <w:color w:val="FF0000"/>
                <w:highlight w:val="none"/>
                <w:lang w:eastAsia="en-US"/>
              </w:rPr>
              <w:t>4a类</w:t>
            </w:r>
            <w:r>
              <w:rPr>
                <w:rFonts w:hint="eastAsia" w:ascii="Times New Roman" w:hAnsi="Times New Roman" w:eastAsia="宋体" w:cs="Times New Roman"/>
                <w:color w:val="FF0000"/>
                <w:highlight w:val="none"/>
                <w:lang w:eastAsia="en-US"/>
              </w:rPr>
              <w:t>标准</w:t>
            </w:r>
            <w:r>
              <w:rPr>
                <w:rFonts w:hint="eastAsia" w:cs="Times New Roman"/>
                <w:color w:val="FF0000"/>
                <w:highlight w:val="none"/>
                <w:lang w:eastAsia="zh-CN"/>
              </w:rPr>
              <w:t>，</w:t>
            </w:r>
            <w:r>
              <w:rPr>
                <w:rFonts w:hint="eastAsia" w:cs="Times New Roman"/>
                <w:color w:val="FF0000"/>
                <w:highlight w:val="none"/>
                <w:lang w:val="en-US" w:eastAsia="zh-CN"/>
              </w:rPr>
              <w:t>40m外执行2类标准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color w:val="auto"/>
                <w:highlight w:val="none"/>
              </w:rPr>
              <w:t>振动</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center"/>
              <w:textAlignment w:val="auto"/>
              <w:rPr>
                <w:color w:val="auto"/>
                <w:highlight w:val="none"/>
              </w:rPr>
            </w:pPr>
            <w:r>
              <w:rPr>
                <w:rFonts w:hint="eastAsia"/>
                <w:color w:val="auto"/>
                <w:highlight w:val="none"/>
              </w:rPr>
              <w:t>/</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rFonts w:hint="eastAsia"/>
                <w:color w:val="auto"/>
                <w:highlight w:val="none"/>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rFonts w:hint="eastAsia"/>
                <w:color w:val="auto"/>
                <w:highlight w:val="none"/>
              </w:rPr>
              <w:t>/</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rFonts w:hint="eastAsia"/>
                <w:color w:val="auto"/>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7154" w:hRule="atLeast"/>
          <w:jc w:val="center"/>
        </w:trPr>
        <w:tc>
          <w:tcPr>
            <w:tcW w:w="531" w:type="pct"/>
            <w:noWrap w:val="0"/>
            <w:vAlign w:val="center"/>
          </w:tcPr>
          <w:p>
            <w:pPr>
              <w:adjustRightInd w:val="0"/>
              <w:snapToGrid w:val="0"/>
              <w:jc w:val="center"/>
              <w:rPr>
                <w:rFonts w:hint="eastAsia" w:ascii="Times New Roman" w:hAnsi="Times New Roman" w:eastAsia="宋体" w:cs="Times New Roman"/>
                <w:color w:val="auto"/>
                <w:kern w:val="2"/>
                <w:sz w:val="21"/>
                <w:szCs w:val="24"/>
                <w:highlight w:val="none"/>
                <w:lang w:val="en-US" w:eastAsia="en-US" w:bidi="ar-SA"/>
              </w:rPr>
            </w:pPr>
            <w:r>
              <w:rPr>
                <w:rFonts w:hint="eastAsia" w:ascii="Times New Roman" w:hAnsi="Times New Roman" w:eastAsia="宋体" w:cs="Times New Roman"/>
                <w:color w:val="auto"/>
                <w:kern w:val="2"/>
                <w:sz w:val="21"/>
                <w:szCs w:val="24"/>
                <w:highlight w:val="none"/>
                <w:lang w:val="en-US" w:eastAsia="en-US" w:bidi="ar-SA"/>
              </w:rPr>
              <w:t>大气环境</w:t>
            </w:r>
          </w:p>
        </w:tc>
        <w:tc>
          <w:tcPr>
            <w:tcW w:w="2171" w:type="pct"/>
            <w:noWrap w:val="0"/>
            <w:vAlign w:val="center"/>
          </w:tcPr>
          <w:p>
            <w:pPr>
              <w:keepNext w:val="0"/>
              <w:keepLines w:val="0"/>
              <w:pageBreakBefore w:val="0"/>
              <w:widowControl w:val="0"/>
              <w:kinsoku/>
              <w:wordWrap/>
              <w:overflowPunct/>
              <w:topLinePunct w:val="0"/>
              <w:autoSpaceDE/>
              <w:autoSpaceDN/>
              <w:bidi w:val="0"/>
              <w:snapToGrid/>
              <w:spacing w:line="240" w:lineRule="auto"/>
              <w:jc w:val="both"/>
              <w:textAlignment w:val="auto"/>
              <w:rPr>
                <w:rFonts w:hint="eastAsia" w:ascii="Times New Roman" w:hAnsi="Times New Roman" w:eastAsia="宋体" w:cs="Times New Roman"/>
                <w:color w:val="auto"/>
                <w:kern w:val="2"/>
                <w:sz w:val="21"/>
                <w:szCs w:val="24"/>
                <w:highlight w:val="none"/>
                <w:lang w:val="en-US" w:eastAsia="en-US" w:bidi="ar-SA"/>
              </w:rPr>
            </w:pPr>
            <w:r>
              <w:rPr>
                <w:rFonts w:hint="eastAsia" w:ascii="Times New Roman" w:hAnsi="Times New Roman" w:eastAsia="宋体" w:cs="Times New Roman"/>
                <w:color w:val="auto"/>
                <w:kern w:val="2"/>
                <w:sz w:val="21"/>
                <w:szCs w:val="24"/>
                <w:highlight w:val="none"/>
                <w:lang w:val="en-US" w:eastAsia="en-US" w:bidi="ar-SA"/>
              </w:rPr>
              <w:t>在施工现场周边设置硬质封闭围挡或者围墙</w:t>
            </w:r>
            <w:r>
              <w:rPr>
                <w:rFonts w:hint="eastAsia" w:ascii="Times New Roman" w:hAnsi="Times New Roman" w:eastAsia="宋体" w:cs="Times New Roman"/>
                <w:color w:val="auto"/>
                <w:kern w:val="2"/>
                <w:sz w:val="21"/>
                <w:szCs w:val="24"/>
                <w:highlight w:val="none"/>
                <w:lang w:val="en-US" w:eastAsia="zh-CN" w:bidi="ar-SA"/>
              </w:rPr>
              <w:t>；</w:t>
            </w:r>
            <w:r>
              <w:rPr>
                <w:rFonts w:hint="eastAsia" w:ascii="Times New Roman" w:hAnsi="Times New Roman" w:eastAsia="宋体" w:cs="Times New Roman"/>
                <w:color w:val="auto"/>
                <w:kern w:val="2"/>
                <w:sz w:val="21"/>
                <w:szCs w:val="24"/>
                <w:highlight w:val="none"/>
                <w:lang w:val="en-US" w:eastAsia="en-US" w:bidi="ar-SA"/>
              </w:rPr>
              <w:t>工程主体作业层采取密目式安全网封闭措施；在施工现场出入口处设置车辆清洗设施并配套设置排水、泥浆沉淀设施；重污染天气时，相应增加洒水频次</w:t>
            </w:r>
            <w:r>
              <w:rPr>
                <w:rFonts w:hint="eastAsia" w:ascii="Times New Roman" w:hAnsi="Times New Roman" w:eastAsia="宋体" w:cs="Times New Roman"/>
                <w:color w:val="auto"/>
                <w:kern w:val="2"/>
                <w:sz w:val="21"/>
                <w:szCs w:val="24"/>
                <w:highlight w:val="none"/>
                <w:lang w:val="en-US" w:eastAsia="zh-CN" w:bidi="ar-SA"/>
              </w:rPr>
              <w:t>；</w:t>
            </w:r>
            <w:r>
              <w:rPr>
                <w:rFonts w:hint="eastAsia" w:ascii="Times New Roman" w:hAnsi="Times New Roman" w:eastAsia="宋体" w:cs="Times New Roman"/>
                <w:color w:val="auto"/>
                <w:kern w:val="2"/>
                <w:sz w:val="21"/>
                <w:szCs w:val="24"/>
                <w:highlight w:val="none"/>
                <w:lang w:val="en-US" w:eastAsia="en-US" w:bidi="ar-SA"/>
              </w:rPr>
              <w:t>建筑垃圾应当及时清运，不能及时清运的，应当集中堆放并采取弥补或者遮盖等防尘措施。生活垃圾应用封闭式容器存放，日产日清，严禁随意丢弃。在施工工地同步安装视频监控设备和扬尘污染物在线监测设备</w:t>
            </w:r>
            <w:r>
              <w:rPr>
                <w:rFonts w:hint="eastAsia" w:ascii="Times New Roman" w:hAnsi="Times New Roman" w:eastAsia="宋体" w:cs="Times New Roman"/>
                <w:color w:val="auto"/>
                <w:kern w:val="2"/>
                <w:sz w:val="21"/>
                <w:szCs w:val="24"/>
                <w:highlight w:val="none"/>
                <w:lang w:val="en-US" w:eastAsia="zh-CN" w:bidi="ar-SA"/>
              </w:rPr>
              <w:t>；</w:t>
            </w:r>
            <w:r>
              <w:rPr>
                <w:rFonts w:hint="eastAsia" w:ascii="Times New Roman" w:hAnsi="Times New Roman" w:eastAsia="宋体" w:cs="Times New Roman"/>
                <w:color w:val="auto"/>
                <w:kern w:val="2"/>
                <w:sz w:val="21"/>
                <w:szCs w:val="24"/>
                <w:highlight w:val="none"/>
                <w:lang w:val="en-US" w:eastAsia="en-US" w:bidi="ar-SA"/>
              </w:rPr>
              <w:t>施工现场运送土方、渣土的车辆必须封闭或遮盖严密</w:t>
            </w:r>
            <w:r>
              <w:rPr>
                <w:rFonts w:hint="eastAsia" w:ascii="Times New Roman" w:hAnsi="Times New Roman" w:eastAsia="宋体" w:cs="Times New Roman"/>
                <w:color w:val="auto"/>
                <w:kern w:val="2"/>
                <w:sz w:val="21"/>
                <w:szCs w:val="24"/>
                <w:highlight w:val="none"/>
                <w:lang w:val="en-US" w:eastAsia="zh-CN" w:bidi="ar-SA"/>
              </w:rPr>
              <w:t>；</w:t>
            </w:r>
            <w:r>
              <w:rPr>
                <w:rFonts w:hint="eastAsia" w:ascii="Times New Roman" w:hAnsi="Times New Roman" w:eastAsia="宋体" w:cs="Times New Roman"/>
                <w:color w:val="auto"/>
                <w:kern w:val="2"/>
                <w:sz w:val="21"/>
                <w:szCs w:val="24"/>
                <w:highlight w:val="none"/>
                <w:lang w:val="en-US" w:eastAsia="en-US" w:bidi="ar-SA"/>
              </w:rPr>
              <w:t>开挖作业过程中，四周应采取洒水、喷雾等降尘措施。拆除建筑物、构筑物时，四周必须使用围挡封闭施工，并采取喷淋、洒水、喷淋等降尘措施，严禁敞开式拆除。遇有4级以上大风或重污染天气预警时，必须采取扬尘防治应急措施，严禁土方开挖、土方回填、材料切割、金属焊接、拆除或其他有可能产生扬尘的作业。商品沥青混凝土使用封闭式运输车辆和摊铺机。焊接过程中配备移动式焊接烟尘净化器。</w:t>
            </w:r>
          </w:p>
        </w:tc>
        <w:tc>
          <w:tcPr>
            <w:tcW w:w="687" w:type="pct"/>
            <w:noWrap w:val="0"/>
            <w:vAlign w:val="center"/>
          </w:tcPr>
          <w:p>
            <w:pPr>
              <w:spacing w:line="240" w:lineRule="auto"/>
              <w:jc w:val="left"/>
              <w:rPr>
                <w:rFonts w:hint="eastAsia" w:ascii="Times New Roman" w:hAnsi="Times New Roman" w:eastAsia="宋体" w:cs="Times New Roman"/>
                <w:color w:val="auto"/>
                <w:kern w:val="2"/>
                <w:sz w:val="21"/>
                <w:szCs w:val="24"/>
                <w:highlight w:val="none"/>
                <w:lang w:val="en-US" w:eastAsia="zh-CN" w:bidi="ar-SA"/>
              </w:rPr>
            </w:pPr>
            <w:r>
              <w:rPr>
                <w:rFonts w:hint="eastAsia" w:ascii="Times New Roman" w:hAnsi="Times New Roman" w:eastAsia="宋体" w:cs="Times New Roman"/>
                <w:color w:val="auto"/>
                <w:kern w:val="2"/>
                <w:sz w:val="21"/>
                <w:szCs w:val="24"/>
                <w:highlight w:val="none"/>
                <w:lang w:val="en-US" w:eastAsia="en-US" w:bidi="ar-SA"/>
              </w:rPr>
              <w:t>《施工场地扬尘排放标准》（DB13/2934-2019）中表1扬尘排放浓度限值：监测点浓度限值80</w:t>
            </w:r>
            <w:r>
              <w:rPr>
                <w:rFonts w:hint="default" w:ascii="Times New Roman" w:hAnsi="Times New Roman" w:eastAsia="宋体" w:cs="Times New Roman"/>
                <w:color w:val="auto"/>
                <w:kern w:val="2"/>
                <w:sz w:val="21"/>
                <w:szCs w:val="24"/>
                <w:highlight w:val="none"/>
                <w:lang w:val="en-US" w:eastAsia="en-US" w:bidi="ar-SA"/>
              </w:rPr>
              <w:t>μ</w:t>
            </w:r>
            <w:r>
              <w:rPr>
                <w:rFonts w:hint="eastAsia" w:ascii="Times New Roman" w:hAnsi="Times New Roman" w:eastAsia="宋体" w:cs="Times New Roman"/>
                <w:color w:val="auto"/>
                <w:kern w:val="2"/>
                <w:sz w:val="21"/>
                <w:szCs w:val="24"/>
                <w:highlight w:val="none"/>
                <w:lang w:val="en-US" w:eastAsia="en-US" w:bidi="ar-SA"/>
              </w:rPr>
              <w:t>g/m</w:t>
            </w:r>
            <w:r>
              <w:rPr>
                <w:rFonts w:hint="eastAsia" w:ascii="Times New Roman" w:hAnsi="Times New Roman" w:eastAsia="宋体" w:cs="Times New Roman"/>
                <w:color w:val="auto"/>
                <w:kern w:val="2"/>
                <w:sz w:val="21"/>
                <w:szCs w:val="24"/>
                <w:highlight w:val="none"/>
                <w:vertAlign w:val="superscript"/>
                <w:lang w:val="en-US" w:eastAsia="en-US" w:bidi="ar-SA"/>
              </w:rPr>
              <w:t>3</w:t>
            </w:r>
            <w:r>
              <w:rPr>
                <w:rFonts w:hint="eastAsia" w:ascii="Times New Roman" w:hAnsi="Times New Roman" w:eastAsia="宋体" w:cs="Times New Roman"/>
                <w:color w:val="auto"/>
                <w:kern w:val="2"/>
                <w:sz w:val="21"/>
                <w:szCs w:val="24"/>
                <w:highlight w:val="none"/>
                <w:lang w:val="en-US" w:eastAsia="en-US" w:bidi="ar-SA"/>
              </w:rPr>
              <w:t>的要求</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kern w:val="2"/>
                <w:sz w:val="21"/>
                <w:szCs w:val="24"/>
                <w:highlight w:val="none"/>
                <w:lang w:val="en-US" w:eastAsia="en-US" w:bidi="ar-SA"/>
              </w:rPr>
            </w:pPr>
            <w:r>
              <w:rPr>
                <w:rFonts w:hint="eastAsia" w:ascii="Times New Roman" w:hAnsi="Times New Roman" w:eastAsia="宋体" w:cs="Times New Roman"/>
                <w:color w:val="auto"/>
                <w:kern w:val="2"/>
                <w:sz w:val="21"/>
                <w:szCs w:val="24"/>
                <w:highlight w:val="none"/>
                <w:lang w:val="en-US" w:eastAsia="en-US" w:bidi="ar-SA"/>
              </w:rPr>
              <w:t>加强</w:t>
            </w:r>
            <w:r>
              <w:rPr>
                <w:rFonts w:hint="eastAsia" w:ascii="Times New Roman" w:hAnsi="Times New Roman" w:eastAsia="宋体" w:cs="Times New Roman"/>
                <w:color w:val="auto"/>
                <w:kern w:val="2"/>
                <w:sz w:val="21"/>
                <w:szCs w:val="24"/>
                <w:highlight w:val="none"/>
                <w:lang w:val="en-US" w:eastAsia="zh-CN" w:bidi="ar-SA"/>
              </w:rPr>
              <w:t>车辆</w:t>
            </w:r>
            <w:r>
              <w:rPr>
                <w:rFonts w:hint="eastAsia" w:ascii="Times New Roman" w:hAnsi="Times New Roman" w:eastAsia="宋体" w:cs="Times New Roman"/>
                <w:color w:val="auto"/>
                <w:kern w:val="2"/>
                <w:sz w:val="21"/>
                <w:szCs w:val="24"/>
                <w:highlight w:val="none"/>
                <w:lang w:val="en-US" w:eastAsia="en-US" w:bidi="ar-SA"/>
              </w:rPr>
              <w:t>运输管理，定期对路面进行洒水、清扫保洁等。</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eastAsia="zh-CN"/>
              </w:rPr>
            </w:pPr>
            <w:r>
              <w:rPr>
                <w:rFonts w:hint="eastAsia" w:ascii="Times New Roman" w:hAnsi="Times New Roman" w:eastAsia="宋体" w:cs="Times New Roman"/>
                <w:color w:val="auto"/>
                <w:highlight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3273"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lang w:eastAsia="en-US"/>
              </w:rPr>
            </w:pPr>
            <w:r>
              <w:rPr>
                <w:rFonts w:ascii="Times New Roman" w:hAnsi="Times New Roman" w:eastAsia="宋体" w:cs="Times New Roman"/>
                <w:color w:val="auto"/>
                <w:highlight w:val="none"/>
                <w:lang w:eastAsia="en-US"/>
              </w:rPr>
              <w:t>固体废物</w:t>
            </w:r>
          </w:p>
        </w:tc>
        <w:tc>
          <w:tcPr>
            <w:tcW w:w="2171" w:type="pct"/>
            <w:noWrap w:val="0"/>
            <w:vAlign w:val="top"/>
          </w:tcPr>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建筑垃圾根据市政管理部门要求及时清理外运，外售相关单位回收利用。</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施工过程地表剥离的表土用于绿化种植覆土，其余挖出的土方部分用作地面平整的填方，剩余的土方由车辆运至临时堆土场暂存，运输过程中车辆进行苫盖，临时堆土场采用密目网苫盖，由施工方综合利用。</w:t>
            </w:r>
          </w:p>
          <w:p>
            <w:pPr>
              <w:pStyle w:val="33"/>
              <w:keepNext w:val="0"/>
              <w:keepLines w:val="0"/>
              <w:pageBreakBefore w:val="0"/>
              <w:widowControl w:val="0"/>
              <w:kinsoku/>
              <w:wordWrap/>
              <w:overflowPunct/>
              <w:topLinePunct w:val="0"/>
              <w:autoSpaceDE/>
              <w:autoSpaceDN/>
              <w:bidi w:val="0"/>
              <w:adjustRightInd w:val="0"/>
              <w:snapToGrid/>
              <w:spacing w:line="240" w:lineRule="auto"/>
              <w:ind w:firstLine="0" w:firstLineChars="0"/>
              <w:jc w:val="left"/>
              <w:textAlignment w:val="auto"/>
              <w:rPr>
                <w:rFonts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施工生活垃圾指派专人定期将垃圾定时清运至当地垃圾处理场。</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无害化、资源化</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垃圾由环卫部门定期清运处置</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规范收集和外运处置，避免二次污染</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762"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bookmarkStart w:id="61" w:name="OLE_LINK88" w:colFirst="1" w:colLast="66"/>
            <w:bookmarkStart w:id="62" w:name="OLE_LINK89" w:colFirst="1" w:colLast="66"/>
            <w:bookmarkStart w:id="63" w:name="_Hlk103770801"/>
            <w:r>
              <w:rPr>
                <w:color w:val="auto"/>
                <w:highlight w:val="none"/>
              </w:rPr>
              <w:t>电磁环境</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rFonts w:hint="eastAsia"/>
                <w:color w:val="auto"/>
                <w:highlight w:val="none"/>
              </w:rPr>
              <w:t>/</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rFonts w:hint="eastAsia"/>
                <w:color w:val="auto"/>
                <w:highlight w:val="none"/>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rFonts w:hint="eastAsia"/>
                <w:color w:val="auto"/>
                <w:highlight w:val="none"/>
              </w:rPr>
              <w:t>/</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rFonts w:hint="eastAsia"/>
                <w:color w:val="auto"/>
                <w:highlight w:val="none"/>
              </w:rPr>
              <w:t>/</w:t>
            </w:r>
          </w:p>
        </w:tc>
      </w:tr>
      <w:bookmarkEnd w:id="61"/>
      <w:bookmarkEnd w:id="62"/>
      <w:bookmarkEnd w:id="63"/>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3410"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rPr>
            </w:pPr>
            <w:r>
              <w:rPr>
                <w:rFonts w:hint="eastAsia" w:ascii="Times New Roman" w:hAnsi="Times New Roman" w:eastAsia="宋体" w:cs="Times New Roman"/>
                <w:color w:val="auto"/>
                <w:highlight w:val="none"/>
              </w:rPr>
              <w:t>环境风险</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eastAsia="en-US"/>
              </w:rPr>
            </w:pPr>
            <w:r>
              <w:rPr>
                <w:rFonts w:hint="eastAsia" w:ascii="Times New Roman" w:hAnsi="Times New Roman" w:eastAsia="宋体" w:cs="Times New Roman"/>
                <w:color w:val="auto"/>
                <w:highlight w:val="none"/>
                <w:lang w:eastAsia="en-US"/>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rPr>
            </w:pPr>
            <w:r>
              <w:rPr>
                <w:rFonts w:hint="eastAsia" w:ascii="Times New Roman" w:hAnsi="Times New Roman" w:eastAsia="宋体" w:cs="Times New Roman"/>
                <w:color w:val="auto"/>
                <w:highlight w:val="none"/>
                <w:lang w:eastAsia="zh-CN"/>
              </w:rPr>
              <w:t>设置交通监控系统，</w:t>
            </w:r>
            <w:r>
              <w:rPr>
                <w:rFonts w:hint="eastAsia" w:ascii="Times New Roman" w:hAnsi="Times New Roman" w:eastAsia="宋体" w:cs="Times New Roman"/>
                <w:color w:val="auto"/>
                <w:highlight w:val="none"/>
              </w:rPr>
              <w:t>在驶入桥头入口处设置醒目标志牌和危险标志，提醒车辆安全行驶，桥上设置加强型防撞护栏</w:t>
            </w:r>
            <w:r>
              <w:rPr>
                <w:rFonts w:hint="eastAsia" w:ascii="Times New Roman" w:hAnsi="Times New Roman" w:eastAsia="宋体" w:cs="Times New Roman"/>
                <w:color w:val="auto"/>
                <w:highlight w:val="none"/>
                <w:lang w:eastAsia="zh-CN"/>
              </w:rPr>
              <w:t>。交通、公安、环保部门、市政制定应急预案，改善和提高相应的装备水平。</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1701"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auto"/>
                <w:highlight w:val="none"/>
              </w:rPr>
            </w:pPr>
            <w:r>
              <w:rPr>
                <w:rFonts w:ascii="Times New Roman" w:hAnsi="Times New Roman" w:eastAsia="宋体" w:cs="Times New Roman"/>
                <w:color w:val="auto"/>
                <w:highlight w:val="none"/>
              </w:rPr>
              <w:t>环境监测</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val="en-US" w:eastAsia="en-US"/>
              </w:rPr>
            </w:pPr>
            <w:r>
              <w:rPr>
                <w:rFonts w:hint="eastAsia" w:ascii="Times New Roman" w:hAnsi="Times New Roman" w:eastAsia="宋体" w:cs="Times New Roman"/>
                <w:color w:val="auto"/>
                <w:highlight w:val="none"/>
                <w:lang w:val="en-US" w:eastAsia="en-US"/>
              </w:rPr>
              <w:t>环境空气监测；</w:t>
            </w:r>
          </w:p>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val="en-US" w:eastAsia="en-US"/>
              </w:rPr>
            </w:pPr>
            <w:r>
              <w:rPr>
                <w:rFonts w:hint="eastAsia" w:ascii="Times New Roman" w:hAnsi="Times New Roman" w:eastAsia="宋体" w:cs="Times New Roman"/>
                <w:color w:val="auto"/>
                <w:highlight w:val="none"/>
                <w:lang w:val="en-US" w:eastAsia="en-US"/>
              </w:rPr>
              <w:t>噪声监测；</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val="en-US" w:eastAsia="en-US"/>
              </w:rPr>
            </w:pPr>
            <w:r>
              <w:rPr>
                <w:rFonts w:hint="eastAsia" w:ascii="Times New Roman" w:hAnsi="Times New Roman" w:eastAsia="宋体" w:cs="Times New Roman"/>
                <w:color w:val="auto"/>
                <w:highlight w:val="none"/>
                <w:lang w:val="en-US" w:eastAsia="en-US"/>
              </w:rPr>
              <w:t>监测时间和频次达到环评要求、监测结果真实可靠</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eastAsia="zh-CN"/>
              </w:rPr>
            </w:pPr>
            <w:r>
              <w:rPr>
                <w:rFonts w:hint="eastAsia" w:ascii="Times New Roman" w:hAnsi="Times New Roman" w:eastAsia="宋体" w:cs="Times New Roman"/>
                <w:color w:val="auto"/>
                <w:highlight w:val="none"/>
                <w:lang w:val="en-US" w:eastAsia="zh-CN"/>
              </w:rPr>
              <w:t>/</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highlight w:val="none"/>
                <w:lang w:eastAsia="zh-CN"/>
              </w:rPr>
            </w:pPr>
            <w:r>
              <w:rPr>
                <w:rFonts w:hint="eastAsia" w:ascii="Times New Roman" w:hAnsi="Times New Roman" w:eastAsia="宋体" w:cs="Times New Roman"/>
                <w:color w:val="auto"/>
                <w:highlight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1" w:type="dxa"/>
            <w:bottom w:w="0" w:type="dxa"/>
            <w:right w:w="51" w:type="dxa"/>
          </w:tblCellMar>
        </w:tblPrEx>
        <w:trPr>
          <w:trHeight w:val="947" w:hRule="atLeast"/>
          <w:jc w:val="center"/>
        </w:trPr>
        <w:tc>
          <w:tcPr>
            <w:tcW w:w="53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rPr>
            </w:pPr>
            <w:r>
              <w:rPr>
                <w:color w:val="auto"/>
                <w:highlight w:val="none"/>
              </w:rPr>
              <w:t>其他</w:t>
            </w:r>
          </w:p>
        </w:tc>
        <w:tc>
          <w:tcPr>
            <w:tcW w:w="2171"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eastAsia="en-US"/>
              </w:rPr>
            </w:pPr>
            <w:r>
              <w:rPr>
                <w:rFonts w:hint="eastAsia"/>
                <w:color w:val="auto"/>
                <w:highlight w:val="none"/>
                <w:lang w:eastAsia="en-US"/>
              </w:rPr>
              <w:t>/</w:t>
            </w:r>
          </w:p>
        </w:tc>
        <w:tc>
          <w:tcPr>
            <w:tcW w:w="687"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eastAsia="en-US"/>
              </w:rPr>
            </w:pPr>
            <w:r>
              <w:rPr>
                <w:rFonts w:hint="eastAsia"/>
                <w:color w:val="auto"/>
                <w:highlight w:val="none"/>
                <w:lang w:eastAsia="en-US"/>
              </w:rPr>
              <w:t>/</w:t>
            </w:r>
          </w:p>
        </w:tc>
        <w:tc>
          <w:tcPr>
            <w:tcW w:w="1005"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eastAsia="en-US"/>
              </w:rPr>
            </w:pPr>
            <w:r>
              <w:rPr>
                <w:rFonts w:hint="eastAsia"/>
                <w:color w:val="auto"/>
                <w:highlight w:val="none"/>
                <w:lang w:eastAsia="en-US"/>
              </w:rPr>
              <w:t>/</w:t>
            </w:r>
          </w:p>
        </w:tc>
        <w:tc>
          <w:tcPr>
            <w:tcW w:w="604" w:type="pct"/>
            <w:noWrap w:val="0"/>
            <w:vAlign w:val="center"/>
          </w:tcPr>
          <w:p>
            <w:pPr>
              <w:pStyle w:val="3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highlight w:val="none"/>
                <w:lang w:eastAsia="en-US"/>
              </w:rPr>
            </w:pPr>
            <w:r>
              <w:rPr>
                <w:rFonts w:hint="eastAsia"/>
                <w:color w:val="auto"/>
                <w:highlight w:val="none"/>
                <w:lang w:eastAsia="en-US"/>
              </w:rPr>
              <w:t>/</w:t>
            </w:r>
          </w:p>
        </w:tc>
      </w:tr>
    </w:tbl>
    <w:p>
      <w:pPr>
        <w:pStyle w:val="33"/>
        <w:bidi w:val="0"/>
        <w:rPr>
          <w:color w:val="auto"/>
          <w:highlight w:val="none"/>
        </w:rPr>
      </w:pPr>
    </w:p>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0"/>
        <w:rPr>
          <w:rFonts w:ascii="Times New Roman" w:hAnsi="Times New Roman" w:eastAsia="黑体" w:cs="Times New Roman"/>
          <w:snapToGrid w:val="0"/>
          <w:color w:val="auto"/>
          <w:szCs w:val="30"/>
          <w:highlight w:val="none"/>
        </w:rPr>
      </w:pPr>
      <w:r>
        <w:rPr>
          <w:color w:val="auto"/>
          <w:highlight w:val="none"/>
        </w:rPr>
        <w:br w:type="page"/>
      </w:r>
      <w:r>
        <w:rPr>
          <w:rFonts w:ascii="Times New Roman" w:hAnsi="Times New Roman" w:eastAsia="黑体" w:cs="Times New Roman"/>
          <w:snapToGrid w:val="0"/>
          <w:color w:val="auto"/>
          <w:sz w:val="30"/>
          <w:szCs w:val="30"/>
          <w:highlight w:val="none"/>
          <w:lang w:val="en-US" w:eastAsia="zh-CN"/>
        </w:rPr>
        <w:t>七、结论</w:t>
      </w:r>
    </w:p>
    <w:tbl>
      <w:tblPr>
        <w:tblStyle w:val="22"/>
        <w:tblW w:w="928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28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044" w:hRule="atLeast"/>
          <w:jc w:val="center"/>
        </w:trPr>
        <w:tc>
          <w:tcPr>
            <w:tcW w:w="9289" w:type="dxa"/>
            <w:noWrap w:val="0"/>
            <w:vAlign w:val="top"/>
          </w:tcPr>
          <w:p>
            <w:pPr>
              <w:pStyle w:val="33"/>
              <w:bidi w:val="0"/>
              <w:jc w:val="both"/>
              <w:rPr>
                <w:color w:val="auto"/>
                <w:szCs w:val="21"/>
                <w:highlight w:val="none"/>
              </w:rPr>
            </w:pPr>
            <w:r>
              <w:rPr>
                <w:rFonts w:hint="eastAsia"/>
                <w:color w:val="auto"/>
                <w:highlight w:val="none"/>
              </w:rPr>
              <w:t>本项目符合国家的产业政策，选址可行，运营期、施工期在采取各项环保措施后，产生的废气、噪声及固体废弃物等污染物均可达标排放，处理处置措施可行，对区域环境质量影响较小，综上，在各项环保措施落实的前提下，从环保角度分析工程建设可行</w:t>
            </w:r>
            <w:r>
              <w:rPr>
                <w:color w:val="auto"/>
                <w:highlight w:val="none"/>
              </w:rPr>
              <w:t>。</w:t>
            </w:r>
          </w:p>
        </w:tc>
      </w:tr>
    </w:tbl>
    <w:p>
      <w:pPr>
        <w:rPr>
          <w:color w:val="auto"/>
          <w:highlight w:val="none"/>
        </w:rPr>
      </w:pPr>
    </w:p>
    <w:sectPr>
      <w:pgSz w:w="11905" w:h="16838"/>
      <w:pgMar w:top="1701" w:right="1531" w:bottom="1701" w:left="1531" w:header="851" w:footer="1077" w:gutter="0"/>
      <w:pgBorders w:offsetFrom="page">
        <w:top w:val="none" w:sz="0" w:space="0"/>
        <w:left w:val="none" w:sz="0" w:space="0"/>
        <w:bottom w:val="none" w:sz="0" w:space="0"/>
        <w:right w:val="none" w:sz="0" w:space="0"/>
      </w:pgBorders>
      <w:pgNumType w:fmt="decimal"/>
      <w:cols w:space="720" w:num="1"/>
      <w:rtlGutter w:val="0"/>
      <w:docGrid w:type="linesAndChars" w:linePitch="312" w:charSpace="-20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85C67725-5172-4E1A-86C5-F3B8ED0756C5}"/>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embedRegular r:id="rId2" w:fontKey="{B9397082-AAF9-402F-B665-06299B54C62B}"/>
  </w:font>
  <w:font w:name="方正小标宋_GBK">
    <w:panose1 w:val="02000000000000000000"/>
    <w:charset w:val="86"/>
    <w:family w:val="script"/>
    <w:pitch w:val="default"/>
    <w:sig w:usb0="A00002BF" w:usb1="38CF7CFA" w:usb2="00082016" w:usb3="00000000" w:csb0="00040001" w:csb1="00000000"/>
    <w:embedRegular r:id="rId3" w:fontKey="{94277A19-D681-4BD2-8F20-908CFB8FDA4B}"/>
  </w:font>
  <w:font w:name="楷体_GB2312">
    <w:panose1 w:val="02010609030101010101"/>
    <w:charset w:val="86"/>
    <w:family w:val="modern"/>
    <w:pitch w:val="default"/>
    <w:sig w:usb0="00000001" w:usb1="080E0000" w:usb2="00000000" w:usb3="00000000" w:csb0="00040000" w:csb1="00000000"/>
    <w:embedRegular r:id="rId4" w:fontKey="{6AC47AC7-426F-417F-8298-52EC8427D1DC}"/>
  </w:font>
  <w:font w:name="华文仿宋">
    <w:panose1 w:val="02010600040101010101"/>
    <w:charset w:val="86"/>
    <w:family w:val="auto"/>
    <w:pitch w:val="default"/>
    <w:sig w:usb0="00000287" w:usb1="080F0000" w:usb2="00000000" w:usb3="00000000" w:csb0="0004009F" w:csb1="DFD70000"/>
    <w:embedRegular r:id="rId5" w:fontKey="{EDA897D5-7E5C-489E-A7C3-21ECA3448430}"/>
  </w:font>
  <w:font w:name="仿宋">
    <w:panose1 w:val="02010609060101010101"/>
    <w:charset w:val="86"/>
    <w:family w:val="auto"/>
    <w:pitch w:val="default"/>
    <w:sig w:usb0="800002BF" w:usb1="38CF7CFA" w:usb2="00000016" w:usb3="00000000" w:csb0="00040001" w:csb1="00000000"/>
    <w:embedRegular r:id="rId6" w:fontKey="{5C83C1DE-E575-4B2D-B998-977F4F9C21B6}"/>
  </w:font>
  <w:font w:name="Wingdings 2">
    <w:panose1 w:val="05020102010507070707"/>
    <w:charset w:val="02"/>
    <w:family w:val="auto"/>
    <w:pitch w:val="default"/>
    <w:sig w:usb0="00000000" w:usb1="00000000" w:usb2="00000000" w:usb3="00000000" w:csb0="80000000" w:csb1="00000000"/>
    <w:embedRegular r:id="rId7" w:fontKey="{0BFD4915-1CDF-449F-8B32-60294E9EECE7}"/>
  </w:font>
  <w:font w:name="Cambria Math">
    <w:panose1 w:val="02040503050406030204"/>
    <w:charset w:val="00"/>
    <w:family w:val="roman"/>
    <w:pitch w:val="default"/>
    <w:sig w:usb0="E00002FF" w:usb1="420024FF" w:usb2="00000000" w:usb3="00000000" w:csb0="2000019F" w:csb1="00000000"/>
    <w:embedRegular r:id="rId8" w:fontKey="{114F83E4-102F-47F9-8CA3-A51AC18A38EA}"/>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framePr w:wrap="around" w:vAnchor="text" w:hAnchor="margin" w:xAlign="outside" w:y="1"/>
      <w:rPr>
        <w:rStyle w:val="25"/>
      </w:rPr>
    </w:pPr>
    <w:r>
      <w:rPr>
        <w:rStyle w:val="25"/>
      </w:rPr>
      <w:fldChar w:fldCharType="begin"/>
    </w:r>
    <w:r>
      <w:rPr>
        <w:rStyle w:val="25"/>
      </w:rPr>
      <w:instrText xml:space="preserve">PAGE  </w:instrText>
    </w:r>
    <w:r>
      <w:rPr>
        <w:rStyle w:val="25"/>
      </w:rPr>
      <w:fldChar w:fldCharType="end"/>
    </w:r>
  </w:p>
  <w:p>
    <w:pPr>
      <w:pStyle w:val="17"/>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right="360" w:firstLine="360"/>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7"/>
                            <w:rPr>
                              <w:rStyle w:val="25"/>
                              <w:rFonts w:ascii="宋体" w:hAnsi="宋体"/>
                              <w:sz w:val="28"/>
                              <w:szCs w:val="28"/>
                            </w:rPr>
                          </w:pPr>
                          <w:r>
                            <w:rPr>
                              <w:rStyle w:val="25"/>
                              <w:rFonts w:hint="eastAsia" w:ascii="宋体" w:hAnsi="宋体"/>
                              <w:sz w:val="28"/>
                              <w:szCs w:val="28"/>
                            </w:rPr>
                            <w:t>—</w:t>
                          </w:r>
                          <w:r>
                            <w:rPr>
                              <w:rStyle w:val="25"/>
                              <w:rFonts w:hint="eastAsia" w:ascii="宋体" w:hAnsi="宋体"/>
                              <w:sz w:val="20"/>
                              <w:szCs w:val="20"/>
                            </w:rPr>
                            <w:t xml:space="preserve">  </w:t>
                          </w:r>
                          <w:r>
                            <w:rPr>
                              <w:rStyle w:val="25"/>
                              <w:rFonts w:ascii="宋体" w:hAnsi="宋体"/>
                              <w:sz w:val="26"/>
                              <w:szCs w:val="26"/>
                            </w:rPr>
                            <w:fldChar w:fldCharType="begin"/>
                          </w:r>
                          <w:r>
                            <w:rPr>
                              <w:rStyle w:val="25"/>
                              <w:rFonts w:ascii="宋体" w:hAnsi="宋体"/>
                              <w:sz w:val="26"/>
                              <w:szCs w:val="26"/>
                            </w:rPr>
                            <w:instrText xml:space="preserve">PAGE  </w:instrText>
                          </w:r>
                          <w:r>
                            <w:rPr>
                              <w:rStyle w:val="25"/>
                              <w:rFonts w:ascii="宋体" w:hAnsi="宋体"/>
                              <w:sz w:val="26"/>
                              <w:szCs w:val="26"/>
                            </w:rPr>
                            <w:fldChar w:fldCharType="separate"/>
                          </w:r>
                          <w:r>
                            <w:rPr>
                              <w:rStyle w:val="25"/>
                              <w:rFonts w:ascii="宋体" w:hAnsi="宋体"/>
                              <w:sz w:val="26"/>
                              <w:szCs w:val="26"/>
                            </w:rPr>
                            <w:t>18</w:t>
                          </w:r>
                          <w:r>
                            <w:rPr>
                              <w:rStyle w:val="25"/>
                              <w:rFonts w:ascii="宋体" w:hAnsi="宋体"/>
                              <w:sz w:val="26"/>
                              <w:szCs w:val="26"/>
                            </w:rPr>
                            <w:fldChar w:fldCharType="end"/>
                          </w:r>
                          <w:r>
                            <w:rPr>
                              <w:rStyle w:val="25"/>
                              <w:rFonts w:hint="eastAsia" w:ascii="宋体" w:hAnsi="宋体"/>
                              <w:sz w:val="20"/>
                              <w:szCs w:val="20"/>
                            </w:rPr>
                            <w:t xml:space="preserve">  </w:t>
                          </w:r>
                          <w:r>
                            <w:rPr>
                              <w:rStyle w:val="25"/>
                              <w:rFonts w:hint="eastAsia" w:ascii="宋体" w:hAnsi="宋体"/>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7"/>
                      <w:rPr>
                        <w:rStyle w:val="25"/>
                        <w:rFonts w:ascii="宋体" w:hAnsi="宋体"/>
                        <w:sz w:val="28"/>
                        <w:szCs w:val="28"/>
                      </w:rPr>
                    </w:pPr>
                    <w:r>
                      <w:rPr>
                        <w:rStyle w:val="25"/>
                        <w:rFonts w:hint="eastAsia" w:ascii="宋体" w:hAnsi="宋体"/>
                        <w:sz w:val="28"/>
                        <w:szCs w:val="28"/>
                      </w:rPr>
                      <w:t>—</w:t>
                    </w:r>
                    <w:r>
                      <w:rPr>
                        <w:rStyle w:val="25"/>
                        <w:rFonts w:hint="eastAsia" w:ascii="宋体" w:hAnsi="宋体"/>
                        <w:sz w:val="20"/>
                        <w:szCs w:val="20"/>
                      </w:rPr>
                      <w:t xml:space="preserve">  </w:t>
                    </w:r>
                    <w:r>
                      <w:rPr>
                        <w:rStyle w:val="25"/>
                        <w:rFonts w:ascii="宋体" w:hAnsi="宋体"/>
                        <w:sz w:val="26"/>
                        <w:szCs w:val="26"/>
                      </w:rPr>
                      <w:fldChar w:fldCharType="begin"/>
                    </w:r>
                    <w:r>
                      <w:rPr>
                        <w:rStyle w:val="25"/>
                        <w:rFonts w:ascii="宋体" w:hAnsi="宋体"/>
                        <w:sz w:val="26"/>
                        <w:szCs w:val="26"/>
                      </w:rPr>
                      <w:instrText xml:space="preserve">PAGE  </w:instrText>
                    </w:r>
                    <w:r>
                      <w:rPr>
                        <w:rStyle w:val="25"/>
                        <w:rFonts w:ascii="宋体" w:hAnsi="宋体"/>
                        <w:sz w:val="26"/>
                        <w:szCs w:val="26"/>
                      </w:rPr>
                      <w:fldChar w:fldCharType="separate"/>
                    </w:r>
                    <w:r>
                      <w:rPr>
                        <w:rStyle w:val="25"/>
                        <w:rFonts w:ascii="宋体" w:hAnsi="宋体"/>
                        <w:sz w:val="26"/>
                        <w:szCs w:val="26"/>
                      </w:rPr>
                      <w:t>18</w:t>
                    </w:r>
                    <w:r>
                      <w:rPr>
                        <w:rStyle w:val="25"/>
                        <w:rFonts w:ascii="宋体" w:hAnsi="宋体"/>
                        <w:sz w:val="26"/>
                        <w:szCs w:val="26"/>
                      </w:rPr>
                      <w:fldChar w:fldCharType="end"/>
                    </w:r>
                    <w:r>
                      <w:rPr>
                        <w:rStyle w:val="25"/>
                        <w:rFonts w:hint="eastAsia" w:ascii="宋体" w:hAnsi="宋体"/>
                        <w:sz w:val="20"/>
                        <w:szCs w:val="20"/>
                      </w:rPr>
                      <w:t xml:space="preserve">  </w:t>
                    </w:r>
                    <w:r>
                      <w:rPr>
                        <w:rStyle w:val="25"/>
                        <w:rFonts w:hint="eastAsia" w:ascii="宋体" w:hAnsi="宋体"/>
                        <w:sz w:val="28"/>
                        <w:szCs w:val="28"/>
                      </w:rPr>
                      <w: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26C2AD"/>
    <w:multiLevelType w:val="singleLevel"/>
    <w:tmpl w:val="8226C2AD"/>
    <w:lvl w:ilvl="0" w:tentative="0">
      <w:start w:val="1"/>
      <w:numFmt w:val="decimal"/>
      <w:suff w:val="nothing"/>
      <w:lvlText w:val="%1"/>
      <w:lvlJc w:val="left"/>
      <w:pPr>
        <w:tabs>
          <w:tab w:val="left" w:pos="420"/>
        </w:tabs>
        <w:ind w:left="425" w:hanging="425"/>
      </w:pPr>
      <w:rPr>
        <w:rFonts w:hint="default"/>
      </w:rPr>
    </w:lvl>
  </w:abstractNum>
  <w:abstractNum w:abstractNumId="1">
    <w:nsid w:val="91C94428"/>
    <w:multiLevelType w:val="singleLevel"/>
    <w:tmpl w:val="91C94428"/>
    <w:lvl w:ilvl="0" w:tentative="0">
      <w:start w:val="1"/>
      <w:numFmt w:val="decimal"/>
      <w:suff w:val="nothing"/>
      <w:lvlText w:val="%1"/>
      <w:lvlJc w:val="left"/>
      <w:pPr>
        <w:tabs>
          <w:tab w:val="left" w:pos="420"/>
        </w:tabs>
        <w:ind w:left="425" w:hanging="425"/>
      </w:pPr>
      <w:rPr>
        <w:rFonts w:hint="default"/>
      </w:rPr>
    </w:lvl>
  </w:abstractNum>
  <w:abstractNum w:abstractNumId="2">
    <w:nsid w:val="AE89CFEC"/>
    <w:multiLevelType w:val="singleLevel"/>
    <w:tmpl w:val="AE89CFEC"/>
    <w:lvl w:ilvl="0" w:tentative="0">
      <w:start w:val="1"/>
      <w:numFmt w:val="decimal"/>
      <w:suff w:val="nothing"/>
      <w:lvlText w:val="%1"/>
      <w:lvlJc w:val="left"/>
      <w:pPr>
        <w:tabs>
          <w:tab w:val="left" w:pos="420"/>
        </w:tabs>
        <w:ind w:left="425" w:hanging="425"/>
      </w:pPr>
      <w:rPr>
        <w:rFonts w:hint="default"/>
      </w:rPr>
    </w:lvl>
  </w:abstractNum>
  <w:abstractNum w:abstractNumId="3">
    <w:nsid w:val="AEB706FB"/>
    <w:multiLevelType w:val="singleLevel"/>
    <w:tmpl w:val="AEB706FB"/>
    <w:lvl w:ilvl="0" w:tentative="0">
      <w:start w:val="1"/>
      <w:numFmt w:val="decimal"/>
      <w:suff w:val="nothing"/>
      <w:lvlText w:val="%1"/>
      <w:lvlJc w:val="left"/>
      <w:pPr>
        <w:tabs>
          <w:tab w:val="left" w:pos="420"/>
        </w:tabs>
        <w:ind w:left="425" w:hanging="425"/>
      </w:pPr>
      <w:rPr>
        <w:rFonts w:hint="default"/>
      </w:rPr>
    </w:lvl>
  </w:abstractNum>
  <w:abstractNum w:abstractNumId="4">
    <w:nsid w:val="D77283AE"/>
    <w:multiLevelType w:val="singleLevel"/>
    <w:tmpl w:val="D77283AE"/>
    <w:lvl w:ilvl="0" w:tentative="0">
      <w:start w:val="1"/>
      <w:numFmt w:val="decimal"/>
      <w:suff w:val="space"/>
      <w:lvlText w:val="表2-%1"/>
      <w:lvlJc w:val="left"/>
      <w:pPr>
        <w:tabs>
          <w:tab w:val="left" w:pos="420"/>
        </w:tabs>
      </w:pPr>
      <w:rPr>
        <w:rFonts w:hint="default"/>
        <w:sz w:val="21"/>
      </w:rPr>
    </w:lvl>
  </w:abstractNum>
  <w:abstractNum w:abstractNumId="5">
    <w:nsid w:val="FCB77239"/>
    <w:multiLevelType w:val="singleLevel"/>
    <w:tmpl w:val="FCB77239"/>
    <w:lvl w:ilvl="0" w:tentative="0">
      <w:start w:val="1"/>
      <w:numFmt w:val="decimal"/>
      <w:suff w:val="space"/>
      <w:lvlText w:val="表4-%1"/>
      <w:lvlJc w:val="left"/>
      <w:pPr>
        <w:tabs>
          <w:tab w:val="left" w:pos="0"/>
        </w:tabs>
      </w:pPr>
      <w:rPr>
        <w:rFonts w:hint="default"/>
        <w:sz w:val="21"/>
      </w:rPr>
    </w:lvl>
  </w:abstractNum>
  <w:abstractNum w:abstractNumId="6">
    <w:nsid w:val="1BE28D4D"/>
    <w:multiLevelType w:val="singleLevel"/>
    <w:tmpl w:val="1BE28D4D"/>
    <w:lvl w:ilvl="0" w:tentative="0">
      <w:start w:val="1"/>
      <w:numFmt w:val="decimal"/>
      <w:suff w:val="nothing"/>
      <w:lvlText w:val="%1"/>
      <w:lvlJc w:val="left"/>
      <w:pPr>
        <w:tabs>
          <w:tab w:val="left" w:pos="420"/>
        </w:tabs>
        <w:ind w:left="425" w:hanging="425"/>
      </w:pPr>
      <w:rPr>
        <w:rFonts w:hint="default"/>
      </w:rPr>
    </w:lvl>
  </w:abstractNum>
  <w:abstractNum w:abstractNumId="7">
    <w:nsid w:val="2BDC7073"/>
    <w:multiLevelType w:val="singleLevel"/>
    <w:tmpl w:val="2BDC7073"/>
    <w:lvl w:ilvl="0" w:tentative="0">
      <w:start w:val="1"/>
      <w:numFmt w:val="decimal"/>
      <w:suff w:val="space"/>
      <w:lvlText w:val="表3-%1"/>
      <w:lvlJc w:val="left"/>
      <w:pPr>
        <w:tabs>
          <w:tab w:val="left" w:pos="0"/>
        </w:tabs>
      </w:pPr>
      <w:rPr>
        <w:rFonts w:hint="default"/>
        <w:sz w:val="21"/>
      </w:rPr>
    </w:lvl>
  </w:abstractNum>
  <w:abstractNum w:abstractNumId="8">
    <w:nsid w:val="3529CF58"/>
    <w:multiLevelType w:val="singleLevel"/>
    <w:tmpl w:val="3529CF58"/>
    <w:lvl w:ilvl="0" w:tentative="0">
      <w:start w:val="2"/>
      <w:numFmt w:val="decimal"/>
      <w:suff w:val="nothing"/>
      <w:lvlText w:val="（%1）"/>
      <w:lvlJc w:val="left"/>
    </w:lvl>
  </w:abstractNum>
  <w:abstractNum w:abstractNumId="9">
    <w:nsid w:val="6841F61B"/>
    <w:multiLevelType w:val="singleLevel"/>
    <w:tmpl w:val="6841F61B"/>
    <w:lvl w:ilvl="0" w:tentative="0">
      <w:start w:val="1"/>
      <w:numFmt w:val="decimal"/>
      <w:suff w:val="nothing"/>
      <w:lvlText w:val="%1、"/>
      <w:lvlJc w:val="left"/>
      <w:pPr>
        <w:tabs>
          <w:tab w:val="left" w:pos="420"/>
        </w:tabs>
      </w:pPr>
      <w:rPr>
        <w:rFonts w:hint="default"/>
        <w:b/>
        <w:sz w:val="21"/>
      </w:rPr>
    </w:lvl>
  </w:abstractNum>
  <w:abstractNum w:abstractNumId="10">
    <w:nsid w:val="696FE495"/>
    <w:multiLevelType w:val="singleLevel"/>
    <w:tmpl w:val="696FE495"/>
    <w:lvl w:ilvl="0" w:tentative="0">
      <w:start w:val="1"/>
      <w:numFmt w:val="bullet"/>
      <w:pStyle w:val="15"/>
      <w:lvlText w:val=""/>
      <w:lvlJc w:val="left"/>
      <w:pPr>
        <w:tabs>
          <w:tab w:val="left" w:pos="2040"/>
        </w:tabs>
        <w:ind w:left="2040" w:hanging="360"/>
      </w:pPr>
      <w:rPr>
        <w:rFonts w:hint="default" w:ascii="Wingdings" w:hAnsi="Wingdings"/>
      </w:rPr>
    </w:lvl>
  </w:abstractNum>
  <w:abstractNum w:abstractNumId="11">
    <w:nsid w:val="737D5292"/>
    <w:multiLevelType w:val="singleLevel"/>
    <w:tmpl w:val="737D5292"/>
    <w:lvl w:ilvl="0" w:tentative="0">
      <w:start w:val="1"/>
      <w:numFmt w:val="decimal"/>
      <w:suff w:val="space"/>
      <w:lvlText w:val="表5-%1"/>
      <w:lvlJc w:val="left"/>
      <w:pPr>
        <w:tabs>
          <w:tab w:val="left" w:pos="0"/>
        </w:tabs>
      </w:pPr>
      <w:rPr>
        <w:rFonts w:hint="default"/>
        <w:sz w:val="21"/>
      </w:rPr>
    </w:lvl>
  </w:abstractNum>
  <w:abstractNum w:abstractNumId="12">
    <w:nsid w:val="7514AB61"/>
    <w:multiLevelType w:val="singleLevel"/>
    <w:tmpl w:val="7514AB61"/>
    <w:lvl w:ilvl="0" w:tentative="0">
      <w:start w:val="1"/>
      <w:numFmt w:val="decimal"/>
      <w:suff w:val="space"/>
      <w:lvlText w:val="图2-%1"/>
      <w:lvlJc w:val="left"/>
      <w:pPr>
        <w:tabs>
          <w:tab w:val="left" w:pos="420"/>
        </w:tabs>
        <w:ind w:left="425" w:hanging="425"/>
      </w:pPr>
      <w:rPr>
        <w:rFonts w:hint="default"/>
        <w:sz w:val="21"/>
      </w:rPr>
    </w:lvl>
  </w:abstractNum>
  <w:num w:numId="1">
    <w:abstractNumId w:val="10"/>
  </w:num>
  <w:num w:numId="2">
    <w:abstractNumId w:val="4"/>
  </w:num>
  <w:num w:numId="3">
    <w:abstractNumId w:val="9"/>
  </w:num>
  <w:num w:numId="4">
    <w:abstractNumId w:val="2"/>
  </w:num>
  <w:num w:numId="5">
    <w:abstractNumId w:val="6"/>
  </w:num>
  <w:num w:numId="6">
    <w:abstractNumId w:val="3"/>
  </w:num>
  <w:num w:numId="7">
    <w:abstractNumId w:val="1"/>
  </w:num>
  <w:num w:numId="8">
    <w:abstractNumId w:val="0"/>
  </w:num>
  <w:num w:numId="9">
    <w:abstractNumId w:val="12"/>
  </w:num>
  <w:num w:numId="10">
    <w:abstractNumId w:val="8"/>
  </w:num>
  <w:num w:numId="11">
    <w:abstractNumId w:val="7"/>
  </w:num>
  <w:num w:numId="12">
    <w:abstractNumId w:val="5"/>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420"/>
  <w:hyphenationZone w:val="360"/>
  <w:doNotHyphenateCaps/>
  <w:drawingGridHorizontalSpacing w:val="119"/>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JiYTMwZGRiNzY0MmNlNzM0YTQzNjZjOGFiZTUyNTkifQ=="/>
  </w:docVars>
  <w:rsids>
    <w:rsidRoot w:val="00172A27"/>
    <w:rsid w:val="00001CED"/>
    <w:rsid w:val="00001E67"/>
    <w:rsid w:val="00003CD8"/>
    <w:rsid w:val="00006730"/>
    <w:rsid w:val="00014965"/>
    <w:rsid w:val="0001523A"/>
    <w:rsid w:val="00016ECB"/>
    <w:rsid w:val="000269F6"/>
    <w:rsid w:val="00031939"/>
    <w:rsid w:val="00032D25"/>
    <w:rsid w:val="0005219D"/>
    <w:rsid w:val="0005568F"/>
    <w:rsid w:val="0006153D"/>
    <w:rsid w:val="00061B1F"/>
    <w:rsid w:val="000664DB"/>
    <w:rsid w:val="0007127D"/>
    <w:rsid w:val="00071AE5"/>
    <w:rsid w:val="00074783"/>
    <w:rsid w:val="000801E0"/>
    <w:rsid w:val="0008187F"/>
    <w:rsid w:val="00082A29"/>
    <w:rsid w:val="0008331D"/>
    <w:rsid w:val="00083C18"/>
    <w:rsid w:val="00092899"/>
    <w:rsid w:val="000A178E"/>
    <w:rsid w:val="000A35D7"/>
    <w:rsid w:val="000A557E"/>
    <w:rsid w:val="000B058F"/>
    <w:rsid w:val="000B693F"/>
    <w:rsid w:val="000C09AC"/>
    <w:rsid w:val="000C0A63"/>
    <w:rsid w:val="000C437E"/>
    <w:rsid w:val="000D05B5"/>
    <w:rsid w:val="000D7144"/>
    <w:rsid w:val="000E5F16"/>
    <w:rsid w:val="000F4452"/>
    <w:rsid w:val="000F6DA1"/>
    <w:rsid w:val="000F701B"/>
    <w:rsid w:val="001056A0"/>
    <w:rsid w:val="00115279"/>
    <w:rsid w:val="00117459"/>
    <w:rsid w:val="0011749A"/>
    <w:rsid w:val="00127A68"/>
    <w:rsid w:val="00140B13"/>
    <w:rsid w:val="00141B68"/>
    <w:rsid w:val="001466DA"/>
    <w:rsid w:val="00154DE1"/>
    <w:rsid w:val="00155B40"/>
    <w:rsid w:val="001562C4"/>
    <w:rsid w:val="00157435"/>
    <w:rsid w:val="00163EEA"/>
    <w:rsid w:val="00167A07"/>
    <w:rsid w:val="0017046A"/>
    <w:rsid w:val="001704A3"/>
    <w:rsid w:val="0017465A"/>
    <w:rsid w:val="0017504D"/>
    <w:rsid w:val="00177422"/>
    <w:rsid w:val="00180035"/>
    <w:rsid w:val="00184F10"/>
    <w:rsid w:val="00185546"/>
    <w:rsid w:val="0019146B"/>
    <w:rsid w:val="00194398"/>
    <w:rsid w:val="001A7D2A"/>
    <w:rsid w:val="001B574C"/>
    <w:rsid w:val="001C0AF9"/>
    <w:rsid w:val="001C155A"/>
    <w:rsid w:val="001C48C0"/>
    <w:rsid w:val="001D6726"/>
    <w:rsid w:val="001D79FA"/>
    <w:rsid w:val="001F3347"/>
    <w:rsid w:val="001F4440"/>
    <w:rsid w:val="001F69E4"/>
    <w:rsid w:val="001F6CC7"/>
    <w:rsid w:val="00206A65"/>
    <w:rsid w:val="00212D31"/>
    <w:rsid w:val="002130C7"/>
    <w:rsid w:val="002218A8"/>
    <w:rsid w:val="0022306D"/>
    <w:rsid w:val="00226574"/>
    <w:rsid w:val="002278EC"/>
    <w:rsid w:val="002357C7"/>
    <w:rsid w:val="00235F63"/>
    <w:rsid w:val="002367C4"/>
    <w:rsid w:val="0025679E"/>
    <w:rsid w:val="00260C68"/>
    <w:rsid w:val="002648B0"/>
    <w:rsid w:val="00275271"/>
    <w:rsid w:val="0027535E"/>
    <w:rsid w:val="00275AA6"/>
    <w:rsid w:val="002807D5"/>
    <w:rsid w:val="00282CCD"/>
    <w:rsid w:val="00296B2E"/>
    <w:rsid w:val="002A168C"/>
    <w:rsid w:val="002A2C48"/>
    <w:rsid w:val="002A3EED"/>
    <w:rsid w:val="002A4A39"/>
    <w:rsid w:val="002A5A17"/>
    <w:rsid w:val="002A6425"/>
    <w:rsid w:val="002B49E2"/>
    <w:rsid w:val="002B7B00"/>
    <w:rsid w:val="002B7C44"/>
    <w:rsid w:val="002C1388"/>
    <w:rsid w:val="002C3C6A"/>
    <w:rsid w:val="002D42DB"/>
    <w:rsid w:val="002E1F3A"/>
    <w:rsid w:val="002E298A"/>
    <w:rsid w:val="002F02A4"/>
    <w:rsid w:val="002F272B"/>
    <w:rsid w:val="002F7C6D"/>
    <w:rsid w:val="003027E4"/>
    <w:rsid w:val="0030332C"/>
    <w:rsid w:val="00312296"/>
    <w:rsid w:val="0031340E"/>
    <w:rsid w:val="00316464"/>
    <w:rsid w:val="0032073A"/>
    <w:rsid w:val="00321D8E"/>
    <w:rsid w:val="00334996"/>
    <w:rsid w:val="00336969"/>
    <w:rsid w:val="00336C52"/>
    <w:rsid w:val="00341B3E"/>
    <w:rsid w:val="00341B42"/>
    <w:rsid w:val="00345154"/>
    <w:rsid w:val="0034560E"/>
    <w:rsid w:val="00350523"/>
    <w:rsid w:val="00352975"/>
    <w:rsid w:val="00356868"/>
    <w:rsid w:val="0036485B"/>
    <w:rsid w:val="00373B0D"/>
    <w:rsid w:val="00376988"/>
    <w:rsid w:val="00381A72"/>
    <w:rsid w:val="003A1948"/>
    <w:rsid w:val="003A6B86"/>
    <w:rsid w:val="003B152A"/>
    <w:rsid w:val="003B545B"/>
    <w:rsid w:val="003C5DE6"/>
    <w:rsid w:val="003D3EE9"/>
    <w:rsid w:val="003E7681"/>
    <w:rsid w:val="003E7A6C"/>
    <w:rsid w:val="003F0809"/>
    <w:rsid w:val="003F611C"/>
    <w:rsid w:val="003F755C"/>
    <w:rsid w:val="00406F01"/>
    <w:rsid w:val="00411B36"/>
    <w:rsid w:val="004121D7"/>
    <w:rsid w:val="00416D50"/>
    <w:rsid w:val="00417772"/>
    <w:rsid w:val="00420E6A"/>
    <w:rsid w:val="00433CA9"/>
    <w:rsid w:val="0043521D"/>
    <w:rsid w:val="00442024"/>
    <w:rsid w:val="0044254C"/>
    <w:rsid w:val="00443F6A"/>
    <w:rsid w:val="00450A17"/>
    <w:rsid w:val="00460A0C"/>
    <w:rsid w:val="00466321"/>
    <w:rsid w:val="004672AF"/>
    <w:rsid w:val="004727B0"/>
    <w:rsid w:val="00480247"/>
    <w:rsid w:val="0048081D"/>
    <w:rsid w:val="0048117E"/>
    <w:rsid w:val="004855F6"/>
    <w:rsid w:val="00486F0C"/>
    <w:rsid w:val="00494670"/>
    <w:rsid w:val="004A0EB4"/>
    <w:rsid w:val="004A2456"/>
    <w:rsid w:val="004A3823"/>
    <w:rsid w:val="004A59BB"/>
    <w:rsid w:val="004B43A3"/>
    <w:rsid w:val="004B4C49"/>
    <w:rsid w:val="004B58A5"/>
    <w:rsid w:val="004B63D9"/>
    <w:rsid w:val="004C0882"/>
    <w:rsid w:val="004C55BE"/>
    <w:rsid w:val="004E5B30"/>
    <w:rsid w:val="004F0779"/>
    <w:rsid w:val="004F1230"/>
    <w:rsid w:val="004F173F"/>
    <w:rsid w:val="004F177C"/>
    <w:rsid w:val="004F2DCE"/>
    <w:rsid w:val="0050263C"/>
    <w:rsid w:val="005039CB"/>
    <w:rsid w:val="0050558F"/>
    <w:rsid w:val="005057E0"/>
    <w:rsid w:val="00506286"/>
    <w:rsid w:val="00510813"/>
    <w:rsid w:val="00511DE0"/>
    <w:rsid w:val="00517F02"/>
    <w:rsid w:val="00524547"/>
    <w:rsid w:val="005258A2"/>
    <w:rsid w:val="00530F7C"/>
    <w:rsid w:val="00534567"/>
    <w:rsid w:val="00534F43"/>
    <w:rsid w:val="00535A84"/>
    <w:rsid w:val="00536889"/>
    <w:rsid w:val="00542E07"/>
    <w:rsid w:val="00554A7B"/>
    <w:rsid w:val="0055572C"/>
    <w:rsid w:val="0056064F"/>
    <w:rsid w:val="00561B84"/>
    <w:rsid w:val="00571D98"/>
    <w:rsid w:val="005720AE"/>
    <w:rsid w:val="00573138"/>
    <w:rsid w:val="0058030D"/>
    <w:rsid w:val="00582045"/>
    <w:rsid w:val="00590AE3"/>
    <w:rsid w:val="005918F1"/>
    <w:rsid w:val="005A06B7"/>
    <w:rsid w:val="005A1759"/>
    <w:rsid w:val="005D0369"/>
    <w:rsid w:val="005D53FE"/>
    <w:rsid w:val="005D7A0F"/>
    <w:rsid w:val="005E0438"/>
    <w:rsid w:val="005E1791"/>
    <w:rsid w:val="005E2CE6"/>
    <w:rsid w:val="005E36B8"/>
    <w:rsid w:val="005E6324"/>
    <w:rsid w:val="005E710E"/>
    <w:rsid w:val="005F228B"/>
    <w:rsid w:val="005F29CD"/>
    <w:rsid w:val="005F4DFB"/>
    <w:rsid w:val="005F6CC0"/>
    <w:rsid w:val="00603E5B"/>
    <w:rsid w:val="00604BC8"/>
    <w:rsid w:val="006063F3"/>
    <w:rsid w:val="00615B4C"/>
    <w:rsid w:val="00615B5D"/>
    <w:rsid w:val="0062146F"/>
    <w:rsid w:val="0063132D"/>
    <w:rsid w:val="006343AF"/>
    <w:rsid w:val="0063634A"/>
    <w:rsid w:val="00641775"/>
    <w:rsid w:val="0064250D"/>
    <w:rsid w:val="006535EB"/>
    <w:rsid w:val="00663016"/>
    <w:rsid w:val="00672E18"/>
    <w:rsid w:val="00674605"/>
    <w:rsid w:val="006748B8"/>
    <w:rsid w:val="0068535B"/>
    <w:rsid w:val="0068736E"/>
    <w:rsid w:val="0069290A"/>
    <w:rsid w:val="00697032"/>
    <w:rsid w:val="006975AC"/>
    <w:rsid w:val="006A15FB"/>
    <w:rsid w:val="006A72BF"/>
    <w:rsid w:val="006B332A"/>
    <w:rsid w:val="006B33BD"/>
    <w:rsid w:val="006C3F75"/>
    <w:rsid w:val="006D170E"/>
    <w:rsid w:val="006E06AF"/>
    <w:rsid w:val="006F1789"/>
    <w:rsid w:val="00706C5D"/>
    <w:rsid w:val="007118E6"/>
    <w:rsid w:val="007225C9"/>
    <w:rsid w:val="00735CD7"/>
    <w:rsid w:val="00754034"/>
    <w:rsid w:val="00754BF1"/>
    <w:rsid w:val="00755A30"/>
    <w:rsid w:val="00755E1C"/>
    <w:rsid w:val="00756556"/>
    <w:rsid w:val="0076132B"/>
    <w:rsid w:val="007623AE"/>
    <w:rsid w:val="00770B19"/>
    <w:rsid w:val="00774FA0"/>
    <w:rsid w:val="00776620"/>
    <w:rsid w:val="00777B6D"/>
    <w:rsid w:val="0078397B"/>
    <w:rsid w:val="00784855"/>
    <w:rsid w:val="00784F39"/>
    <w:rsid w:val="0078545C"/>
    <w:rsid w:val="007906C4"/>
    <w:rsid w:val="007940EA"/>
    <w:rsid w:val="007967E8"/>
    <w:rsid w:val="007A63F2"/>
    <w:rsid w:val="007B68DE"/>
    <w:rsid w:val="007C1857"/>
    <w:rsid w:val="007C514F"/>
    <w:rsid w:val="007D0F95"/>
    <w:rsid w:val="007D7ECB"/>
    <w:rsid w:val="007E25A1"/>
    <w:rsid w:val="007E4BD2"/>
    <w:rsid w:val="007E7145"/>
    <w:rsid w:val="007F3916"/>
    <w:rsid w:val="00801179"/>
    <w:rsid w:val="00802479"/>
    <w:rsid w:val="00805372"/>
    <w:rsid w:val="00805B7B"/>
    <w:rsid w:val="00805FF4"/>
    <w:rsid w:val="0081293E"/>
    <w:rsid w:val="00813234"/>
    <w:rsid w:val="00814FFB"/>
    <w:rsid w:val="00820568"/>
    <w:rsid w:val="00831A80"/>
    <w:rsid w:val="008332C8"/>
    <w:rsid w:val="00833743"/>
    <w:rsid w:val="008340A4"/>
    <w:rsid w:val="00836799"/>
    <w:rsid w:val="00837028"/>
    <w:rsid w:val="00837131"/>
    <w:rsid w:val="00845F57"/>
    <w:rsid w:val="008521E0"/>
    <w:rsid w:val="008525B0"/>
    <w:rsid w:val="00867CBC"/>
    <w:rsid w:val="00876C30"/>
    <w:rsid w:val="00877017"/>
    <w:rsid w:val="008773C0"/>
    <w:rsid w:val="00880364"/>
    <w:rsid w:val="008845A5"/>
    <w:rsid w:val="00886C4C"/>
    <w:rsid w:val="0088711C"/>
    <w:rsid w:val="00892ECF"/>
    <w:rsid w:val="00892F06"/>
    <w:rsid w:val="00894285"/>
    <w:rsid w:val="008A06C8"/>
    <w:rsid w:val="008A40AE"/>
    <w:rsid w:val="008A4E19"/>
    <w:rsid w:val="008A67C5"/>
    <w:rsid w:val="008B22E1"/>
    <w:rsid w:val="008B3C78"/>
    <w:rsid w:val="008B4AE9"/>
    <w:rsid w:val="008C30AD"/>
    <w:rsid w:val="008D068E"/>
    <w:rsid w:val="008D0F7A"/>
    <w:rsid w:val="008D63BE"/>
    <w:rsid w:val="008E0CFF"/>
    <w:rsid w:val="008E5D6B"/>
    <w:rsid w:val="008E689B"/>
    <w:rsid w:val="008E76F0"/>
    <w:rsid w:val="008F15FE"/>
    <w:rsid w:val="008F2A94"/>
    <w:rsid w:val="008F5187"/>
    <w:rsid w:val="008F709C"/>
    <w:rsid w:val="0090312B"/>
    <w:rsid w:val="00904961"/>
    <w:rsid w:val="0091736D"/>
    <w:rsid w:val="00931001"/>
    <w:rsid w:val="00931863"/>
    <w:rsid w:val="00933524"/>
    <w:rsid w:val="0094278D"/>
    <w:rsid w:val="0095308A"/>
    <w:rsid w:val="00955AEE"/>
    <w:rsid w:val="00956F14"/>
    <w:rsid w:val="00957132"/>
    <w:rsid w:val="009620FD"/>
    <w:rsid w:val="0096247A"/>
    <w:rsid w:val="00965F4B"/>
    <w:rsid w:val="00970F8A"/>
    <w:rsid w:val="00971FB5"/>
    <w:rsid w:val="00972D2A"/>
    <w:rsid w:val="00975CC5"/>
    <w:rsid w:val="00976328"/>
    <w:rsid w:val="00976B4E"/>
    <w:rsid w:val="00984458"/>
    <w:rsid w:val="00985283"/>
    <w:rsid w:val="00987322"/>
    <w:rsid w:val="009A0F3B"/>
    <w:rsid w:val="009A72C7"/>
    <w:rsid w:val="009B0897"/>
    <w:rsid w:val="009B22FA"/>
    <w:rsid w:val="009D0852"/>
    <w:rsid w:val="009D1FBF"/>
    <w:rsid w:val="009E399C"/>
    <w:rsid w:val="009E43C1"/>
    <w:rsid w:val="009E7E95"/>
    <w:rsid w:val="009F116F"/>
    <w:rsid w:val="009F329E"/>
    <w:rsid w:val="009F7ED3"/>
    <w:rsid w:val="00A03607"/>
    <w:rsid w:val="00A047FF"/>
    <w:rsid w:val="00A04FEF"/>
    <w:rsid w:val="00A122CD"/>
    <w:rsid w:val="00A12A32"/>
    <w:rsid w:val="00A14248"/>
    <w:rsid w:val="00A14947"/>
    <w:rsid w:val="00A23DC5"/>
    <w:rsid w:val="00A34028"/>
    <w:rsid w:val="00A35568"/>
    <w:rsid w:val="00A37056"/>
    <w:rsid w:val="00A4358F"/>
    <w:rsid w:val="00A46F67"/>
    <w:rsid w:val="00A52E17"/>
    <w:rsid w:val="00A541BE"/>
    <w:rsid w:val="00A54AA1"/>
    <w:rsid w:val="00A568FF"/>
    <w:rsid w:val="00A61496"/>
    <w:rsid w:val="00A61833"/>
    <w:rsid w:val="00A624C6"/>
    <w:rsid w:val="00A63B6F"/>
    <w:rsid w:val="00A63CEC"/>
    <w:rsid w:val="00A7031E"/>
    <w:rsid w:val="00A728B1"/>
    <w:rsid w:val="00A763DE"/>
    <w:rsid w:val="00A803D6"/>
    <w:rsid w:val="00A81282"/>
    <w:rsid w:val="00A8713F"/>
    <w:rsid w:val="00A91167"/>
    <w:rsid w:val="00A9171C"/>
    <w:rsid w:val="00A92FFD"/>
    <w:rsid w:val="00A95975"/>
    <w:rsid w:val="00A9708D"/>
    <w:rsid w:val="00AA2C17"/>
    <w:rsid w:val="00AA4172"/>
    <w:rsid w:val="00AB1914"/>
    <w:rsid w:val="00AB5330"/>
    <w:rsid w:val="00AB7747"/>
    <w:rsid w:val="00AC2532"/>
    <w:rsid w:val="00AD1507"/>
    <w:rsid w:val="00AD5A70"/>
    <w:rsid w:val="00AD738B"/>
    <w:rsid w:val="00AE1BF4"/>
    <w:rsid w:val="00AE1DCD"/>
    <w:rsid w:val="00AE5D97"/>
    <w:rsid w:val="00AE6794"/>
    <w:rsid w:val="00B01110"/>
    <w:rsid w:val="00B02262"/>
    <w:rsid w:val="00B03CEC"/>
    <w:rsid w:val="00B1209F"/>
    <w:rsid w:val="00B12AD0"/>
    <w:rsid w:val="00B24F30"/>
    <w:rsid w:val="00B31ABF"/>
    <w:rsid w:val="00B335AE"/>
    <w:rsid w:val="00B37CE1"/>
    <w:rsid w:val="00B40ACF"/>
    <w:rsid w:val="00B46BAA"/>
    <w:rsid w:val="00B50B5F"/>
    <w:rsid w:val="00B54128"/>
    <w:rsid w:val="00B55826"/>
    <w:rsid w:val="00B60426"/>
    <w:rsid w:val="00B622DD"/>
    <w:rsid w:val="00B63522"/>
    <w:rsid w:val="00B76F1D"/>
    <w:rsid w:val="00B92A19"/>
    <w:rsid w:val="00B9544C"/>
    <w:rsid w:val="00BA29E9"/>
    <w:rsid w:val="00BA2D2E"/>
    <w:rsid w:val="00BA3561"/>
    <w:rsid w:val="00BB3618"/>
    <w:rsid w:val="00BC0C9E"/>
    <w:rsid w:val="00BC20AC"/>
    <w:rsid w:val="00BC32DC"/>
    <w:rsid w:val="00BD1B51"/>
    <w:rsid w:val="00BD47F6"/>
    <w:rsid w:val="00BE1099"/>
    <w:rsid w:val="00BE312D"/>
    <w:rsid w:val="00BE3FCA"/>
    <w:rsid w:val="00C05719"/>
    <w:rsid w:val="00C10578"/>
    <w:rsid w:val="00C17D62"/>
    <w:rsid w:val="00C21FDC"/>
    <w:rsid w:val="00C24EE7"/>
    <w:rsid w:val="00C2596A"/>
    <w:rsid w:val="00C271BE"/>
    <w:rsid w:val="00C27425"/>
    <w:rsid w:val="00C328FE"/>
    <w:rsid w:val="00C33A05"/>
    <w:rsid w:val="00C42500"/>
    <w:rsid w:val="00C4409D"/>
    <w:rsid w:val="00C455BE"/>
    <w:rsid w:val="00C51E5F"/>
    <w:rsid w:val="00C61E4B"/>
    <w:rsid w:val="00C62E3A"/>
    <w:rsid w:val="00C64503"/>
    <w:rsid w:val="00C64A1F"/>
    <w:rsid w:val="00C64BFF"/>
    <w:rsid w:val="00C763C9"/>
    <w:rsid w:val="00C80057"/>
    <w:rsid w:val="00C82C79"/>
    <w:rsid w:val="00C84753"/>
    <w:rsid w:val="00C91611"/>
    <w:rsid w:val="00CA3585"/>
    <w:rsid w:val="00CA3D5A"/>
    <w:rsid w:val="00CA4C7C"/>
    <w:rsid w:val="00CB0183"/>
    <w:rsid w:val="00CB1EA3"/>
    <w:rsid w:val="00CB552C"/>
    <w:rsid w:val="00CB6A9E"/>
    <w:rsid w:val="00CC6181"/>
    <w:rsid w:val="00CD2BCD"/>
    <w:rsid w:val="00CD36AA"/>
    <w:rsid w:val="00CD3791"/>
    <w:rsid w:val="00CD613C"/>
    <w:rsid w:val="00CD65B0"/>
    <w:rsid w:val="00CE02CD"/>
    <w:rsid w:val="00CE10E9"/>
    <w:rsid w:val="00D0072E"/>
    <w:rsid w:val="00D15727"/>
    <w:rsid w:val="00D16332"/>
    <w:rsid w:val="00D24972"/>
    <w:rsid w:val="00D2515E"/>
    <w:rsid w:val="00D308ED"/>
    <w:rsid w:val="00D56178"/>
    <w:rsid w:val="00D56CF0"/>
    <w:rsid w:val="00D56F5C"/>
    <w:rsid w:val="00D704B1"/>
    <w:rsid w:val="00D70B63"/>
    <w:rsid w:val="00D72B92"/>
    <w:rsid w:val="00D72ED4"/>
    <w:rsid w:val="00D73F61"/>
    <w:rsid w:val="00D754C0"/>
    <w:rsid w:val="00D776A2"/>
    <w:rsid w:val="00D801C4"/>
    <w:rsid w:val="00D819A1"/>
    <w:rsid w:val="00D8297D"/>
    <w:rsid w:val="00D90836"/>
    <w:rsid w:val="00D94B97"/>
    <w:rsid w:val="00D95896"/>
    <w:rsid w:val="00D95CC6"/>
    <w:rsid w:val="00DA2DA3"/>
    <w:rsid w:val="00DA6615"/>
    <w:rsid w:val="00DA76AE"/>
    <w:rsid w:val="00DB181E"/>
    <w:rsid w:val="00DB1C7A"/>
    <w:rsid w:val="00DB2983"/>
    <w:rsid w:val="00DB343D"/>
    <w:rsid w:val="00DB5579"/>
    <w:rsid w:val="00DB5CFE"/>
    <w:rsid w:val="00DC72A6"/>
    <w:rsid w:val="00DD2113"/>
    <w:rsid w:val="00DD265E"/>
    <w:rsid w:val="00DF1930"/>
    <w:rsid w:val="00DF514A"/>
    <w:rsid w:val="00E0358D"/>
    <w:rsid w:val="00E06327"/>
    <w:rsid w:val="00E2064B"/>
    <w:rsid w:val="00E25239"/>
    <w:rsid w:val="00E265B1"/>
    <w:rsid w:val="00E275B0"/>
    <w:rsid w:val="00E37A6F"/>
    <w:rsid w:val="00E412D0"/>
    <w:rsid w:val="00E43D61"/>
    <w:rsid w:val="00E47CDB"/>
    <w:rsid w:val="00E566BC"/>
    <w:rsid w:val="00E60982"/>
    <w:rsid w:val="00E60C8D"/>
    <w:rsid w:val="00E6162F"/>
    <w:rsid w:val="00E6311B"/>
    <w:rsid w:val="00E65D97"/>
    <w:rsid w:val="00E67EFD"/>
    <w:rsid w:val="00E702DC"/>
    <w:rsid w:val="00E71FFB"/>
    <w:rsid w:val="00E76D1D"/>
    <w:rsid w:val="00E806F8"/>
    <w:rsid w:val="00E821E2"/>
    <w:rsid w:val="00E87752"/>
    <w:rsid w:val="00E8793B"/>
    <w:rsid w:val="00E90F81"/>
    <w:rsid w:val="00E91A6D"/>
    <w:rsid w:val="00E9242D"/>
    <w:rsid w:val="00EA5A09"/>
    <w:rsid w:val="00EA6F52"/>
    <w:rsid w:val="00EB041C"/>
    <w:rsid w:val="00EC5874"/>
    <w:rsid w:val="00ED192D"/>
    <w:rsid w:val="00ED30B4"/>
    <w:rsid w:val="00ED31F5"/>
    <w:rsid w:val="00EF2759"/>
    <w:rsid w:val="00EF45EB"/>
    <w:rsid w:val="00EF5099"/>
    <w:rsid w:val="00EF5E33"/>
    <w:rsid w:val="00F00075"/>
    <w:rsid w:val="00F07822"/>
    <w:rsid w:val="00F15C95"/>
    <w:rsid w:val="00F22985"/>
    <w:rsid w:val="00F241AB"/>
    <w:rsid w:val="00F31382"/>
    <w:rsid w:val="00F32F4F"/>
    <w:rsid w:val="00F35829"/>
    <w:rsid w:val="00F42868"/>
    <w:rsid w:val="00F465A7"/>
    <w:rsid w:val="00F50B7C"/>
    <w:rsid w:val="00F5202D"/>
    <w:rsid w:val="00F52CF6"/>
    <w:rsid w:val="00F54496"/>
    <w:rsid w:val="00F61097"/>
    <w:rsid w:val="00F74345"/>
    <w:rsid w:val="00F74441"/>
    <w:rsid w:val="00F77F30"/>
    <w:rsid w:val="00F82589"/>
    <w:rsid w:val="00F82B19"/>
    <w:rsid w:val="00F90AA7"/>
    <w:rsid w:val="00F9212D"/>
    <w:rsid w:val="00FA301A"/>
    <w:rsid w:val="00FA406A"/>
    <w:rsid w:val="00FA5CB6"/>
    <w:rsid w:val="00FA7C7B"/>
    <w:rsid w:val="00FB703A"/>
    <w:rsid w:val="00FC66AC"/>
    <w:rsid w:val="00FD18F4"/>
    <w:rsid w:val="00FD74B4"/>
    <w:rsid w:val="00FF6FCE"/>
    <w:rsid w:val="00FF7518"/>
    <w:rsid w:val="00FF7FD8"/>
    <w:rsid w:val="01415CD2"/>
    <w:rsid w:val="0190022E"/>
    <w:rsid w:val="019A702C"/>
    <w:rsid w:val="03174F3D"/>
    <w:rsid w:val="03B619BE"/>
    <w:rsid w:val="03FB03BA"/>
    <w:rsid w:val="040E445D"/>
    <w:rsid w:val="04180F6C"/>
    <w:rsid w:val="044E1BD8"/>
    <w:rsid w:val="04C64E6C"/>
    <w:rsid w:val="04D27663"/>
    <w:rsid w:val="05742AC8"/>
    <w:rsid w:val="057839B7"/>
    <w:rsid w:val="057E12A3"/>
    <w:rsid w:val="058679D6"/>
    <w:rsid w:val="05A80A87"/>
    <w:rsid w:val="05D2379D"/>
    <w:rsid w:val="061915D1"/>
    <w:rsid w:val="06352F05"/>
    <w:rsid w:val="063E7D85"/>
    <w:rsid w:val="066857D6"/>
    <w:rsid w:val="070875E0"/>
    <w:rsid w:val="07293586"/>
    <w:rsid w:val="07295285"/>
    <w:rsid w:val="07595A3A"/>
    <w:rsid w:val="076C1C9C"/>
    <w:rsid w:val="077253E0"/>
    <w:rsid w:val="07770C56"/>
    <w:rsid w:val="07CB4548"/>
    <w:rsid w:val="07DA38F7"/>
    <w:rsid w:val="08D5567E"/>
    <w:rsid w:val="092148F3"/>
    <w:rsid w:val="092217DD"/>
    <w:rsid w:val="093A7294"/>
    <w:rsid w:val="0A2F5262"/>
    <w:rsid w:val="0ACF354C"/>
    <w:rsid w:val="0B4F619C"/>
    <w:rsid w:val="0B662F05"/>
    <w:rsid w:val="0BAE0005"/>
    <w:rsid w:val="0BD27BF6"/>
    <w:rsid w:val="0C2F5309"/>
    <w:rsid w:val="0C3443D2"/>
    <w:rsid w:val="0C3C5A14"/>
    <w:rsid w:val="0C467614"/>
    <w:rsid w:val="0D705975"/>
    <w:rsid w:val="0D7B681B"/>
    <w:rsid w:val="0E110D06"/>
    <w:rsid w:val="0E6F1C07"/>
    <w:rsid w:val="0F13775A"/>
    <w:rsid w:val="0F297A9E"/>
    <w:rsid w:val="0F9A112B"/>
    <w:rsid w:val="0FE200D4"/>
    <w:rsid w:val="106D2F64"/>
    <w:rsid w:val="10B63710"/>
    <w:rsid w:val="10ED552F"/>
    <w:rsid w:val="111C2F7A"/>
    <w:rsid w:val="111E587A"/>
    <w:rsid w:val="113013DE"/>
    <w:rsid w:val="1156600B"/>
    <w:rsid w:val="11BD75F7"/>
    <w:rsid w:val="11D702DA"/>
    <w:rsid w:val="120B2110"/>
    <w:rsid w:val="122B06C2"/>
    <w:rsid w:val="12C64289"/>
    <w:rsid w:val="12EA5576"/>
    <w:rsid w:val="133A4BCB"/>
    <w:rsid w:val="13951726"/>
    <w:rsid w:val="13BA5B9C"/>
    <w:rsid w:val="14396509"/>
    <w:rsid w:val="1447165C"/>
    <w:rsid w:val="147B0BD3"/>
    <w:rsid w:val="148517E8"/>
    <w:rsid w:val="155B08F5"/>
    <w:rsid w:val="1592139F"/>
    <w:rsid w:val="160B0DBE"/>
    <w:rsid w:val="163C4F8E"/>
    <w:rsid w:val="174D4027"/>
    <w:rsid w:val="17735226"/>
    <w:rsid w:val="177C13BA"/>
    <w:rsid w:val="17976868"/>
    <w:rsid w:val="17CB57F8"/>
    <w:rsid w:val="17D60355"/>
    <w:rsid w:val="183468AF"/>
    <w:rsid w:val="19F011D6"/>
    <w:rsid w:val="1A1C66C0"/>
    <w:rsid w:val="1A3258AA"/>
    <w:rsid w:val="1A42393B"/>
    <w:rsid w:val="1A450189"/>
    <w:rsid w:val="1B046F80"/>
    <w:rsid w:val="1B2F50C2"/>
    <w:rsid w:val="1B3267B5"/>
    <w:rsid w:val="1BC25DC8"/>
    <w:rsid w:val="1C5E7925"/>
    <w:rsid w:val="1C887FC8"/>
    <w:rsid w:val="1CA4388D"/>
    <w:rsid w:val="1CCD7D0B"/>
    <w:rsid w:val="1CE7377A"/>
    <w:rsid w:val="1D5F6196"/>
    <w:rsid w:val="1D6132A5"/>
    <w:rsid w:val="1D7C0366"/>
    <w:rsid w:val="1D8E56D5"/>
    <w:rsid w:val="1D9F08EF"/>
    <w:rsid w:val="1DCA2E80"/>
    <w:rsid w:val="1E1E6FFB"/>
    <w:rsid w:val="1E7A43DA"/>
    <w:rsid w:val="1EB277FE"/>
    <w:rsid w:val="1EB51D82"/>
    <w:rsid w:val="1EC56DBA"/>
    <w:rsid w:val="1F417CFF"/>
    <w:rsid w:val="1F6F6EAB"/>
    <w:rsid w:val="1F973235"/>
    <w:rsid w:val="1FE746CE"/>
    <w:rsid w:val="1FE7539E"/>
    <w:rsid w:val="20963CB8"/>
    <w:rsid w:val="20B07FB6"/>
    <w:rsid w:val="213B74B1"/>
    <w:rsid w:val="215A2310"/>
    <w:rsid w:val="219D3E80"/>
    <w:rsid w:val="21A80F41"/>
    <w:rsid w:val="21CD2F3E"/>
    <w:rsid w:val="21D818E3"/>
    <w:rsid w:val="21DE318A"/>
    <w:rsid w:val="21EF5B80"/>
    <w:rsid w:val="22576990"/>
    <w:rsid w:val="229C4EAB"/>
    <w:rsid w:val="22F15488"/>
    <w:rsid w:val="232005D3"/>
    <w:rsid w:val="23D162A4"/>
    <w:rsid w:val="250D7A85"/>
    <w:rsid w:val="252D53FE"/>
    <w:rsid w:val="25CC06EB"/>
    <w:rsid w:val="25EC2D81"/>
    <w:rsid w:val="25F118B5"/>
    <w:rsid w:val="260E7CA3"/>
    <w:rsid w:val="264528BD"/>
    <w:rsid w:val="269068FA"/>
    <w:rsid w:val="277F4CDB"/>
    <w:rsid w:val="278A7625"/>
    <w:rsid w:val="27D15DD1"/>
    <w:rsid w:val="27F33C31"/>
    <w:rsid w:val="28156ACF"/>
    <w:rsid w:val="282E5A61"/>
    <w:rsid w:val="283B074F"/>
    <w:rsid w:val="28A76295"/>
    <w:rsid w:val="28AA038D"/>
    <w:rsid w:val="29164E91"/>
    <w:rsid w:val="29206EB8"/>
    <w:rsid w:val="29564161"/>
    <w:rsid w:val="29E325E0"/>
    <w:rsid w:val="2A452503"/>
    <w:rsid w:val="2B0A7FB1"/>
    <w:rsid w:val="2B5C67AA"/>
    <w:rsid w:val="2BA936A8"/>
    <w:rsid w:val="2C315A5A"/>
    <w:rsid w:val="2C871B54"/>
    <w:rsid w:val="2D3636D8"/>
    <w:rsid w:val="2D9E56F5"/>
    <w:rsid w:val="2DFD104F"/>
    <w:rsid w:val="2E40086E"/>
    <w:rsid w:val="2E60425A"/>
    <w:rsid w:val="2E667F96"/>
    <w:rsid w:val="2E8226AB"/>
    <w:rsid w:val="2E921798"/>
    <w:rsid w:val="2EA4771D"/>
    <w:rsid w:val="2F060E7D"/>
    <w:rsid w:val="2F34692A"/>
    <w:rsid w:val="2F832C79"/>
    <w:rsid w:val="2FEF2D58"/>
    <w:rsid w:val="30307FCD"/>
    <w:rsid w:val="30550CCF"/>
    <w:rsid w:val="30580BC9"/>
    <w:rsid w:val="30F15D32"/>
    <w:rsid w:val="311E2ED7"/>
    <w:rsid w:val="315C449C"/>
    <w:rsid w:val="31B82709"/>
    <w:rsid w:val="32400B34"/>
    <w:rsid w:val="326C5622"/>
    <w:rsid w:val="329E6876"/>
    <w:rsid w:val="32FB5E55"/>
    <w:rsid w:val="33D934D4"/>
    <w:rsid w:val="33FE2F6A"/>
    <w:rsid w:val="346314E0"/>
    <w:rsid w:val="351714D7"/>
    <w:rsid w:val="359E6C74"/>
    <w:rsid w:val="35C80195"/>
    <w:rsid w:val="35DC519D"/>
    <w:rsid w:val="36016D26"/>
    <w:rsid w:val="36074A7F"/>
    <w:rsid w:val="36923549"/>
    <w:rsid w:val="36B10735"/>
    <w:rsid w:val="36B75FBF"/>
    <w:rsid w:val="36FB4891"/>
    <w:rsid w:val="37364DB5"/>
    <w:rsid w:val="37444023"/>
    <w:rsid w:val="37AA1AAB"/>
    <w:rsid w:val="38F12CD3"/>
    <w:rsid w:val="38F94775"/>
    <w:rsid w:val="39203E58"/>
    <w:rsid w:val="392971ED"/>
    <w:rsid w:val="39787066"/>
    <w:rsid w:val="399C171C"/>
    <w:rsid w:val="3A573895"/>
    <w:rsid w:val="3A6C5593"/>
    <w:rsid w:val="3AED5FA8"/>
    <w:rsid w:val="3B337E5E"/>
    <w:rsid w:val="3B3763D1"/>
    <w:rsid w:val="3C3F1A84"/>
    <w:rsid w:val="3C83089F"/>
    <w:rsid w:val="3CDA245A"/>
    <w:rsid w:val="3CED228F"/>
    <w:rsid w:val="3CEE0A37"/>
    <w:rsid w:val="3D532A3A"/>
    <w:rsid w:val="3D9F5C7F"/>
    <w:rsid w:val="3E6B1593"/>
    <w:rsid w:val="3EA352FB"/>
    <w:rsid w:val="3F660E74"/>
    <w:rsid w:val="4039596C"/>
    <w:rsid w:val="40497DF6"/>
    <w:rsid w:val="407A6407"/>
    <w:rsid w:val="409B1752"/>
    <w:rsid w:val="40CC4B74"/>
    <w:rsid w:val="417A3CA8"/>
    <w:rsid w:val="418E0D88"/>
    <w:rsid w:val="41F67E38"/>
    <w:rsid w:val="420C31B7"/>
    <w:rsid w:val="423A3BCC"/>
    <w:rsid w:val="42817701"/>
    <w:rsid w:val="42B54B1A"/>
    <w:rsid w:val="433A6FE6"/>
    <w:rsid w:val="4350713C"/>
    <w:rsid w:val="436653E0"/>
    <w:rsid w:val="43E812FF"/>
    <w:rsid w:val="442C5D93"/>
    <w:rsid w:val="44CD14E0"/>
    <w:rsid w:val="457177C4"/>
    <w:rsid w:val="458946E9"/>
    <w:rsid w:val="45D109A0"/>
    <w:rsid w:val="45EB334A"/>
    <w:rsid w:val="46BF6A4A"/>
    <w:rsid w:val="46D955A7"/>
    <w:rsid w:val="47133957"/>
    <w:rsid w:val="47694C08"/>
    <w:rsid w:val="4779329E"/>
    <w:rsid w:val="47A07E0C"/>
    <w:rsid w:val="47C22C96"/>
    <w:rsid w:val="48515DC8"/>
    <w:rsid w:val="4870272E"/>
    <w:rsid w:val="48D17CA8"/>
    <w:rsid w:val="49317554"/>
    <w:rsid w:val="496C1203"/>
    <w:rsid w:val="49DC7715"/>
    <w:rsid w:val="4A023139"/>
    <w:rsid w:val="4A7B576F"/>
    <w:rsid w:val="4ADE33F2"/>
    <w:rsid w:val="4B5D5264"/>
    <w:rsid w:val="4BEA2EA8"/>
    <w:rsid w:val="4BEA4593"/>
    <w:rsid w:val="4C0B2731"/>
    <w:rsid w:val="4C4A0649"/>
    <w:rsid w:val="4CE470D3"/>
    <w:rsid w:val="4DA846DC"/>
    <w:rsid w:val="4DB90697"/>
    <w:rsid w:val="4DEC4FB0"/>
    <w:rsid w:val="4E075D8A"/>
    <w:rsid w:val="4E8E2B40"/>
    <w:rsid w:val="4EB27394"/>
    <w:rsid w:val="4F953C63"/>
    <w:rsid w:val="4FC62A8C"/>
    <w:rsid w:val="4FE20F0D"/>
    <w:rsid w:val="50504C4B"/>
    <w:rsid w:val="506F328F"/>
    <w:rsid w:val="50946A56"/>
    <w:rsid w:val="509C6E7C"/>
    <w:rsid w:val="50A05E74"/>
    <w:rsid w:val="50A76697"/>
    <w:rsid w:val="5162104E"/>
    <w:rsid w:val="518F3CD0"/>
    <w:rsid w:val="51A927D1"/>
    <w:rsid w:val="51C15D6C"/>
    <w:rsid w:val="51D33CF1"/>
    <w:rsid w:val="52086A03"/>
    <w:rsid w:val="52336BDA"/>
    <w:rsid w:val="53430A03"/>
    <w:rsid w:val="53A039CC"/>
    <w:rsid w:val="53A1505A"/>
    <w:rsid w:val="54063E08"/>
    <w:rsid w:val="543437E8"/>
    <w:rsid w:val="54AB2D04"/>
    <w:rsid w:val="54F56225"/>
    <w:rsid w:val="55354E58"/>
    <w:rsid w:val="554E557F"/>
    <w:rsid w:val="559B174B"/>
    <w:rsid w:val="55B604BF"/>
    <w:rsid w:val="55BA1450"/>
    <w:rsid w:val="55CE0CF4"/>
    <w:rsid w:val="565D3FCF"/>
    <w:rsid w:val="56B22A9C"/>
    <w:rsid w:val="56BE7959"/>
    <w:rsid w:val="57462870"/>
    <w:rsid w:val="57B72A76"/>
    <w:rsid w:val="57C33EC0"/>
    <w:rsid w:val="58353010"/>
    <w:rsid w:val="58A473C8"/>
    <w:rsid w:val="58BF6D7E"/>
    <w:rsid w:val="58EE5BA2"/>
    <w:rsid w:val="5922309B"/>
    <w:rsid w:val="5990451B"/>
    <w:rsid w:val="59E048A7"/>
    <w:rsid w:val="5A3C747D"/>
    <w:rsid w:val="5ABE2233"/>
    <w:rsid w:val="5B034FA3"/>
    <w:rsid w:val="5B2353A2"/>
    <w:rsid w:val="5B276D18"/>
    <w:rsid w:val="5B2910F5"/>
    <w:rsid w:val="5B4E10ED"/>
    <w:rsid w:val="5B66461F"/>
    <w:rsid w:val="5B7C5649"/>
    <w:rsid w:val="5BDF5D95"/>
    <w:rsid w:val="5DF87A0F"/>
    <w:rsid w:val="5E9F3F7C"/>
    <w:rsid w:val="5EDD1669"/>
    <w:rsid w:val="5EE20EC6"/>
    <w:rsid w:val="5F1A2B43"/>
    <w:rsid w:val="5FB837BB"/>
    <w:rsid w:val="604F4E8B"/>
    <w:rsid w:val="60681E06"/>
    <w:rsid w:val="60B77FA4"/>
    <w:rsid w:val="61D2367E"/>
    <w:rsid w:val="62256AB0"/>
    <w:rsid w:val="62364782"/>
    <w:rsid w:val="636F7D63"/>
    <w:rsid w:val="63D40BE9"/>
    <w:rsid w:val="63E0211F"/>
    <w:rsid w:val="646709F5"/>
    <w:rsid w:val="648443AB"/>
    <w:rsid w:val="65373578"/>
    <w:rsid w:val="65785083"/>
    <w:rsid w:val="65C05403"/>
    <w:rsid w:val="65E6288E"/>
    <w:rsid w:val="65EE2A50"/>
    <w:rsid w:val="66636F9A"/>
    <w:rsid w:val="66C814F3"/>
    <w:rsid w:val="66C8504F"/>
    <w:rsid w:val="673F2C7A"/>
    <w:rsid w:val="67B81568"/>
    <w:rsid w:val="67D3489C"/>
    <w:rsid w:val="681F6961"/>
    <w:rsid w:val="68573C08"/>
    <w:rsid w:val="68610A2F"/>
    <w:rsid w:val="687A681D"/>
    <w:rsid w:val="687D205B"/>
    <w:rsid w:val="687F5BE1"/>
    <w:rsid w:val="68805514"/>
    <w:rsid w:val="68D0468F"/>
    <w:rsid w:val="68DF783B"/>
    <w:rsid w:val="68FF0055"/>
    <w:rsid w:val="69094116"/>
    <w:rsid w:val="694E2071"/>
    <w:rsid w:val="697A3B33"/>
    <w:rsid w:val="698E5E33"/>
    <w:rsid w:val="699E2456"/>
    <w:rsid w:val="69C42446"/>
    <w:rsid w:val="69DF4B8A"/>
    <w:rsid w:val="6A2E5B11"/>
    <w:rsid w:val="6AC63F9C"/>
    <w:rsid w:val="6B322639"/>
    <w:rsid w:val="6B626393"/>
    <w:rsid w:val="6B827EC3"/>
    <w:rsid w:val="6BA17800"/>
    <w:rsid w:val="6C530C66"/>
    <w:rsid w:val="6C5F3259"/>
    <w:rsid w:val="6C6121CE"/>
    <w:rsid w:val="6C636C38"/>
    <w:rsid w:val="6C8F4385"/>
    <w:rsid w:val="6CF035DC"/>
    <w:rsid w:val="6D1A5361"/>
    <w:rsid w:val="6D3A6365"/>
    <w:rsid w:val="6D5E04BB"/>
    <w:rsid w:val="6DB34098"/>
    <w:rsid w:val="6DB545B6"/>
    <w:rsid w:val="6E0D5256"/>
    <w:rsid w:val="6E4375A0"/>
    <w:rsid w:val="6E514CED"/>
    <w:rsid w:val="6E79491A"/>
    <w:rsid w:val="6EA265F3"/>
    <w:rsid w:val="6EB563D5"/>
    <w:rsid w:val="6F225983"/>
    <w:rsid w:val="6F6E4088"/>
    <w:rsid w:val="6F9070FF"/>
    <w:rsid w:val="6FF015FA"/>
    <w:rsid w:val="6FFC5590"/>
    <w:rsid w:val="701C0B7D"/>
    <w:rsid w:val="70301DA3"/>
    <w:rsid w:val="706D1DD0"/>
    <w:rsid w:val="70856B87"/>
    <w:rsid w:val="70D527EE"/>
    <w:rsid w:val="71037ED9"/>
    <w:rsid w:val="710D5505"/>
    <w:rsid w:val="71327C95"/>
    <w:rsid w:val="715B5300"/>
    <w:rsid w:val="715F4BD7"/>
    <w:rsid w:val="71D27F8A"/>
    <w:rsid w:val="71F744C6"/>
    <w:rsid w:val="71F960CF"/>
    <w:rsid w:val="72A61EEE"/>
    <w:rsid w:val="731F5D5E"/>
    <w:rsid w:val="737C169B"/>
    <w:rsid w:val="738664CD"/>
    <w:rsid w:val="740F42BD"/>
    <w:rsid w:val="741E793C"/>
    <w:rsid w:val="74253AB1"/>
    <w:rsid w:val="743E1047"/>
    <w:rsid w:val="749B262E"/>
    <w:rsid w:val="758D75E2"/>
    <w:rsid w:val="767979C7"/>
    <w:rsid w:val="768E1AEB"/>
    <w:rsid w:val="77412A70"/>
    <w:rsid w:val="77762421"/>
    <w:rsid w:val="780B2A9F"/>
    <w:rsid w:val="780F09F4"/>
    <w:rsid w:val="784D3606"/>
    <w:rsid w:val="78506901"/>
    <w:rsid w:val="789C4F47"/>
    <w:rsid w:val="78A90480"/>
    <w:rsid w:val="78CB7AD7"/>
    <w:rsid w:val="795A422D"/>
    <w:rsid w:val="79811327"/>
    <w:rsid w:val="79914F61"/>
    <w:rsid w:val="79D044EF"/>
    <w:rsid w:val="7A314C67"/>
    <w:rsid w:val="7A364017"/>
    <w:rsid w:val="7A8265E1"/>
    <w:rsid w:val="7AC81D3E"/>
    <w:rsid w:val="7B55574E"/>
    <w:rsid w:val="7B686D42"/>
    <w:rsid w:val="7B841746"/>
    <w:rsid w:val="7C026E60"/>
    <w:rsid w:val="7C8810B1"/>
    <w:rsid w:val="7D0239FF"/>
    <w:rsid w:val="7D1868D9"/>
    <w:rsid w:val="7D27229E"/>
    <w:rsid w:val="7D5E40CD"/>
    <w:rsid w:val="7D693BED"/>
    <w:rsid w:val="7DCB56F9"/>
    <w:rsid w:val="7F17671C"/>
    <w:rsid w:val="7F19686A"/>
    <w:rsid w:val="7F82628B"/>
    <w:rsid w:val="7FB4652E"/>
    <w:rsid w:val="7FE47E50"/>
    <w:rsid w:val="7FFC2105"/>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ocked="1"/>
    <w:lsdException w:qFormat="1" w:uiPriority="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ocked="1"/>
    <w:lsdException w:unhideWhenUsed="0" w:uiPriority="0" w:semiHidden="0" w:name="toc 2"/>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ocked="1"/>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qFormat="1"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ocked="1"/>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ocked="1"/>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ocked="1"/>
    <w:lsdException w:qFormat="1" w:unhideWhenUsed="0" w:uiPriority="0" w:semiHidden="0" w:name="Emphasis" w:locked="1"/>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Times New Roman" w:hAnsi="Times New Roman" w:eastAsia="宋体" w:cs="Times New Roman"/>
      <w:kern w:val="2"/>
      <w:sz w:val="24"/>
      <w:szCs w:val="24"/>
      <w:lang w:val="en-US" w:eastAsia="zh-CN" w:bidi="ar-SA"/>
    </w:rPr>
  </w:style>
  <w:style w:type="paragraph" w:styleId="2">
    <w:name w:val="heading 1"/>
    <w:basedOn w:val="1"/>
    <w:next w:val="1"/>
    <w:autoRedefine/>
    <w:qFormat/>
    <w:uiPriority w:val="0"/>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3">
    <w:name w:val="heading 2"/>
    <w:basedOn w:val="1"/>
    <w:next w:val="1"/>
    <w:autoRedefine/>
    <w:qFormat/>
    <w:locked/>
    <w:uiPriority w:val="0"/>
    <w:pPr>
      <w:keepNext/>
      <w:keepLines/>
      <w:spacing w:beforeLines="0" w:beforeAutospacing="0" w:afterLines="0" w:afterAutospacing="0" w:line="360" w:lineRule="auto"/>
      <w:outlineLvl w:val="1"/>
    </w:pPr>
    <w:rPr>
      <w:rFonts w:ascii="Times New Roman" w:hAnsi="Times New Roman"/>
      <w:b/>
    </w:rPr>
  </w:style>
  <w:style w:type="paragraph" w:styleId="4">
    <w:name w:val="heading 4"/>
    <w:basedOn w:val="1"/>
    <w:next w:val="1"/>
    <w:autoRedefine/>
    <w:qFormat/>
    <w:locked/>
    <w:uiPriority w:val="0"/>
    <w:pPr>
      <w:keepNext w:val="0"/>
      <w:keepLines w:val="0"/>
      <w:spacing w:line="240" w:lineRule="auto"/>
      <w:ind w:firstLine="0" w:firstLineChars="0"/>
      <w:jc w:val="center"/>
      <w:outlineLvl w:val="3"/>
    </w:pPr>
    <w:rPr>
      <w:rFonts w:ascii="Times New Roman" w:hAnsi="Times New Roman"/>
      <w:b/>
      <w:bCs/>
      <w:sz w:val="21"/>
      <w:szCs w:val="21"/>
    </w:rPr>
  </w:style>
  <w:style w:type="character" w:default="1" w:styleId="24">
    <w:name w:val="Default Paragraph Font"/>
    <w:autoRedefine/>
    <w:semiHidden/>
    <w:qFormat/>
    <w:uiPriority w:val="0"/>
  </w:style>
  <w:style w:type="table" w:default="1" w:styleId="22">
    <w:name w:val="Normal Table"/>
    <w:autoRedefine/>
    <w:semiHidden/>
    <w:qFormat/>
    <w:uiPriority w:val="0"/>
    <w:tblPr>
      <w:tblCellMar>
        <w:top w:w="0" w:type="dxa"/>
        <w:left w:w="108" w:type="dxa"/>
        <w:bottom w:w="0" w:type="dxa"/>
        <w:right w:w="108" w:type="dxa"/>
      </w:tblCellMar>
    </w:tblPr>
  </w:style>
  <w:style w:type="paragraph" w:styleId="5">
    <w:name w:val="Normal Indent"/>
    <w:basedOn w:val="1"/>
    <w:next w:val="4"/>
    <w:autoRedefine/>
    <w:qFormat/>
    <w:uiPriority w:val="0"/>
    <w:pPr>
      <w:keepNext w:val="0"/>
      <w:keepLines w:val="0"/>
      <w:widowControl w:val="0"/>
      <w:suppressLineNumbers w:val="0"/>
      <w:spacing w:before="0" w:beforeAutospacing="0" w:after="0" w:afterAutospacing="0"/>
      <w:ind w:left="0" w:right="0" w:firstLine="420"/>
      <w:jc w:val="both"/>
    </w:pPr>
    <w:rPr>
      <w:rFonts w:hint="default" w:ascii="Times New Roman" w:hAnsi="Times New Roman" w:eastAsia="宋体" w:cs="Times New Roman"/>
      <w:kern w:val="2"/>
      <w:sz w:val="21"/>
      <w:szCs w:val="20"/>
      <w:lang w:val="en-US" w:eastAsia="zh-CN" w:bidi="ar"/>
    </w:rPr>
  </w:style>
  <w:style w:type="paragraph" w:styleId="6">
    <w:name w:val="caption"/>
    <w:basedOn w:val="1"/>
    <w:next w:val="1"/>
    <w:autoRedefine/>
    <w:qFormat/>
    <w:locked/>
    <w:uiPriority w:val="0"/>
    <w:pPr>
      <w:overflowPunct w:val="0"/>
      <w:topLinePunct/>
      <w:autoSpaceDE w:val="0"/>
      <w:autoSpaceDN w:val="0"/>
      <w:adjustRightInd w:val="0"/>
      <w:snapToGrid w:val="0"/>
      <w:spacing w:before="120" w:line="312" w:lineRule="auto"/>
      <w:jc w:val="center"/>
      <w:textAlignment w:val="baseline"/>
    </w:pPr>
    <w:rPr>
      <w:rFonts w:ascii="Arial" w:hAnsi="Arial" w:eastAsia="黑体"/>
      <w:b/>
      <w:spacing w:val="6"/>
      <w:kern w:val="0"/>
      <w:szCs w:val="20"/>
    </w:rPr>
  </w:style>
  <w:style w:type="paragraph" w:styleId="7">
    <w:name w:val="annotation text"/>
    <w:basedOn w:val="1"/>
    <w:autoRedefine/>
    <w:semiHidden/>
    <w:qFormat/>
    <w:uiPriority w:val="0"/>
    <w:pPr>
      <w:jc w:val="left"/>
    </w:pPr>
    <w:rPr>
      <w:kern w:val="0"/>
      <w:szCs w:val="20"/>
    </w:rPr>
  </w:style>
  <w:style w:type="paragraph" w:styleId="8">
    <w:name w:val="Body Text"/>
    <w:basedOn w:val="1"/>
    <w:autoRedefine/>
    <w:qFormat/>
    <w:uiPriority w:val="0"/>
    <w:pPr>
      <w:widowControl/>
      <w:snapToGrid w:val="0"/>
      <w:spacing w:before="60" w:after="160" w:line="259" w:lineRule="auto"/>
      <w:ind w:right="113"/>
    </w:pPr>
    <w:rPr>
      <w:kern w:val="0"/>
      <w:sz w:val="18"/>
      <w:szCs w:val="20"/>
    </w:rPr>
  </w:style>
  <w:style w:type="paragraph" w:styleId="9">
    <w:name w:val="Body Text Indent"/>
    <w:basedOn w:val="1"/>
    <w:next w:val="10"/>
    <w:autoRedefine/>
    <w:qFormat/>
    <w:uiPriority w:val="0"/>
    <w:pPr>
      <w:spacing w:before="156" w:beforeLines="50"/>
      <w:ind w:firstLine="520" w:firstLineChars="200"/>
    </w:pPr>
    <w:rPr>
      <w:rFonts w:eastAsia="Verdana"/>
      <w:sz w:val="26"/>
      <w:szCs w:val="20"/>
    </w:rPr>
  </w:style>
  <w:style w:type="paragraph" w:styleId="10">
    <w:name w:val="header"/>
    <w:basedOn w:val="1"/>
    <w:next w:val="11"/>
    <w:link w:val="26"/>
    <w:autoRedefine/>
    <w:qFormat/>
    <w:uiPriority w:val="0"/>
    <w:pPr>
      <w:pBdr>
        <w:bottom w:val="single" w:color="auto" w:sz="6" w:space="1"/>
      </w:pBdr>
      <w:tabs>
        <w:tab w:val="center" w:pos="4153"/>
        <w:tab w:val="right" w:pos="8306"/>
      </w:tabs>
      <w:snapToGrid w:val="0"/>
      <w:jc w:val="center"/>
    </w:pPr>
    <w:rPr>
      <w:sz w:val="18"/>
      <w:szCs w:val="18"/>
    </w:rPr>
  </w:style>
  <w:style w:type="paragraph" w:customStyle="1" w:styleId="11">
    <w:name w:val="样式5"/>
    <w:basedOn w:val="12"/>
    <w:next w:val="13"/>
    <w:link w:val="27"/>
    <w:autoRedefine/>
    <w:qFormat/>
    <w:uiPriority w:val="0"/>
    <w:pPr>
      <w:spacing w:line="460" w:lineRule="exact"/>
      <w:textAlignment w:val="baseline"/>
    </w:pPr>
    <w:rPr>
      <w:rFonts w:ascii="Arial" w:hAnsi="Arial" w:cs="Arial"/>
      <w:szCs w:val="20"/>
    </w:rPr>
  </w:style>
  <w:style w:type="paragraph" w:customStyle="1" w:styleId="12">
    <w:name w:val="正文1"/>
    <w:basedOn w:val="1"/>
    <w:next w:val="1"/>
    <w:autoRedefine/>
    <w:qFormat/>
    <w:uiPriority w:val="0"/>
    <w:pPr>
      <w:spacing w:line="360" w:lineRule="auto"/>
      <w:ind w:firstLine="480" w:firstLineChars="200"/>
    </w:pPr>
    <w:rPr>
      <w:sz w:val="24"/>
    </w:rPr>
  </w:style>
  <w:style w:type="paragraph" w:styleId="13">
    <w:name w:val="endnote text"/>
    <w:basedOn w:val="1"/>
    <w:autoRedefine/>
    <w:unhideWhenUsed/>
    <w:qFormat/>
    <w:uiPriority w:val="0"/>
    <w:pPr>
      <w:snapToGrid w:val="0"/>
      <w:jc w:val="left"/>
    </w:pPr>
    <w:rPr>
      <w:rFonts w:ascii="Calibri" w:hAnsi="Calibri"/>
      <w:sz w:val="24"/>
      <w:szCs w:val="22"/>
    </w:rPr>
  </w:style>
  <w:style w:type="paragraph" w:styleId="14">
    <w:name w:val="Block Text"/>
    <w:basedOn w:val="1"/>
    <w:next w:val="1"/>
    <w:autoRedefine/>
    <w:qFormat/>
    <w:uiPriority w:val="0"/>
    <w:pPr>
      <w:ind w:left="1440" w:leftChars="700" w:right="700" w:rightChars="700"/>
    </w:pPr>
  </w:style>
  <w:style w:type="paragraph" w:styleId="15">
    <w:name w:val="List Bullet 5"/>
    <w:basedOn w:val="1"/>
    <w:autoRedefine/>
    <w:qFormat/>
    <w:uiPriority w:val="0"/>
    <w:pPr>
      <w:numPr>
        <w:ilvl w:val="0"/>
        <w:numId w:val="1"/>
      </w:numPr>
    </w:pPr>
  </w:style>
  <w:style w:type="paragraph" w:styleId="16">
    <w:name w:val="Balloon Text"/>
    <w:basedOn w:val="1"/>
    <w:link w:val="28"/>
    <w:autoRedefine/>
    <w:semiHidden/>
    <w:qFormat/>
    <w:uiPriority w:val="0"/>
    <w:rPr>
      <w:sz w:val="18"/>
      <w:szCs w:val="18"/>
    </w:rPr>
  </w:style>
  <w:style w:type="paragraph" w:styleId="17">
    <w:name w:val="footer"/>
    <w:basedOn w:val="1"/>
    <w:link w:val="29"/>
    <w:autoRedefine/>
    <w:qFormat/>
    <w:uiPriority w:val="0"/>
    <w:pPr>
      <w:tabs>
        <w:tab w:val="center" w:pos="4153"/>
        <w:tab w:val="right" w:pos="8306"/>
      </w:tabs>
      <w:snapToGrid w:val="0"/>
      <w:jc w:val="left"/>
    </w:pPr>
    <w:rPr>
      <w:sz w:val="18"/>
      <w:szCs w:val="18"/>
    </w:rPr>
  </w:style>
  <w:style w:type="paragraph" w:styleId="18">
    <w:name w:val="Normal (Web)"/>
    <w:basedOn w:val="1"/>
    <w:autoRedefine/>
    <w:qFormat/>
    <w:uiPriority w:val="99"/>
    <w:pPr>
      <w:widowControl/>
      <w:spacing w:before="100" w:beforeAutospacing="1" w:after="100" w:afterAutospacing="1"/>
      <w:jc w:val="left"/>
    </w:pPr>
    <w:rPr>
      <w:rFonts w:ascii="宋体" w:hAnsi="宋体"/>
      <w:kern w:val="0"/>
      <w:sz w:val="24"/>
    </w:rPr>
  </w:style>
  <w:style w:type="paragraph" w:styleId="19">
    <w:name w:val="annotation subject"/>
    <w:link w:val="30"/>
    <w:autoRedefine/>
    <w:semiHidden/>
    <w:qFormat/>
    <w:uiPriority w:val="0"/>
    <w:rPr>
      <w:rFonts w:ascii="Times New Roman" w:hAnsi="Times New Roman" w:eastAsia="宋体" w:cs="Times New Roman"/>
      <w:b/>
      <w:bCs/>
    </w:rPr>
  </w:style>
  <w:style w:type="paragraph" w:styleId="20">
    <w:name w:val="Body Text First Indent"/>
    <w:basedOn w:val="8"/>
    <w:next w:val="1"/>
    <w:autoRedefine/>
    <w:qFormat/>
    <w:uiPriority w:val="0"/>
    <w:pPr>
      <w:ind w:firstLine="420" w:firstLineChars="100"/>
    </w:pPr>
  </w:style>
  <w:style w:type="paragraph" w:styleId="21">
    <w:name w:val="Body Text First Indent 2"/>
    <w:basedOn w:val="9"/>
    <w:next w:val="20"/>
    <w:autoRedefine/>
    <w:qFormat/>
    <w:uiPriority w:val="0"/>
    <w:pPr>
      <w:ind w:firstLine="420" w:firstLineChars="200"/>
    </w:pPr>
  </w:style>
  <w:style w:type="table" w:styleId="23">
    <w:name w:val="Table Grid"/>
    <w:basedOn w:val="22"/>
    <w:autoRedefine/>
    <w:qFormat/>
    <w:uiPriority w:val="0"/>
    <w:rPr>
      <w:lang w:val="en-US" w:eastAsia="zh-CN"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page number"/>
    <w:basedOn w:val="24"/>
    <w:autoRedefine/>
    <w:qFormat/>
    <w:uiPriority w:val="0"/>
  </w:style>
  <w:style w:type="character" w:customStyle="1" w:styleId="26">
    <w:name w:val="页眉 Char"/>
    <w:basedOn w:val="24"/>
    <w:link w:val="10"/>
    <w:autoRedefine/>
    <w:qFormat/>
    <w:locked/>
    <w:uiPriority w:val="0"/>
    <w:rPr>
      <w:rFonts w:cs="Times New Roman"/>
      <w:sz w:val="18"/>
      <w:szCs w:val="18"/>
    </w:rPr>
  </w:style>
  <w:style w:type="character" w:customStyle="1" w:styleId="27">
    <w:name w:val="样式5 Char"/>
    <w:link w:val="11"/>
    <w:autoRedefine/>
    <w:qFormat/>
    <w:uiPriority w:val="0"/>
    <w:rPr>
      <w:rFonts w:ascii="Arial" w:hAnsi="Arial" w:cs="Arial"/>
      <w:szCs w:val="20"/>
    </w:rPr>
  </w:style>
  <w:style w:type="character" w:customStyle="1" w:styleId="28">
    <w:name w:val="批注框文本 Char"/>
    <w:basedOn w:val="24"/>
    <w:link w:val="16"/>
    <w:autoRedefine/>
    <w:semiHidden/>
    <w:qFormat/>
    <w:locked/>
    <w:uiPriority w:val="0"/>
    <w:rPr>
      <w:rFonts w:ascii="Times New Roman" w:hAnsi="Times New Roman" w:eastAsia="宋体" w:cs="Times New Roman"/>
      <w:sz w:val="18"/>
      <w:szCs w:val="18"/>
    </w:rPr>
  </w:style>
  <w:style w:type="character" w:customStyle="1" w:styleId="29">
    <w:name w:val="页脚 Char"/>
    <w:basedOn w:val="24"/>
    <w:link w:val="17"/>
    <w:autoRedefine/>
    <w:qFormat/>
    <w:locked/>
    <w:uiPriority w:val="0"/>
    <w:rPr>
      <w:rFonts w:cs="Times New Roman"/>
      <w:sz w:val="18"/>
      <w:szCs w:val="18"/>
    </w:rPr>
  </w:style>
  <w:style w:type="character" w:customStyle="1" w:styleId="30">
    <w:name w:val="批注主题 Char"/>
    <w:link w:val="19"/>
    <w:autoRedefine/>
    <w:semiHidden/>
    <w:qFormat/>
    <w:locked/>
    <w:uiPriority w:val="0"/>
    <w:rPr>
      <w:rFonts w:cs="Times New Roman"/>
      <w:b/>
      <w:bCs/>
      <w:kern w:val="2"/>
      <w:szCs w:val="24"/>
    </w:rPr>
  </w:style>
  <w:style w:type="character" w:customStyle="1" w:styleId="31">
    <w:name w:val="表格 Char"/>
    <w:link w:val="32"/>
    <w:autoRedefine/>
    <w:qFormat/>
    <w:locked/>
    <w:uiPriority w:val="0"/>
    <w:rPr>
      <w:rFonts w:ascii="Times New Roman" w:hAnsi="Times New Roman" w:eastAsia="宋体"/>
      <w:sz w:val="20"/>
    </w:rPr>
  </w:style>
  <w:style w:type="paragraph" w:customStyle="1" w:styleId="32">
    <w:name w:val="表格内容"/>
    <w:basedOn w:val="33"/>
    <w:next w:val="1"/>
    <w:link w:val="31"/>
    <w:autoRedefine/>
    <w:qFormat/>
    <w:uiPriority w:val="0"/>
    <w:pPr>
      <w:adjustRightInd/>
      <w:snapToGrid/>
      <w:spacing w:line="260" w:lineRule="exact"/>
      <w:ind w:firstLine="0" w:firstLineChars="0"/>
      <w:jc w:val="center"/>
    </w:pPr>
    <w:rPr>
      <w:kern w:val="0"/>
      <w:sz w:val="20"/>
      <w:szCs w:val="20"/>
    </w:rPr>
  </w:style>
  <w:style w:type="paragraph" w:customStyle="1" w:styleId="33">
    <w:name w:val="正文g"/>
    <w:basedOn w:val="1"/>
    <w:link w:val="42"/>
    <w:autoRedefine/>
    <w:qFormat/>
    <w:uiPriority w:val="0"/>
    <w:pPr>
      <w:adjustRightInd w:val="0"/>
      <w:snapToGrid w:val="0"/>
      <w:spacing w:line="440" w:lineRule="exact"/>
      <w:ind w:firstLine="684" w:firstLineChars="200"/>
      <w:jc w:val="both"/>
    </w:pPr>
    <w:rPr>
      <w:rFonts w:ascii="Times New Roman" w:hAnsi="Times New Roman" w:eastAsia="宋体"/>
      <w:color w:val="000000"/>
      <w:sz w:val="21"/>
    </w:rPr>
  </w:style>
  <w:style w:type="paragraph" w:customStyle="1" w:styleId="34">
    <w:name w:val="正常格式"/>
    <w:basedOn w:val="35"/>
    <w:autoRedefine/>
    <w:qFormat/>
    <w:uiPriority w:val="0"/>
    <w:pPr>
      <w:spacing w:line="480" w:lineRule="exact"/>
      <w:ind w:firstLine="600" w:firstLineChars="200"/>
    </w:pPr>
    <w:rPr>
      <w:rFonts w:ascii="Times New Roman" w:hAnsi="Times New Roman" w:eastAsia="宋体" w:cs="Times New Roman"/>
      <w:snapToGrid w:val="0"/>
      <w:kern w:val="0"/>
      <w:sz w:val="24"/>
    </w:rPr>
  </w:style>
  <w:style w:type="paragraph" w:customStyle="1" w:styleId="35">
    <w:name w:val="正文2"/>
    <w:autoRedefine/>
    <w:qFormat/>
    <w:uiPriority w:val="0"/>
    <w:pPr>
      <w:spacing w:line="360" w:lineRule="auto"/>
      <w:ind w:firstLine="480" w:firstLineChars="200"/>
    </w:pPr>
    <w:rPr>
      <w:rFonts w:ascii="宋体" w:hAnsi="宋体" w:eastAsia="宋体" w:cs="Times New Roman"/>
      <w:sz w:val="24"/>
    </w:rPr>
  </w:style>
  <w:style w:type="paragraph" w:customStyle="1" w:styleId="36">
    <w:name w:val="表格标题"/>
    <w:basedOn w:val="33"/>
    <w:next w:val="1"/>
    <w:link w:val="37"/>
    <w:autoRedefine/>
    <w:qFormat/>
    <w:uiPriority w:val="0"/>
    <w:pPr>
      <w:adjustRightInd/>
      <w:snapToGrid/>
      <w:spacing w:before="50" w:beforeLines="50" w:line="240" w:lineRule="auto"/>
      <w:ind w:firstLine="0" w:firstLineChars="0"/>
      <w:jc w:val="center"/>
    </w:pPr>
    <w:rPr>
      <w:rFonts w:cs="Times New Roman"/>
      <w:b/>
    </w:rPr>
  </w:style>
  <w:style w:type="character" w:customStyle="1" w:styleId="37">
    <w:name w:val="表格标题 Char"/>
    <w:link w:val="36"/>
    <w:autoRedefine/>
    <w:qFormat/>
    <w:uiPriority w:val="0"/>
    <w:rPr>
      <w:rFonts w:cs="Times New Roman"/>
      <w:b/>
    </w:rPr>
  </w:style>
  <w:style w:type="character" w:customStyle="1" w:styleId="38">
    <w:name w:val="font21"/>
    <w:basedOn w:val="24"/>
    <w:autoRedefine/>
    <w:qFormat/>
    <w:uiPriority w:val="0"/>
    <w:rPr>
      <w:rFonts w:hint="eastAsia" w:ascii="宋体" w:hAnsi="宋体" w:eastAsia="宋体" w:cs="宋体"/>
      <w:color w:val="000000"/>
      <w:sz w:val="20"/>
      <w:szCs w:val="20"/>
      <w:u w:val="none"/>
      <w:vertAlign w:val="superscript"/>
    </w:rPr>
  </w:style>
  <w:style w:type="table" w:customStyle="1" w:styleId="39">
    <w:name w:val="Table Normal"/>
    <w:autoRedefine/>
    <w:unhideWhenUsed/>
    <w:qFormat/>
    <w:uiPriority w:val="0"/>
    <w:tblPr>
      <w:tblCellMar>
        <w:top w:w="0" w:type="dxa"/>
        <w:left w:w="0" w:type="dxa"/>
        <w:bottom w:w="0" w:type="dxa"/>
        <w:right w:w="0" w:type="dxa"/>
      </w:tblCellMar>
    </w:tblPr>
  </w:style>
  <w:style w:type="paragraph" w:customStyle="1" w:styleId="40">
    <w:name w:val="Table Text"/>
    <w:basedOn w:val="1"/>
    <w:autoRedefine/>
    <w:semiHidden/>
    <w:qFormat/>
    <w:uiPriority w:val="0"/>
    <w:rPr>
      <w:rFonts w:ascii="Arial" w:hAnsi="Arial" w:eastAsia="Arial" w:cs="Arial"/>
      <w:sz w:val="21"/>
      <w:szCs w:val="21"/>
      <w:lang w:val="en-US" w:eastAsia="en-US" w:bidi="ar-SA"/>
    </w:rPr>
  </w:style>
  <w:style w:type="paragraph" w:customStyle="1" w:styleId="41">
    <w:name w:val="图表标题"/>
    <w:basedOn w:val="33"/>
    <w:next w:val="33"/>
    <w:autoRedefine/>
    <w:qFormat/>
    <w:uiPriority w:val="0"/>
    <w:pPr>
      <w:spacing w:after="20" w:afterLines="20" w:line="240" w:lineRule="auto"/>
      <w:ind w:firstLine="0" w:firstLineChars="0"/>
      <w:jc w:val="center"/>
    </w:pPr>
    <w:rPr>
      <w:rFonts w:hint="eastAsia"/>
      <w:b/>
    </w:rPr>
  </w:style>
  <w:style w:type="character" w:customStyle="1" w:styleId="42">
    <w:name w:val="正文g Char"/>
    <w:link w:val="33"/>
    <w:autoRedefine/>
    <w:qFormat/>
    <w:uiPriority w:val="0"/>
    <w:rPr>
      <w:rFonts w:ascii="Times New Roman" w:hAnsi="Times New Roman" w:eastAsia="宋体"/>
      <w:color w:val="000000"/>
      <w:sz w:val="21"/>
    </w:rPr>
  </w:style>
  <w:style w:type="paragraph" w:styleId="43">
    <w:name w:val="List Paragraph"/>
    <w:basedOn w:val="1"/>
    <w:autoRedefine/>
    <w:qFormat/>
    <w:uiPriority w:val="1"/>
    <w:pPr>
      <w:ind w:left="1581" w:hanging="601"/>
    </w:pPr>
    <w:rPr>
      <w:rFonts w:ascii="宋体" w:hAnsi="宋体" w:eastAsia="宋体" w:cs="宋体"/>
      <w:lang w:val="en-US" w:eastAsia="zh-CN" w:bidi="ar-SA"/>
    </w:rPr>
  </w:style>
  <w:style w:type="paragraph" w:customStyle="1" w:styleId="44">
    <w:name w:val="Table Paragraph"/>
    <w:basedOn w:val="1"/>
    <w:autoRedefine/>
    <w:qFormat/>
    <w:uiPriority w:val="1"/>
    <w:pPr>
      <w:autoSpaceDE w:val="0"/>
      <w:autoSpaceDN w:val="0"/>
      <w:spacing w:line="240" w:lineRule="auto"/>
      <w:jc w:val="left"/>
    </w:pPr>
    <w:rPr>
      <w:rFonts w:ascii="宋体" w:hAnsi="宋体" w:eastAsia="宋体" w:cs="宋体"/>
      <w:kern w:val="0"/>
      <w:sz w:val="22"/>
      <w:szCs w:val="22"/>
    </w:rPr>
  </w:style>
  <w:style w:type="character" w:customStyle="1" w:styleId="45">
    <w:name w:val="font11"/>
    <w:basedOn w:val="24"/>
    <w:autoRedefine/>
    <w:qFormat/>
    <w:uiPriority w:val="0"/>
    <w:rPr>
      <w:rFonts w:hint="eastAsia" w:ascii="宋体" w:hAnsi="宋体" w:eastAsia="宋体" w:cs="宋体"/>
      <w:color w:val="000000"/>
      <w:sz w:val="20"/>
      <w:szCs w:val="20"/>
      <w:u w:val="none"/>
    </w:rPr>
  </w:style>
  <w:style w:type="character" w:customStyle="1" w:styleId="46">
    <w:name w:val="font31"/>
    <w:basedOn w:val="24"/>
    <w:autoRedefine/>
    <w:qFormat/>
    <w:uiPriority w:val="0"/>
    <w:rPr>
      <w:rFonts w:hint="default" w:ascii="Times New Roman" w:hAnsi="Times New Roman" w:cs="Times New Roman"/>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footnotes" Target="footnotes.xml"/><Relationship Id="rId29" Type="http://schemas.openxmlformats.org/officeDocument/2006/relationships/customXml" Target="../customXml/item1.xml"/><Relationship Id="rId28" Type="http://schemas.openxmlformats.org/officeDocument/2006/relationships/image" Target="media/image14.wmf"/><Relationship Id="rId27" Type="http://schemas.openxmlformats.org/officeDocument/2006/relationships/image" Target="media/image13.wmf"/><Relationship Id="rId26" Type="http://schemas.openxmlformats.org/officeDocument/2006/relationships/oleObject" Target="embeddings/oleObject5.bin"/><Relationship Id="rId25" Type="http://schemas.openxmlformats.org/officeDocument/2006/relationships/image" Target="media/image12.jpeg"/><Relationship Id="rId24" Type="http://schemas.openxmlformats.org/officeDocument/2006/relationships/image" Target="media/image11.wmf"/><Relationship Id="rId23" Type="http://schemas.openxmlformats.org/officeDocument/2006/relationships/oleObject" Target="embeddings/oleObject4.bin"/><Relationship Id="rId22" Type="http://schemas.openxmlformats.org/officeDocument/2006/relationships/image" Target="media/image10.png"/><Relationship Id="rId21" Type="http://schemas.openxmlformats.org/officeDocument/2006/relationships/image" Target="media/image9.jpeg"/><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emf"/><Relationship Id="rId16" Type="http://schemas.openxmlformats.org/officeDocument/2006/relationships/oleObject" Target="embeddings/oleObject3.bin"/><Relationship Id="rId15" Type="http://schemas.openxmlformats.org/officeDocument/2006/relationships/image" Target="media/image4.emf"/><Relationship Id="rId14" Type="http://schemas.openxmlformats.org/officeDocument/2006/relationships/oleObject" Target="embeddings/oleObject2.bin"/><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emf"/><Relationship Id="rId10" Type="http://schemas.openxmlformats.org/officeDocument/2006/relationships/oleObject" Target="embeddings/oleObject1.bin"/><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Info spid="_x0000_s104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69</Pages>
  <Words>45657</Words>
  <Characters>51362</Characters>
  <Lines>407</Lines>
  <Paragraphs>114</Paragraphs>
  <TotalTime>3</TotalTime>
  <ScaleCrop>false</ScaleCrop>
  <LinksUpToDate>false</LinksUpToDate>
  <CharactersWithSpaces>51893</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2020-12-24T01:42:00Z</dcterms:created>
  <dc:creator>lhj</dc:creator>
  <cp:lastModifiedBy>睿睿妈妈</cp:lastModifiedBy>
  <cp:lastPrinted>2022-05-26T05:38:00Z</cp:lastPrinted>
  <dcterms:modified xsi:type="dcterms:W3CDTF">2024-01-27T02:52:13Z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67B9970B8A0E464DBCC86D2DF7FCE185_13</vt:lpwstr>
  </property>
</Properties>
</file>